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1B1" w:rsidRPr="008453AC" w:rsidRDefault="00BA21B1" w:rsidP="00BA21B1">
      <w:pPr>
        <w:spacing w:after="0" w:line="240" w:lineRule="auto"/>
        <w:jc w:val="center"/>
        <w:rPr>
          <w:b/>
          <w:sz w:val="24"/>
          <w:szCs w:val="24"/>
        </w:rPr>
      </w:pPr>
      <w:bookmarkStart w:id="0" w:name="_Toc436926477"/>
      <w:bookmarkStart w:id="1" w:name="_GoBack"/>
      <w:bookmarkEnd w:id="1"/>
    </w:p>
    <w:p w:rsidR="00BA21B1" w:rsidRPr="008453AC" w:rsidRDefault="00BA21B1" w:rsidP="00BA21B1">
      <w:pPr>
        <w:spacing w:after="0" w:line="240" w:lineRule="auto"/>
        <w:jc w:val="center"/>
        <w:rPr>
          <w:b/>
          <w:sz w:val="24"/>
          <w:szCs w:val="24"/>
        </w:rPr>
      </w:pPr>
    </w:p>
    <w:p w:rsidR="00BA21B1" w:rsidRPr="008453AC" w:rsidRDefault="00BA21B1" w:rsidP="00BA21B1">
      <w:pPr>
        <w:spacing w:after="0" w:line="240" w:lineRule="auto"/>
        <w:jc w:val="center"/>
        <w:rPr>
          <w:b/>
          <w:sz w:val="24"/>
          <w:szCs w:val="24"/>
        </w:rPr>
      </w:pPr>
    </w:p>
    <w:p w:rsidR="00BA21B1" w:rsidRPr="008453AC" w:rsidRDefault="00BA21B1" w:rsidP="00BA21B1">
      <w:pPr>
        <w:spacing w:after="0" w:line="240" w:lineRule="auto"/>
        <w:jc w:val="center"/>
        <w:rPr>
          <w:b/>
          <w:sz w:val="24"/>
          <w:szCs w:val="24"/>
        </w:rPr>
      </w:pPr>
    </w:p>
    <w:p w:rsidR="00BA21B1" w:rsidRPr="008453AC" w:rsidRDefault="00BA21B1" w:rsidP="00BA21B1">
      <w:pPr>
        <w:spacing w:after="0" w:line="240" w:lineRule="auto"/>
        <w:jc w:val="center"/>
        <w:rPr>
          <w:b/>
          <w:sz w:val="24"/>
          <w:szCs w:val="24"/>
        </w:rPr>
      </w:pPr>
    </w:p>
    <w:p w:rsidR="00BA21B1" w:rsidRDefault="00BA21B1" w:rsidP="00BA21B1">
      <w:pPr>
        <w:spacing w:after="0" w:line="240" w:lineRule="auto"/>
        <w:jc w:val="center"/>
        <w:rPr>
          <w:b/>
          <w:sz w:val="24"/>
          <w:szCs w:val="24"/>
        </w:rPr>
      </w:pPr>
    </w:p>
    <w:p w:rsidR="00BA21B1" w:rsidRDefault="00BA21B1" w:rsidP="00BA21B1">
      <w:pPr>
        <w:spacing w:after="0" w:line="240" w:lineRule="auto"/>
        <w:jc w:val="center"/>
        <w:rPr>
          <w:b/>
          <w:sz w:val="24"/>
          <w:szCs w:val="24"/>
        </w:rPr>
      </w:pPr>
    </w:p>
    <w:p w:rsidR="00BA21B1" w:rsidRDefault="00BA21B1" w:rsidP="00BA21B1">
      <w:pPr>
        <w:spacing w:after="0" w:line="240" w:lineRule="auto"/>
        <w:jc w:val="center"/>
        <w:rPr>
          <w:b/>
          <w:sz w:val="24"/>
          <w:szCs w:val="24"/>
        </w:rPr>
      </w:pPr>
    </w:p>
    <w:p w:rsidR="00BA21B1" w:rsidRPr="008453AC" w:rsidRDefault="00BA21B1" w:rsidP="00BA21B1">
      <w:pPr>
        <w:spacing w:after="0" w:line="240" w:lineRule="auto"/>
        <w:jc w:val="center"/>
        <w:rPr>
          <w:b/>
          <w:sz w:val="24"/>
          <w:szCs w:val="24"/>
        </w:rPr>
      </w:pPr>
    </w:p>
    <w:p w:rsidR="00BA21B1" w:rsidRPr="008453AC" w:rsidRDefault="00BA21B1" w:rsidP="00BA21B1">
      <w:pPr>
        <w:spacing w:after="120" w:line="240" w:lineRule="auto"/>
        <w:jc w:val="center"/>
        <w:rPr>
          <w:b/>
          <w:sz w:val="40"/>
          <w:szCs w:val="40"/>
        </w:rPr>
      </w:pPr>
      <w:r w:rsidRPr="008453AC">
        <w:rPr>
          <w:b/>
          <w:sz w:val="40"/>
          <w:szCs w:val="40"/>
        </w:rPr>
        <w:t xml:space="preserve">National Oversight and Audit Commission  </w:t>
      </w:r>
    </w:p>
    <w:p w:rsidR="00BA21B1" w:rsidRDefault="00BA21B1" w:rsidP="00BA21B1">
      <w:pPr>
        <w:spacing w:after="0" w:line="240" w:lineRule="auto"/>
        <w:jc w:val="center"/>
        <w:rPr>
          <w:b/>
          <w:sz w:val="24"/>
          <w:szCs w:val="24"/>
        </w:rPr>
      </w:pPr>
    </w:p>
    <w:p w:rsidR="00BA21B1" w:rsidRDefault="00BA21B1" w:rsidP="00BA21B1">
      <w:pPr>
        <w:spacing w:after="0" w:line="240" w:lineRule="auto"/>
        <w:jc w:val="center"/>
        <w:rPr>
          <w:b/>
          <w:sz w:val="24"/>
          <w:szCs w:val="24"/>
        </w:rPr>
      </w:pPr>
    </w:p>
    <w:p w:rsidR="00BA21B1" w:rsidRDefault="00BA21B1" w:rsidP="00BA21B1">
      <w:pPr>
        <w:spacing w:after="0" w:line="240" w:lineRule="auto"/>
        <w:jc w:val="center"/>
        <w:rPr>
          <w:b/>
          <w:sz w:val="24"/>
          <w:szCs w:val="24"/>
        </w:rPr>
      </w:pPr>
    </w:p>
    <w:p w:rsidR="00BA21B1" w:rsidRDefault="00BA21B1" w:rsidP="00BA21B1">
      <w:pPr>
        <w:spacing w:after="0" w:line="240" w:lineRule="auto"/>
        <w:jc w:val="center"/>
        <w:rPr>
          <w:b/>
          <w:sz w:val="24"/>
          <w:szCs w:val="24"/>
        </w:rPr>
      </w:pPr>
    </w:p>
    <w:p w:rsidR="00BA21B1" w:rsidRDefault="00BA21B1" w:rsidP="00BA21B1">
      <w:pPr>
        <w:spacing w:after="0" w:line="240" w:lineRule="auto"/>
        <w:jc w:val="center"/>
        <w:rPr>
          <w:b/>
          <w:sz w:val="24"/>
          <w:szCs w:val="24"/>
        </w:rPr>
      </w:pPr>
    </w:p>
    <w:p w:rsidR="00BA21B1" w:rsidRDefault="00BA21B1" w:rsidP="00BA21B1">
      <w:pPr>
        <w:spacing w:after="0" w:line="240" w:lineRule="auto"/>
        <w:jc w:val="center"/>
        <w:rPr>
          <w:b/>
          <w:sz w:val="24"/>
          <w:szCs w:val="24"/>
        </w:rPr>
      </w:pPr>
    </w:p>
    <w:p w:rsidR="00BA21B1" w:rsidRDefault="00BA21B1" w:rsidP="00BA21B1">
      <w:pPr>
        <w:spacing w:after="0" w:line="240" w:lineRule="auto"/>
        <w:jc w:val="center"/>
        <w:rPr>
          <w:b/>
          <w:sz w:val="24"/>
          <w:szCs w:val="24"/>
        </w:rPr>
      </w:pPr>
    </w:p>
    <w:p w:rsidR="00BA21B1" w:rsidRPr="008453AC" w:rsidRDefault="00BA21B1" w:rsidP="00BA21B1">
      <w:pPr>
        <w:spacing w:after="0" w:line="240" w:lineRule="auto"/>
        <w:jc w:val="center"/>
        <w:rPr>
          <w:b/>
          <w:sz w:val="24"/>
          <w:szCs w:val="24"/>
        </w:rPr>
      </w:pPr>
    </w:p>
    <w:p w:rsidR="00BA21B1" w:rsidRDefault="00BA21B1" w:rsidP="00BA21B1">
      <w:pPr>
        <w:spacing w:after="120" w:line="240" w:lineRule="auto"/>
        <w:jc w:val="center"/>
        <w:rPr>
          <w:b/>
          <w:sz w:val="24"/>
          <w:szCs w:val="24"/>
        </w:rPr>
      </w:pPr>
    </w:p>
    <w:p w:rsidR="00BA21B1" w:rsidRPr="008453AC" w:rsidRDefault="00BA21B1" w:rsidP="00BA21B1">
      <w:pPr>
        <w:spacing w:after="120" w:line="240" w:lineRule="auto"/>
        <w:jc w:val="center"/>
        <w:rPr>
          <w:b/>
          <w:sz w:val="24"/>
          <w:szCs w:val="24"/>
        </w:rPr>
      </w:pPr>
    </w:p>
    <w:p w:rsidR="00BA21B1" w:rsidRPr="008453AC" w:rsidRDefault="00BA21B1" w:rsidP="00BA21B1">
      <w:pPr>
        <w:spacing w:after="120" w:line="240" w:lineRule="auto"/>
        <w:jc w:val="center"/>
        <w:rPr>
          <w:rFonts w:asciiTheme="majorHAnsi" w:hAnsiTheme="majorHAnsi"/>
          <w:sz w:val="40"/>
          <w:szCs w:val="40"/>
        </w:rPr>
      </w:pPr>
      <w:r w:rsidRPr="008453AC">
        <w:rPr>
          <w:rFonts w:asciiTheme="majorHAnsi" w:hAnsiTheme="majorHAnsi"/>
          <w:sz w:val="40"/>
          <w:szCs w:val="40"/>
        </w:rPr>
        <w:t>Performance Indicators in Local Authorities 2014</w:t>
      </w:r>
    </w:p>
    <w:p w:rsidR="00BA21B1" w:rsidRDefault="00BA21B1" w:rsidP="00BA21B1">
      <w:pPr>
        <w:spacing w:after="120" w:line="240" w:lineRule="auto"/>
        <w:jc w:val="center"/>
        <w:rPr>
          <w:b/>
          <w:sz w:val="32"/>
          <w:szCs w:val="32"/>
          <w:u w:val="single"/>
        </w:rPr>
      </w:pPr>
    </w:p>
    <w:p w:rsidR="00BA21B1" w:rsidRDefault="00BA21B1" w:rsidP="00BA21B1">
      <w:pPr>
        <w:spacing w:after="120" w:line="240" w:lineRule="auto"/>
        <w:jc w:val="center"/>
        <w:rPr>
          <w:b/>
          <w:sz w:val="32"/>
          <w:szCs w:val="32"/>
          <w:u w:val="single"/>
        </w:rPr>
      </w:pPr>
    </w:p>
    <w:p w:rsidR="00BA21B1" w:rsidRDefault="00BA21B1" w:rsidP="00BA21B1">
      <w:pPr>
        <w:spacing w:after="120" w:line="360" w:lineRule="auto"/>
        <w:jc w:val="center"/>
        <w:rPr>
          <w:b/>
          <w:sz w:val="32"/>
          <w:szCs w:val="32"/>
          <w:u w:val="single"/>
        </w:rPr>
      </w:pPr>
    </w:p>
    <w:p w:rsidR="00BA21B1" w:rsidRDefault="00BA21B1" w:rsidP="00BA21B1">
      <w:pPr>
        <w:spacing w:after="120" w:line="360" w:lineRule="auto"/>
        <w:jc w:val="center"/>
        <w:rPr>
          <w:b/>
          <w:sz w:val="32"/>
          <w:szCs w:val="32"/>
          <w:u w:val="single"/>
        </w:rPr>
      </w:pPr>
    </w:p>
    <w:p w:rsidR="00BA21B1" w:rsidRDefault="00BA21B1" w:rsidP="00BA21B1">
      <w:pPr>
        <w:spacing w:after="120" w:line="360" w:lineRule="auto"/>
        <w:jc w:val="center"/>
        <w:rPr>
          <w:b/>
          <w:sz w:val="32"/>
          <w:szCs w:val="32"/>
          <w:u w:val="single"/>
        </w:rPr>
      </w:pPr>
    </w:p>
    <w:p w:rsidR="00BA21B1" w:rsidRDefault="00BA21B1" w:rsidP="00BA21B1">
      <w:pPr>
        <w:spacing w:after="120" w:line="360" w:lineRule="auto"/>
        <w:jc w:val="center"/>
        <w:rPr>
          <w:b/>
          <w:sz w:val="32"/>
          <w:szCs w:val="32"/>
          <w:u w:val="single"/>
        </w:rPr>
      </w:pPr>
    </w:p>
    <w:p w:rsidR="00BA21B1" w:rsidRDefault="00BA21B1" w:rsidP="00BA21B1">
      <w:pPr>
        <w:spacing w:after="120" w:line="360" w:lineRule="auto"/>
        <w:jc w:val="center"/>
        <w:rPr>
          <w:b/>
          <w:sz w:val="32"/>
          <w:szCs w:val="32"/>
          <w:u w:val="single"/>
        </w:rPr>
      </w:pPr>
    </w:p>
    <w:p w:rsidR="00BA21B1" w:rsidRDefault="00BA21B1" w:rsidP="00BA21B1">
      <w:pPr>
        <w:spacing w:after="120" w:line="360" w:lineRule="auto"/>
        <w:jc w:val="center"/>
        <w:rPr>
          <w:b/>
          <w:sz w:val="32"/>
          <w:szCs w:val="32"/>
          <w:u w:val="single"/>
        </w:rPr>
      </w:pPr>
    </w:p>
    <w:p w:rsidR="00BA21B1" w:rsidRDefault="00BA21B1" w:rsidP="00BA21B1">
      <w:pPr>
        <w:spacing w:after="120" w:line="360" w:lineRule="auto"/>
        <w:jc w:val="center"/>
        <w:rPr>
          <w:b/>
          <w:sz w:val="32"/>
          <w:szCs w:val="32"/>
          <w:u w:val="single"/>
        </w:rPr>
      </w:pPr>
    </w:p>
    <w:p w:rsidR="00BA21B1" w:rsidRDefault="00BA21B1" w:rsidP="00BA21B1">
      <w:pPr>
        <w:autoSpaceDE w:val="0"/>
        <w:autoSpaceDN w:val="0"/>
        <w:adjustRightInd w:val="0"/>
        <w:jc w:val="right"/>
        <w:rPr>
          <w:rFonts w:cs="Calibri"/>
          <w:sz w:val="24"/>
          <w:szCs w:val="24"/>
          <w:u w:val="single"/>
        </w:rPr>
      </w:pPr>
      <w:r>
        <w:rPr>
          <w:rFonts w:ascii="Cambria" w:eastAsia="Times New Roman" w:hAnsi="Cambria"/>
          <w:sz w:val="28"/>
          <w:szCs w:val="28"/>
        </w:rPr>
        <w:t>NOAC Report – December 2015</w:t>
      </w:r>
      <w:r>
        <w:rPr>
          <w:rFonts w:cs="Calibri"/>
          <w:sz w:val="24"/>
          <w:szCs w:val="24"/>
          <w:u w:val="single"/>
        </w:rPr>
        <w:br w:type="page"/>
      </w:r>
    </w:p>
    <w:p w:rsidR="00BA21B1" w:rsidRPr="007F28C5" w:rsidRDefault="00BA21B1" w:rsidP="007F28C5">
      <w:pPr>
        <w:pStyle w:val="TOC1"/>
      </w:pPr>
      <w:r w:rsidRPr="007F28C5">
        <w:lastRenderedPageBreak/>
        <w:t>Table Of contents</w:t>
      </w:r>
    </w:p>
    <w:p w:rsidR="00BA21B1" w:rsidRDefault="00BA21B1" w:rsidP="00BA21B1"/>
    <w:p w:rsidR="00E47BBF" w:rsidRDefault="00E47BBF" w:rsidP="00BA21B1"/>
    <w:p w:rsidR="00E47BBF" w:rsidRPr="00AC0619" w:rsidRDefault="00E47BBF" w:rsidP="00BA21B1">
      <w:pPr>
        <w:rPr>
          <w:sz w:val="24"/>
          <w:szCs w:val="24"/>
        </w:rPr>
      </w:pPr>
      <w:r w:rsidRPr="00AC0619">
        <w:rPr>
          <w:sz w:val="24"/>
          <w:szCs w:val="24"/>
        </w:rPr>
        <w:t>INTRODUCTION …………………………………………………………………………………………………………………. 2</w:t>
      </w:r>
    </w:p>
    <w:p w:rsidR="00E47BBF" w:rsidRPr="00AC0619" w:rsidRDefault="00E47BBF" w:rsidP="00BA21B1">
      <w:pPr>
        <w:rPr>
          <w:sz w:val="24"/>
          <w:szCs w:val="24"/>
        </w:rPr>
      </w:pPr>
      <w:r w:rsidRPr="00AC0619">
        <w:rPr>
          <w:sz w:val="24"/>
          <w:szCs w:val="24"/>
        </w:rPr>
        <w:t>COLLECTING THE PERFORMANCE INDICATOR DATA ………………………………………………………….. 4</w:t>
      </w:r>
    </w:p>
    <w:p w:rsidR="00E47BBF" w:rsidRPr="00AC0619" w:rsidRDefault="00E47BBF" w:rsidP="00BA21B1">
      <w:pPr>
        <w:rPr>
          <w:sz w:val="24"/>
          <w:szCs w:val="24"/>
        </w:rPr>
      </w:pPr>
      <w:r w:rsidRPr="00AC0619">
        <w:rPr>
          <w:sz w:val="24"/>
          <w:szCs w:val="24"/>
        </w:rPr>
        <w:t>QUALITY ASSURANCE REVIEW OF THE DATA ……………………………………………………………………… 6</w:t>
      </w:r>
    </w:p>
    <w:p w:rsidR="00E47BBF" w:rsidRPr="00AC0619" w:rsidRDefault="00E47BBF" w:rsidP="00BA21B1">
      <w:pPr>
        <w:rPr>
          <w:sz w:val="24"/>
          <w:szCs w:val="24"/>
        </w:rPr>
      </w:pPr>
      <w:r w:rsidRPr="00AC0619">
        <w:rPr>
          <w:sz w:val="24"/>
          <w:szCs w:val="24"/>
        </w:rPr>
        <w:t>PERFORMANCE INDICATOR DATA – KEY MESSAGES …</w:t>
      </w:r>
      <w:r w:rsidR="00AC0619">
        <w:rPr>
          <w:sz w:val="24"/>
          <w:szCs w:val="24"/>
        </w:rPr>
        <w:t>.</w:t>
      </w:r>
      <w:r w:rsidRPr="00AC0619">
        <w:rPr>
          <w:sz w:val="24"/>
          <w:szCs w:val="24"/>
        </w:rPr>
        <w:t>……………………………………………………… 12</w:t>
      </w:r>
    </w:p>
    <w:p w:rsidR="00E47BBF" w:rsidRPr="00AC0619" w:rsidRDefault="00E47BBF" w:rsidP="00BA21B1">
      <w:pPr>
        <w:rPr>
          <w:sz w:val="24"/>
          <w:szCs w:val="24"/>
        </w:rPr>
      </w:pPr>
      <w:r w:rsidRPr="00AC0619">
        <w:rPr>
          <w:sz w:val="24"/>
          <w:szCs w:val="24"/>
        </w:rPr>
        <w:t>CONCLUSIONS AND RECOMMENDATIONS ………</w:t>
      </w:r>
      <w:r w:rsidR="00AC0619">
        <w:rPr>
          <w:sz w:val="24"/>
          <w:szCs w:val="24"/>
        </w:rPr>
        <w:t>.</w:t>
      </w:r>
      <w:r w:rsidRPr="00AC0619">
        <w:rPr>
          <w:sz w:val="24"/>
          <w:szCs w:val="24"/>
        </w:rPr>
        <w:t>……………………………</w:t>
      </w:r>
      <w:r w:rsidR="00AC0619">
        <w:rPr>
          <w:sz w:val="24"/>
          <w:szCs w:val="24"/>
        </w:rPr>
        <w:t>..</w:t>
      </w:r>
      <w:r w:rsidRPr="00AC0619">
        <w:rPr>
          <w:sz w:val="24"/>
          <w:szCs w:val="24"/>
        </w:rPr>
        <w:t>………………………………. 20</w:t>
      </w:r>
    </w:p>
    <w:p w:rsidR="00E47BBF" w:rsidRPr="00AC0619" w:rsidRDefault="00E47BBF" w:rsidP="00BA21B1">
      <w:pPr>
        <w:rPr>
          <w:sz w:val="24"/>
          <w:szCs w:val="24"/>
        </w:rPr>
      </w:pPr>
      <w:r w:rsidRPr="00AC0619">
        <w:rPr>
          <w:sz w:val="24"/>
          <w:szCs w:val="24"/>
        </w:rPr>
        <w:t>TABLES</w:t>
      </w:r>
    </w:p>
    <w:p w:rsidR="00E47BBF" w:rsidRPr="00AC0619" w:rsidRDefault="00E47BBF" w:rsidP="00BA21B1">
      <w:pPr>
        <w:rPr>
          <w:sz w:val="24"/>
          <w:szCs w:val="24"/>
        </w:rPr>
      </w:pPr>
      <w:r w:rsidRPr="00AC0619">
        <w:rPr>
          <w:sz w:val="24"/>
          <w:szCs w:val="24"/>
        </w:rPr>
        <w:tab/>
        <w:t>SECTION 1: HOUSING …</w:t>
      </w:r>
      <w:r w:rsidR="00AC0619">
        <w:rPr>
          <w:sz w:val="24"/>
          <w:szCs w:val="24"/>
        </w:rPr>
        <w:t>.</w:t>
      </w:r>
      <w:r w:rsidRPr="00AC0619">
        <w:rPr>
          <w:sz w:val="24"/>
          <w:szCs w:val="24"/>
        </w:rPr>
        <w:t>……………………………………………………………………………………….. 22</w:t>
      </w:r>
    </w:p>
    <w:p w:rsidR="00E47BBF" w:rsidRPr="00AC0619" w:rsidRDefault="00E47BBF" w:rsidP="00BA21B1">
      <w:pPr>
        <w:rPr>
          <w:sz w:val="24"/>
          <w:szCs w:val="24"/>
        </w:rPr>
      </w:pPr>
      <w:r w:rsidRPr="00AC0619">
        <w:rPr>
          <w:sz w:val="24"/>
          <w:szCs w:val="24"/>
        </w:rPr>
        <w:tab/>
        <w:t>SECTION 2: ROADS</w:t>
      </w:r>
      <w:r w:rsidR="00AC0619">
        <w:rPr>
          <w:sz w:val="24"/>
          <w:szCs w:val="24"/>
        </w:rPr>
        <w:t xml:space="preserve"> </w:t>
      </w:r>
      <w:r w:rsidRPr="00AC0619">
        <w:rPr>
          <w:sz w:val="24"/>
          <w:szCs w:val="24"/>
        </w:rPr>
        <w:t>……………………………………………………………………………………………</w:t>
      </w:r>
      <w:r w:rsidR="00AC0619">
        <w:rPr>
          <w:sz w:val="24"/>
          <w:szCs w:val="24"/>
        </w:rPr>
        <w:t>.</w:t>
      </w:r>
      <w:r w:rsidRPr="00AC0619">
        <w:rPr>
          <w:sz w:val="24"/>
          <w:szCs w:val="24"/>
        </w:rPr>
        <w:t>…</w:t>
      </w:r>
      <w:r w:rsidR="00AC0619">
        <w:rPr>
          <w:sz w:val="24"/>
          <w:szCs w:val="24"/>
        </w:rPr>
        <w:t>. 32</w:t>
      </w:r>
    </w:p>
    <w:p w:rsidR="00E47BBF" w:rsidRPr="00AC0619" w:rsidRDefault="00E47BBF" w:rsidP="00BA21B1">
      <w:pPr>
        <w:rPr>
          <w:sz w:val="24"/>
          <w:szCs w:val="24"/>
        </w:rPr>
      </w:pPr>
      <w:r w:rsidRPr="00AC0619">
        <w:rPr>
          <w:sz w:val="24"/>
          <w:szCs w:val="24"/>
        </w:rPr>
        <w:tab/>
        <w:t>SECTION 3: WATER …………………………………………………………………………………………</w:t>
      </w:r>
      <w:r w:rsidR="00AC0619">
        <w:rPr>
          <w:sz w:val="24"/>
          <w:szCs w:val="24"/>
        </w:rPr>
        <w:t>.</w:t>
      </w:r>
      <w:r w:rsidRPr="00AC0619">
        <w:rPr>
          <w:sz w:val="24"/>
          <w:szCs w:val="24"/>
        </w:rPr>
        <w:t>……</w:t>
      </w:r>
      <w:r w:rsidR="00AC0619">
        <w:rPr>
          <w:sz w:val="24"/>
          <w:szCs w:val="24"/>
        </w:rPr>
        <w:t xml:space="preserve"> 48</w:t>
      </w:r>
    </w:p>
    <w:p w:rsidR="00E47BBF" w:rsidRPr="00AC0619" w:rsidRDefault="00E47BBF" w:rsidP="00BA21B1">
      <w:pPr>
        <w:rPr>
          <w:sz w:val="24"/>
          <w:szCs w:val="24"/>
        </w:rPr>
      </w:pPr>
      <w:r w:rsidRPr="00AC0619">
        <w:rPr>
          <w:sz w:val="24"/>
          <w:szCs w:val="24"/>
        </w:rPr>
        <w:tab/>
        <w:t>SECTION 4: WASTE/ENVIRONMENT</w:t>
      </w:r>
      <w:r w:rsidR="00AC0619">
        <w:rPr>
          <w:sz w:val="24"/>
          <w:szCs w:val="24"/>
        </w:rPr>
        <w:t xml:space="preserve"> </w:t>
      </w:r>
      <w:r w:rsidRPr="00AC0619">
        <w:rPr>
          <w:sz w:val="24"/>
          <w:szCs w:val="24"/>
        </w:rPr>
        <w:t>……………………………………………………………………</w:t>
      </w:r>
      <w:r w:rsidR="00AC0619">
        <w:rPr>
          <w:sz w:val="24"/>
          <w:szCs w:val="24"/>
        </w:rPr>
        <w:t>.. 50</w:t>
      </w:r>
    </w:p>
    <w:p w:rsidR="00E47BBF" w:rsidRPr="00AC0619" w:rsidRDefault="00E47BBF" w:rsidP="00BA21B1">
      <w:pPr>
        <w:rPr>
          <w:sz w:val="24"/>
          <w:szCs w:val="24"/>
        </w:rPr>
      </w:pPr>
      <w:r w:rsidRPr="00AC0619">
        <w:rPr>
          <w:sz w:val="24"/>
          <w:szCs w:val="24"/>
        </w:rPr>
        <w:tab/>
        <w:t>SECTION 5: PLANNING ………………………………………………………………………………………</w:t>
      </w:r>
      <w:r w:rsidR="00AC0619">
        <w:rPr>
          <w:sz w:val="24"/>
          <w:szCs w:val="24"/>
        </w:rPr>
        <w:t>.... 56</w:t>
      </w:r>
    </w:p>
    <w:p w:rsidR="00E47BBF" w:rsidRPr="00AC0619" w:rsidRDefault="00E47BBF" w:rsidP="00BA21B1">
      <w:pPr>
        <w:rPr>
          <w:sz w:val="24"/>
          <w:szCs w:val="24"/>
        </w:rPr>
      </w:pPr>
      <w:r w:rsidRPr="00AC0619">
        <w:rPr>
          <w:sz w:val="24"/>
          <w:szCs w:val="24"/>
        </w:rPr>
        <w:tab/>
        <w:t>SECTION 6: FIRE ……………………………………………………………………………………………………</w:t>
      </w:r>
      <w:r w:rsidR="00AC0619">
        <w:rPr>
          <w:sz w:val="24"/>
          <w:szCs w:val="24"/>
        </w:rPr>
        <w:t xml:space="preserve"> 60</w:t>
      </w:r>
    </w:p>
    <w:p w:rsidR="00E47BBF" w:rsidRPr="00AC0619" w:rsidRDefault="00E47BBF" w:rsidP="00BA21B1">
      <w:pPr>
        <w:rPr>
          <w:sz w:val="24"/>
          <w:szCs w:val="24"/>
        </w:rPr>
      </w:pPr>
      <w:r w:rsidRPr="00AC0619">
        <w:rPr>
          <w:sz w:val="24"/>
          <w:szCs w:val="24"/>
        </w:rPr>
        <w:tab/>
        <w:t>SECTION 7: LIBRARY …………………………………………………………………………………………</w:t>
      </w:r>
      <w:r w:rsidR="00AC0619">
        <w:rPr>
          <w:sz w:val="24"/>
          <w:szCs w:val="24"/>
        </w:rPr>
        <w:t>….. 65</w:t>
      </w:r>
    </w:p>
    <w:p w:rsidR="00E47BBF" w:rsidRPr="00AC0619" w:rsidRDefault="00E47BBF" w:rsidP="00BA21B1">
      <w:pPr>
        <w:rPr>
          <w:sz w:val="24"/>
          <w:szCs w:val="24"/>
        </w:rPr>
      </w:pPr>
      <w:r w:rsidRPr="00AC0619">
        <w:rPr>
          <w:sz w:val="24"/>
          <w:szCs w:val="24"/>
        </w:rPr>
        <w:tab/>
        <w:t>SECTION 8: YOUTH …………………………………………………………………………………………</w:t>
      </w:r>
      <w:r w:rsidR="00AC0619">
        <w:rPr>
          <w:sz w:val="24"/>
          <w:szCs w:val="24"/>
        </w:rPr>
        <w:t>..</w:t>
      </w:r>
      <w:r w:rsidRPr="00AC0619">
        <w:rPr>
          <w:sz w:val="24"/>
          <w:szCs w:val="24"/>
        </w:rPr>
        <w:t>.…</w:t>
      </w:r>
      <w:r w:rsidR="00AC0619">
        <w:rPr>
          <w:sz w:val="24"/>
          <w:szCs w:val="24"/>
        </w:rPr>
        <w:t>. 67</w:t>
      </w:r>
    </w:p>
    <w:p w:rsidR="00E47BBF" w:rsidRPr="00AC0619" w:rsidRDefault="00E47BBF" w:rsidP="00BA21B1">
      <w:pPr>
        <w:rPr>
          <w:sz w:val="24"/>
          <w:szCs w:val="24"/>
        </w:rPr>
      </w:pPr>
      <w:r w:rsidRPr="00AC0619">
        <w:rPr>
          <w:sz w:val="24"/>
          <w:szCs w:val="24"/>
        </w:rPr>
        <w:tab/>
        <w:t>SECTION 9: CORPORATE</w:t>
      </w:r>
      <w:r w:rsidR="00AC0619">
        <w:rPr>
          <w:sz w:val="24"/>
          <w:szCs w:val="24"/>
        </w:rPr>
        <w:t xml:space="preserve"> </w:t>
      </w:r>
      <w:r w:rsidRPr="00AC0619">
        <w:rPr>
          <w:sz w:val="24"/>
          <w:szCs w:val="24"/>
        </w:rPr>
        <w:t>………………………………………………………………………………………</w:t>
      </w:r>
      <w:r w:rsidR="00AC0619">
        <w:rPr>
          <w:sz w:val="24"/>
          <w:szCs w:val="24"/>
        </w:rPr>
        <w:t>. 69</w:t>
      </w:r>
    </w:p>
    <w:p w:rsidR="00E47BBF" w:rsidRPr="00AC0619" w:rsidRDefault="00E47BBF" w:rsidP="00BA21B1">
      <w:pPr>
        <w:rPr>
          <w:sz w:val="24"/>
          <w:szCs w:val="24"/>
        </w:rPr>
      </w:pPr>
      <w:r w:rsidRPr="00AC0619">
        <w:rPr>
          <w:sz w:val="24"/>
          <w:szCs w:val="24"/>
        </w:rPr>
        <w:tab/>
        <w:t>SECTION 10: FINANCE …………………………………………………………………………………………</w:t>
      </w:r>
      <w:r w:rsidR="00AC0619">
        <w:rPr>
          <w:sz w:val="24"/>
          <w:szCs w:val="24"/>
        </w:rPr>
        <w:t>.. 71</w:t>
      </w:r>
    </w:p>
    <w:p w:rsidR="00E47BBF" w:rsidRPr="00AC0619" w:rsidRDefault="00E47BBF" w:rsidP="00BA21B1">
      <w:pPr>
        <w:rPr>
          <w:sz w:val="24"/>
          <w:szCs w:val="24"/>
        </w:rPr>
      </w:pPr>
      <w:r w:rsidRPr="00AC0619">
        <w:rPr>
          <w:sz w:val="24"/>
          <w:szCs w:val="24"/>
        </w:rPr>
        <w:tab/>
        <w:t>SECTION 11: ECONOMIC DEVELOPMENT ……………………………………………………………</w:t>
      </w:r>
      <w:r w:rsidR="00AC0619">
        <w:rPr>
          <w:sz w:val="24"/>
          <w:szCs w:val="24"/>
        </w:rPr>
        <w:t>.. 79</w:t>
      </w:r>
    </w:p>
    <w:p w:rsidR="00AC0619" w:rsidRDefault="00E47BBF" w:rsidP="00CE3B68">
      <w:pPr>
        <w:spacing w:after="0"/>
        <w:rPr>
          <w:sz w:val="24"/>
          <w:szCs w:val="24"/>
        </w:rPr>
      </w:pPr>
      <w:r w:rsidRPr="00AC0619">
        <w:rPr>
          <w:sz w:val="24"/>
          <w:szCs w:val="24"/>
        </w:rPr>
        <w:tab/>
      </w:r>
      <w:r w:rsidR="00AC0619" w:rsidRPr="00AC0619">
        <w:rPr>
          <w:sz w:val="24"/>
          <w:szCs w:val="24"/>
        </w:rPr>
        <w:t>APPENDIX: PSCI RATINGS INDICATORS</w:t>
      </w:r>
      <w:r w:rsidR="00AC0619">
        <w:rPr>
          <w:sz w:val="24"/>
          <w:szCs w:val="24"/>
        </w:rPr>
        <w:t xml:space="preserve"> </w:t>
      </w:r>
      <w:r w:rsidR="00AC0619" w:rsidRPr="00AC0619">
        <w:rPr>
          <w:sz w:val="24"/>
          <w:szCs w:val="24"/>
        </w:rPr>
        <w:t>…</w:t>
      </w:r>
      <w:r w:rsidR="00AC0619">
        <w:rPr>
          <w:sz w:val="24"/>
          <w:szCs w:val="24"/>
        </w:rPr>
        <w:t>.</w:t>
      </w:r>
      <w:r w:rsidR="00AC0619" w:rsidRPr="00AC0619">
        <w:rPr>
          <w:sz w:val="24"/>
          <w:szCs w:val="24"/>
        </w:rPr>
        <w:t>…………………………………………………………….. 80</w:t>
      </w:r>
    </w:p>
    <w:p w:rsidR="00CE3B68" w:rsidRPr="00AC0619" w:rsidRDefault="00CE3B68" w:rsidP="00CE3B68">
      <w:pPr>
        <w:spacing w:after="0"/>
        <w:rPr>
          <w:sz w:val="24"/>
          <w:szCs w:val="24"/>
        </w:rPr>
      </w:pPr>
    </w:p>
    <w:p w:rsidR="00E47BBF" w:rsidRDefault="00AC0619" w:rsidP="00CE3B68">
      <w:pPr>
        <w:spacing w:after="0"/>
      </w:pPr>
      <w:r w:rsidRPr="00AC0619">
        <w:rPr>
          <w:sz w:val="24"/>
          <w:szCs w:val="24"/>
        </w:rPr>
        <w:t>LGMA COMMENTARY</w:t>
      </w:r>
      <w:r>
        <w:rPr>
          <w:sz w:val="24"/>
          <w:szCs w:val="24"/>
        </w:rPr>
        <w:t xml:space="preserve"> </w:t>
      </w:r>
      <w:r w:rsidRPr="00AC0619">
        <w:rPr>
          <w:sz w:val="24"/>
          <w:szCs w:val="24"/>
        </w:rPr>
        <w:t>……………………………………………………………………………………………………… 81</w:t>
      </w:r>
      <w:r w:rsidR="00E47BBF">
        <w:tab/>
      </w:r>
    </w:p>
    <w:p w:rsidR="00E47BBF" w:rsidRDefault="00E47BBF" w:rsidP="00BA21B1">
      <w:r>
        <w:tab/>
      </w:r>
    </w:p>
    <w:p w:rsidR="00CE3B68" w:rsidRDefault="00CE3B68" w:rsidP="00BA21B1"/>
    <w:p w:rsidR="00E47BBF" w:rsidRDefault="00E47BBF" w:rsidP="00BA21B1">
      <w:r>
        <w:tab/>
      </w:r>
      <w:r>
        <w:tab/>
      </w:r>
    </w:p>
    <w:p w:rsidR="00E47BBF" w:rsidRPr="009B4A07" w:rsidRDefault="00E47BBF" w:rsidP="00BA21B1"/>
    <w:p w:rsidR="00BA21B1" w:rsidRPr="005B338D" w:rsidRDefault="00BA21B1" w:rsidP="00BA21B1">
      <w:pPr>
        <w:spacing w:after="120"/>
        <w:jc w:val="both"/>
        <w:rPr>
          <w:rFonts w:cstheme="minorHAnsi"/>
          <w:b/>
          <w:sz w:val="28"/>
          <w:szCs w:val="28"/>
        </w:rPr>
      </w:pPr>
      <w:r w:rsidRPr="005B338D">
        <w:rPr>
          <w:rFonts w:cstheme="minorHAnsi"/>
          <w:b/>
          <w:sz w:val="28"/>
          <w:szCs w:val="28"/>
        </w:rPr>
        <w:lastRenderedPageBreak/>
        <w:t>Introduction</w:t>
      </w:r>
    </w:p>
    <w:p w:rsidR="00BA21B1" w:rsidRPr="005B338D" w:rsidRDefault="00BA21B1" w:rsidP="00BA21B1">
      <w:pPr>
        <w:spacing w:after="0"/>
        <w:jc w:val="both"/>
        <w:rPr>
          <w:rFonts w:cstheme="minorHAnsi"/>
          <w:bCs/>
          <w:sz w:val="24"/>
          <w:szCs w:val="24"/>
        </w:rPr>
      </w:pPr>
      <w:r w:rsidRPr="005B338D">
        <w:rPr>
          <w:rFonts w:eastAsia="Times New Roman" w:cstheme="minorHAnsi"/>
          <w:sz w:val="24"/>
          <w:szCs w:val="24"/>
          <w:lang w:eastAsia="en-IE"/>
        </w:rPr>
        <w:t xml:space="preserve">Section 126C of the Local Government Reform Act 2014 sets out the functions of the </w:t>
      </w:r>
      <w:r w:rsidRPr="005B338D">
        <w:rPr>
          <w:rFonts w:cstheme="minorHAnsi"/>
          <w:sz w:val="24"/>
          <w:szCs w:val="24"/>
        </w:rPr>
        <w:t xml:space="preserve">National Oversight and Audit Commission (NOAC) </w:t>
      </w:r>
      <w:r w:rsidRPr="005B338D">
        <w:rPr>
          <w:rFonts w:eastAsia="Times New Roman" w:cstheme="minorHAnsi"/>
          <w:sz w:val="24"/>
          <w:szCs w:val="24"/>
          <w:lang w:eastAsia="en-IE"/>
        </w:rPr>
        <w:t xml:space="preserve">to include the </w:t>
      </w:r>
      <w:r w:rsidRPr="005B338D">
        <w:rPr>
          <w:rFonts w:cstheme="minorHAnsi"/>
          <w:sz w:val="24"/>
          <w:szCs w:val="24"/>
        </w:rPr>
        <w:t xml:space="preserve">scrutiny of the performance of local government bodies against relevant indicators (including indicators relating to customer service) </w:t>
      </w:r>
      <w:r w:rsidRPr="005B338D">
        <w:rPr>
          <w:rFonts w:cstheme="minorHAnsi"/>
          <w:bCs/>
          <w:sz w:val="24"/>
          <w:szCs w:val="24"/>
        </w:rPr>
        <w:t xml:space="preserve">that the Commission considers it appropriate to refer to.  </w:t>
      </w:r>
    </w:p>
    <w:p w:rsidR="00BA21B1" w:rsidRDefault="00BA21B1" w:rsidP="00BA21B1">
      <w:pPr>
        <w:pStyle w:val="Default"/>
        <w:spacing w:line="276" w:lineRule="auto"/>
        <w:jc w:val="both"/>
        <w:rPr>
          <w:rFonts w:asciiTheme="minorHAnsi" w:hAnsiTheme="minorHAnsi" w:cstheme="minorHAnsi"/>
          <w:bCs/>
          <w:color w:val="auto"/>
        </w:rPr>
      </w:pPr>
    </w:p>
    <w:p w:rsidR="00BA21B1" w:rsidRPr="005B338D" w:rsidRDefault="00BA21B1" w:rsidP="00BA21B1">
      <w:pPr>
        <w:pStyle w:val="Default"/>
        <w:spacing w:line="276" w:lineRule="auto"/>
        <w:jc w:val="both"/>
        <w:rPr>
          <w:rFonts w:asciiTheme="minorHAnsi" w:hAnsiTheme="minorHAnsi" w:cstheme="minorHAnsi"/>
          <w:bCs/>
          <w:color w:val="auto"/>
        </w:rPr>
      </w:pPr>
      <w:r w:rsidRPr="005B338D">
        <w:rPr>
          <w:rFonts w:asciiTheme="minorHAnsi" w:hAnsiTheme="minorHAnsi" w:cstheme="minorHAnsi"/>
          <w:bCs/>
          <w:color w:val="auto"/>
        </w:rPr>
        <w:t xml:space="preserve">NOAC’s role in relation to the scrutiny of local government performance against relevant performance indicators replaces, in respect of performance in 2014 and subsequent years, the service indicators in local authorities that were introduced by the Minister for the Environment, Community and Local Government (the Minister) in 2004.  The last service indicators report to the Minister containing data on the 46 service indicators in respect of 2013 was published by the Local Government Management Agency (LGMA) in December 2014.  However, the LGMA role in the collection of the data through its </w:t>
      </w:r>
      <w:proofErr w:type="spellStart"/>
      <w:r w:rsidRPr="005B338D">
        <w:rPr>
          <w:rFonts w:asciiTheme="minorHAnsi" w:hAnsiTheme="minorHAnsi" w:cstheme="minorHAnsi"/>
          <w:bCs/>
          <w:color w:val="auto"/>
        </w:rPr>
        <w:t>eReturns</w:t>
      </w:r>
      <w:proofErr w:type="spellEnd"/>
      <w:r w:rsidRPr="005B338D">
        <w:rPr>
          <w:rFonts w:asciiTheme="minorHAnsi" w:hAnsiTheme="minorHAnsi" w:cstheme="minorHAnsi"/>
          <w:bCs/>
          <w:color w:val="auto"/>
        </w:rPr>
        <w:t xml:space="preserve"> system and in the compilation of the </w:t>
      </w:r>
      <w:r>
        <w:rPr>
          <w:rFonts w:asciiTheme="minorHAnsi" w:hAnsiTheme="minorHAnsi" w:cstheme="minorHAnsi"/>
          <w:bCs/>
          <w:color w:val="auto"/>
        </w:rPr>
        <w:t>T</w:t>
      </w:r>
      <w:r w:rsidRPr="005B338D">
        <w:rPr>
          <w:rFonts w:asciiTheme="minorHAnsi" w:hAnsiTheme="minorHAnsi" w:cstheme="minorHAnsi"/>
          <w:bCs/>
          <w:color w:val="auto"/>
        </w:rPr>
        <w:t xml:space="preserve">ables and </w:t>
      </w:r>
      <w:r>
        <w:rPr>
          <w:rFonts w:asciiTheme="minorHAnsi" w:hAnsiTheme="minorHAnsi" w:cstheme="minorHAnsi"/>
          <w:bCs/>
          <w:color w:val="auto"/>
        </w:rPr>
        <w:t>C</w:t>
      </w:r>
      <w:r w:rsidRPr="005B338D">
        <w:rPr>
          <w:rFonts w:asciiTheme="minorHAnsi" w:hAnsiTheme="minorHAnsi" w:cstheme="minorHAnsi"/>
          <w:bCs/>
          <w:color w:val="auto"/>
        </w:rPr>
        <w:t xml:space="preserve">ommentary on the data continues in respect of the replacement performance indicators report to NOAC.  </w:t>
      </w:r>
    </w:p>
    <w:p w:rsidR="00BA21B1" w:rsidRPr="005B338D" w:rsidRDefault="00BA21B1" w:rsidP="00BA21B1">
      <w:pPr>
        <w:spacing w:after="0"/>
        <w:jc w:val="both"/>
        <w:rPr>
          <w:rFonts w:cstheme="minorHAnsi"/>
          <w:bCs/>
          <w:sz w:val="24"/>
          <w:szCs w:val="24"/>
        </w:rPr>
      </w:pPr>
    </w:p>
    <w:p w:rsidR="00BA21B1" w:rsidRPr="005B338D" w:rsidRDefault="00BA21B1" w:rsidP="00BA21B1">
      <w:pPr>
        <w:spacing w:after="0"/>
        <w:jc w:val="both"/>
        <w:rPr>
          <w:rFonts w:cstheme="minorHAnsi"/>
          <w:sz w:val="24"/>
          <w:szCs w:val="24"/>
        </w:rPr>
      </w:pPr>
      <w:r w:rsidRPr="005B338D">
        <w:rPr>
          <w:rFonts w:cstheme="minorHAnsi"/>
          <w:sz w:val="24"/>
          <w:szCs w:val="24"/>
        </w:rPr>
        <w:t xml:space="preserve">Although the Statutory Instrument establishing NOAC was made by the Minister on 1 July 2014, NOAC met for the first time in mid-September and at the end of October it established a sub-group to develop proposals for local authority performance reporting in respect of 2014 and 2015 activity.  In carrying out this task, the guiding criteria were the objective of reporting on a smaller set of performance focussed indicators, with an emphasis on financial performance and customer service, and the fact that without a substantial lead-in period local authorities could only be asked to report on data that they would have collected during 2014 or could access in the normal course.   The sub-group had the benefit of a report prepared by the </w:t>
      </w:r>
      <w:r>
        <w:rPr>
          <w:rFonts w:cstheme="minorHAnsi"/>
          <w:sz w:val="24"/>
          <w:szCs w:val="24"/>
        </w:rPr>
        <w:t>KPI (</w:t>
      </w:r>
      <w:r w:rsidRPr="005B338D">
        <w:rPr>
          <w:rFonts w:cstheme="minorHAnsi"/>
          <w:sz w:val="24"/>
          <w:szCs w:val="24"/>
        </w:rPr>
        <w:t>K</w:t>
      </w:r>
      <w:r>
        <w:rPr>
          <w:rFonts w:cstheme="minorHAnsi"/>
          <w:sz w:val="24"/>
          <w:szCs w:val="24"/>
        </w:rPr>
        <w:t xml:space="preserve">ey </w:t>
      </w:r>
      <w:r w:rsidRPr="005B338D">
        <w:rPr>
          <w:rFonts w:cstheme="minorHAnsi"/>
          <w:sz w:val="24"/>
          <w:szCs w:val="24"/>
        </w:rPr>
        <w:t>P</w:t>
      </w:r>
      <w:r>
        <w:rPr>
          <w:rFonts w:cstheme="minorHAnsi"/>
          <w:sz w:val="24"/>
          <w:szCs w:val="24"/>
        </w:rPr>
        <w:t xml:space="preserve">erformance </w:t>
      </w:r>
      <w:r w:rsidRPr="005B338D">
        <w:rPr>
          <w:rFonts w:cstheme="minorHAnsi"/>
          <w:sz w:val="24"/>
          <w:szCs w:val="24"/>
        </w:rPr>
        <w:t>I</w:t>
      </w:r>
      <w:r>
        <w:rPr>
          <w:rFonts w:cstheme="minorHAnsi"/>
          <w:sz w:val="24"/>
          <w:szCs w:val="24"/>
        </w:rPr>
        <w:t>ndicators)</w:t>
      </w:r>
      <w:r w:rsidRPr="005B338D">
        <w:rPr>
          <w:rFonts w:cstheme="minorHAnsi"/>
          <w:sz w:val="24"/>
          <w:szCs w:val="24"/>
        </w:rPr>
        <w:t xml:space="preserve"> Working Group of the County and City Managers’ Association (CCMA), which recommended the deletion or amendment of many of the previously applicable service indicators as well as some new ones.  Arising from the work of the sub-group, NOAC decided that 35 indicators should be reported on in respect of 2014 activity covering a wide range of the functions carried out by local authorities in the areas of housing (6), roads (2), planning (4), water (2), waste/environment (5), fire service (3), library/recreation (2), youth/community (4), corporate (4), finance (2) and economic development (1).  </w:t>
      </w:r>
    </w:p>
    <w:p w:rsidR="00BA21B1" w:rsidRPr="005B338D" w:rsidRDefault="00BA21B1" w:rsidP="00BA21B1">
      <w:pPr>
        <w:spacing w:after="0"/>
        <w:jc w:val="both"/>
        <w:rPr>
          <w:rFonts w:cstheme="minorHAnsi"/>
          <w:bCs/>
          <w:sz w:val="24"/>
          <w:szCs w:val="24"/>
        </w:rPr>
      </w:pPr>
    </w:p>
    <w:p w:rsidR="00BA21B1" w:rsidRDefault="00BA21B1" w:rsidP="00BA21B1">
      <w:pPr>
        <w:spacing w:after="0"/>
        <w:jc w:val="both"/>
        <w:rPr>
          <w:rFonts w:eastAsia="Times New Roman" w:cstheme="minorHAnsi"/>
          <w:sz w:val="24"/>
          <w:szCs w:val="24"/>
          <w:lang w:eastAsia="en-IE"/>
        </w:rPr>
      </w:pPr>
      <w:r w:rsidRPr="005B338D">
        <w:rPr>
          <w:rFonts w:eastAsia="Times New Roman" w:cstheme="minorHAnsi"/>
          <w:sz w:val="24"/>
          <w:szCs w:val="24"/>
          <w:lang w:eastAsia="en-IE"/>
        </w:rPr>
        <w:t xml:space="preserve">The data on performance was collected from local authorities by the LGMA and </w:t>
      </w:r>
      <w:r w:rsidRPr="00D31D88">
        <w:rPr>
          <w:rFonts w:eastAsia="Times New Roman" w:cstheme="minorHAnsi"/>
          <w:b/>
          <w:sz w:val="24"/>
          <w:szCs w:val="24"/>
          <w:lang w:eastAsia="en-IE"/>
        </w:rPr>
        <w:t>the detailed results for each indicator are provided in Tables 1 to 26 on pages 22 to 79</w:t>
      </w:r>
      <w:r w:rsidRPr="005B338D">
        <w:rPr>
          <w:rFonts w:eastAsia="Times New Roman" w:cstheme="minorHAnsi"/>
          <w:sz w:val="24"/>
          <w:szCs w:val="24"/>
          <w:lang w:eastAsia="en-IE"/>
        </w:rPr>
        <w:t xml:space="preserve"> of this report.  </w:t>
      </w:r>
      <w:r w:rsidRPr="00D31D88">
        <w:rPr>
          <w:rFonts w:eastAsia="Times New Roman" w:cstheme="minorHAnsi"/>
          <w:b/>
          <w:sz w:val="24"/>
          <w:szCs w:val="24"/>
          <w:lang w:eastAsia="en-IE"/>
        </w:rPr>
        <w:t>The LGMA’s associated commentary on the information provided by the indicators is at pages 81 to 107</w:t>
      </w:r>
      <w:r w:rsidRPr="005B338D">
        <w:rPr>
          <w:rFonts w:eastAsia="Times New Roman" w:cstheme="minorHAnsi"/>
          <w:sz w:val="24"/>
          <w:szCs w:val="24"/>
          <w:lang w:eastAsia="en-IE"/>
        </w:rPr>
        <w:t xml:space="preserve">.  </w:t>
      </w:r>
      <w:r>
        <w:rPr>
          <w:rFonts w:eastAsia="Times New Roman" w:cstheme="minorHAnsi"/>
          <w:sz w:val="24"/>
          <w:szCs w:val="24"/>
          <w:lang w:eastAsia="en-IE"/>
        </w:rPr>
        <w:t xml:space="preserve">This includes at page 86 an explanation of mean and median values that are referenced frequently in this report.  </w:t>
      </w:r>
      <w:r w:rsidRPr="005B338D">
        <w:rPr>
          <w:rFonts w:eastAsia="Times New Roman" w:cstheme="minorHAnsi"/>
          <w:sz w:val="24"/>
          <w:szCs w:val="24"/>
          <w:lang w:eastAsia="en-IE"/>
        </w:rPr>
        <w:t xml:space="preserve">The report of NOAC’s </w:t>
      </w:r>
      <w:r w:rsidRPr="00D31D88">
        <w:rPr>
          <w:rFonts w:eastAsia="Times New Roman" w:cstheme="minorHAnsi"/>
          <w:b/>
          <w:sz w:val="24"/>
          <w:szCs w:val="24"/>
          <w:lang w:eastAsia="en-IE"/>
        </w:rPr>
        <w:t>quality assurance review of 7 of the indicators and of its assessment visits to 8 of the 31 local authorities is at pages 6 to 11</w:t>
      </w:r>
      <w:r w:rsidRPr="005B338D">
        <w:rPr>
          <w:rFonts w:eastAsia="Times New Roman" w:cstheme="minorHAnsi"/>
          <w:sz w:val="24"/>
          <w:szCs w:val="24"/>
          <w:lang w:eastAsia="en-IE"/>
        </w:rPr>
        <w:t xml:space="preserve">.  </w:t>
      </w:r>
      <w:r w:rsidRPr="004C438D">
        <w:rPr>
          <w:rFonts w:eastAsia="Times New Roman" w:cs="Calibri"/>
          <w:sz w:val="24"/>
          <w:szCs w:val="24"/>
          <w:lang w:eastAsia="en-IE"/>
        </w:rPr>
        <w:t xml:space="preserve">The performance indicator data brings together a wide range of information about how all </w:t>
      </w:r>
      <w:r>
        <w:rPr>
          <w:rFonts w:eastAsia="Times New Roman" w:cs="Calibri"/>
          <w:sz w:val="24"/>
          <w:szCs w:val="24"/>
          <w:lang w:eastAsia="en-IE"/>
        </w:rPr>
        <w:t xml:space="preserve">the local authorities </w:t>
      </w:r>
      <w:r w:rsidRPr="004C438D">
        <w:rPr>
          <w:rFonts w:eastAsia="Times New Roman" w:cs="Calibri"/>
          <w:sz w:val="24"/>
          <w:szCs w:val="24"/>
          <w:lang w:eastAsia="en-IE"/>
        </w:rPr>
        <w:t>perform in delivering services to local communities</w:t>
      </w:r>
      <w:r>
        <w:rPr>
          <w:rFonts w:eastAsia="Times New Roman" w:cs="Calibri"/>
          <w:sz w:val="24"/>
          <w:szCs w:val="24"/>
          <w:lang w:eastAsia="en-IE"/>
        </w:rPr>
        <w:t xml:space="preserve"> and </w:t>
      </w:r>
      <w:r w:rsidRPr="00D31D88">
        <w:rPr>
          <w:rFonts w:eastAsia="Times New Roman" w:cs="Calibri"/>
          <w:b/>
          <w:sz w:val="24"/>
          <w:szCs w:val="24"/>
          <w:lang w:eastAsia="en-IE"/>
        </w:rPr>
        <w:t xml:space="preserve">key </w:t>
      </w:r>
      <w:r w:rsidRPr="00D31D88">
        <w:rPr>
          <w:rFonts w:eastAsia="Times New Roman" w:cs="Calibri"/>
          <w:b/>
          <w:sz w:val="24"/>
          <w:szCs w:val="24"/>
          <w:lang w:eastAsia="en-IE"/>
        </w:rPr>
        <w:lastRenderedPageBreak/>
        <w:t>messages in this regard are highlighted at pages 12 to 19</w:t>
      </w:r>
      <w:r w:rsidRPr="004C438D">
        <w:rPr>
          <w:rFonts w:eastAsia="Times New Roman" w:cs="Calibri"/>
          <w:sz w:val="24"/>
          <w:szCs w:val="24"/>
          <w:lang w:eastAsia="en-IE"/>
        </w:rPr>
        <w:t>.</w:t>
      </w:r>
      <w:r>
        <w:rPr>
          <w:rFonts w:eastAsia="Times New Roman" w:cs="Calibri"/>
          <w:sz w:val="24"/>
          <w:szCs w:val="24"/>
          <w:lang w:eastAsia="en-IE"/>
        </w:rPr>
        <w:t xml:space="preserve">  </w:t>
      </w:r>
      <w:r w:rsidRPr="00D31D88">
        <w:rPr>
          <w:rFonts w:eastAsia="Times New Roman" w:cs="Calibri"/>
          <w:b/>
          <w:sz w:val="24"/>
          <w:szCs w:val="24"/>
          <w:lang w:eastAsia="en-IE"/>
        </w:rPr>
        <w:t>N</w:t>
      </w:r>
      <w:r w:rsidRPr="00D31D88">
        <w:rPr>
          <w:rFonts w:eastAsia="Times New Roman" w:cstheme="minorHAnsi"/>
          <w:b/>
          <w:sz w:val="24"/>
          <w:szCs w:val="24"/>
          <w:lang w:eastAsia="en-IE"/>
        </w:rPr>
        <w:t>OAC’s conclusions and recommendations</w:t>
      </w:r>
      <w:r w:rsidRPr="005B338D">
        <w:rPr>
          <w:rFonts w:eastAsia="Times New Roman" w:cstheme="minorHAnsi"/>
          <w:sz w:val="24"/>
          <w:szCs w:val="24"/>
          <w:lang w:eastAsia="en-IE"/>
        </w:rPr>
        <w:t xml:space="preserve"> arising from the experience of the </w:t>
      </w:r>
      <w:r>
        <w:rPr>
          <w:rFonts w:eastAsia="Times New Roman" w:cstheme="minorHAnsi"/>
          <w:sz w:val="24"/>
          <w:szCs w:val="24"/>
          <w:lang w:eastAsia="en-IE"/>
        </w:rPr>
        <w:t xml:space="preserve">2014 </w:t>
      </w:r>
      <w:r w:rsidRPr="005B338D">
        <w:rPr>
          <w:rFonts w:eastAsia="Times New Roman" w:cstheme="minorHAnsi"/>
          <w:sz w:val="24"/>
          <w:szCs w:val="24"/>
          <w:lang w:eastAsia="en-IE"/>
        </w:rPr>
        <w:t>data collection, compilation and verification process</w:t>
      </w:r>
      <w:r>
        <w:rPr>
          <w:rFonts w:eastAsia="Times New Roman" w:cstheme="minorHAnsi"/>
          <w:sz w:val="24"/>
          <w:szCs w:val="24"/>
          <w:lang w:eastAsia="en-IE"/>
        </w:rPr>
        <w:t>,</w:t>
      </w:r>
      <w:r w:rsidRPr="005B338D">
        <w:rPr>
          <w:rFonts w:eastAsia="Times New Roman" w:cstheme="minorHAnsi"/>
          <w:sz w:val="24"/>
          <w:szCs w:val="24"/>
          <w:lang w:eastAsia="en-IE"/>
        </w:rPr>
        <w:t xml:space="preserve"> and </w:t>
      </w:r>
      <w:r>
        <w:rPr>
          <w:rFonts w:eastAsia="Times New Roman" w:cstheme="minorHAnsi"/>
          <w:sz w:val="24"/>
          <w:szCs w:val="24"/>
          <w:lang w:eastAsia="en-IE"/>
        </w:rPr>
        <w:t xml:space="preserve">its analysis of the </w:t>
      </w:r>
      <w:r w:rsidRPr="005B338D">
        <w:rPr>
          <w:rFonts w:eastAsia="Times New Roman" w:cstheme="minorHAnsi"/>
          <w:sz w:val="24"/>
          <w:szCs w:val="24"/>
          <w:lang w:eastAsia="en-IE"/>
        </w:rPr>
        <w:t>information contained in Tables 1 to 26</w:t>
      </w:r>
      <w:r>
        <w:rPr>
          <w:rFonts w:eastAsia="Times New Roman" w:cstheme="minorHAnsi"/>
          <w:sz w:val="24"/>
          <w:szCs w:val="24"/>
          <w:lang w:eastAsia="en-IE"/>
        </w:rPr>
        <w:t>,</w:t>
      </w:r>
      <w:r w:rsidRPr="005B338D">
        <w:rPr>
          <w:rFonts w:eastAsia="Times New Roman" w:cstheme="minorHAnsi"/>
          <w:sz w:val="24"/>
          <w:szCs w:val="24"/>
          <w:lang w:eastAsia="en-IE"/>
        </w:rPr>
        <w:t xml:space="preserve"> </w:t>
      </w:r>
      <w:r w:rsidRPr="00D31D88">
        <w:rPr>
          <w:rFonts w:eastAsia="Times New Roman" w:cstheme="minorHAnsi"/>
          <w:b/>
          <w:sz w:val="24"/>
          <w:szCs w:val="24"/>
          <w:lang w:eastAsia="en-IE"/>
        </w:rPr>
        <w:t>are at pages 20 and 21</w:t>
      </w:r>
      <w:r w:rsidRPr="005B338D">
        <w:rPr>
          <w:rFonts w:eastAsia="Times New Roman" w:cstheme="minorHAnsi"/>
          <w:sz w:val="24"/>
          <w:szCs w:val="24"/>
          <w:lang w:eastAsia="en-IE"/>
        </w:rPr>
        <w:t xml:space="preserve">.  </w:t>
      </w:r>
    </w:p>
    <w:p w:rsidR="00BA21B1" w:rsidRDefault="00BA21B1" w:rsidP="00BA21B1">
      <w:pPr>
        <w:spacing w:after="0"/>
        <w:jc w:val="both"/>
        <w:rPr>
          <w:rFonts w:eastAsia="Times New Roman" w:cstheme="minorHAnsi"/>
          <w:sz w:val="24"/>
          <w:szCs w:val="24"/>
          <w:lang w:eastAsia="en-IE"/>
        </w:rPr>
      </w:pPr>
    </w:p>
    <w:p w:rsidR="00BA21B1" w:rsidRDefault="00BA21B1" w:rsidP="00BA21B1">
      <w:pPr>
        <w:spacing w:after="0"/>
        <w:jc w:val="both"/>
        <w:rPr>
          <w:rFonts w:eastAsia="Times New Roman" w:cstheme="minorHAnsi"/>
          <w:sz w:val="24"/>
          <w:szCs w:val="24"/>
          <w:lang w:eastAsia="en-IE"/>
        </w:rPr>
      </w:pPr>
      <w:r w:rsidRPr="00F444F2">
        <w:rPr>
          <w:rFonts w:eastAsia="Times New Roman" w:cs="Calibri"/>
          <w:sz w:val="24"/>
          <w:szCs w:val="24"/>
          <w:lang w:eastAsia="en-IE"/>
        </w:rPr>
        <w:t>While the LGMA commentary presents an analysis and graphics relating primarily to the data outcomes and NOAC’s analysis focusses mainly on the performance aspect, there is inevitably some overlap in the material covered in these sections of the report.</w:t>
      </w:r>
      <w:r>
        <w:rPr>
          <w:rFonts w:eastAsia="Times New Roman" w:cs="Calibri"/>
          <w:sz w:val="24"/>
          <w:szCs w:val="24"/>
          <w:lang w:eastAsia="en-IE"/>
        </w:rPr>
        <w:t xml:space="preserve">  </w:t>
      </w:r>
    </w:p>
    <w:p w:rsidR="00BA21B1" w:rsidRPr="005B338D" w:rsidRDefault="00BA21B1" w:rsidP="00BA21B1">
      <w:pPr>
        <w:spacing w:after="0"/>
        <w:jc w:val="both"/>
        <w:rPr>
          <w:rFonts w:eastAsia="Times New Roman" w:cstheme="minorHAnsi"/>
          <w:sz w:val="24"/>
          <w:szCs w:val="24"/>
          <w:lang w:eastAsia="en-IE"/>
        </w:rPr>
      </w:pPr>
    </w:p>
    <w:p w:rsidR="00BA21B1" w:rsidRPr="005B338D" w:rsidRDefault="00BA21B1" w:rsidP="00BA21B1">
      <w:pPr>
        <w:spacing w:after="0"/>
        <w:jc w:val="both"/>
        <w:rPr>
          <w:rFonts w:cstheme="minorHAnsi"/>
          <w:bCs/>
          <w:sz w:val="24"/>
          <w:szCs w:val="24"/>
          <w:lang w:eastAsia="en-IE"/>
        </w:rPr>
      </w:pPr>
      <w:r w:rsidRPr="005B338D">
        <w:rPr>
          <w:rFonts w:cstheme="minorHAnsi"/>
          <w:bCs/>
          <w:sz w:val="24"/>
          <w:szCs w:val="24"/>
          <w:lang w:eastAsia="en-IE"/>
        </w:rPr>
        <w:t xml:space="preserve">NOAC wishes to express its thanks to the staff in the local authorities who contributed the data and those who facilitated </w:t>
      </w:r>
      <w:r>
        <w:rPr>
          <w:rFonts w:cstheme="minorHAnsi"/>
          <w:bCs/>
          <w:sz w:val="24"/>
          <w:szCs w:val="24"/>
          <w:lang w:eastAsia="en-IE"/>
        </w:rPr>
        <w:t xml:space="preserve">and participated in </w:t>
      </w:r>
      <w:r w:rsidRPr="005B338D">
        <w:rPr>
          <w:rFonts w:cstheme="minorHAnsi"/>
          <w:bCs/>
          <w:sz w:val="24"/>
          <w:szCs w:val="24"/>
          <w:lang w:eastAsia="en-IE"/>
        </w:rPr>
        <w:t xml:space="preserve">assessment visits.  It also wishes to express its appreciation to the staff of the LGMA who compiled the data in the report and provided the commentary at pages </w:t>
      </w:r>
      <w:r>
        <w:rPr>
          <w:rFonts w:cstheme="minorHAnsi"/>
          <w:bCs/>
          <w:sz w:val="24"/>
          <w:szCs w:val="24"/>
          <w:lang w:eastAsia="en-IE"/>
        </w:rPr>
        <w:t>81</w:t>
      </w:r>
      <w:r w:rsidRPr="005B338D">
        <w:rPr>
          <w:rFonts w:cstheme="minorHAnsi"/>
          <w:bCs/>
          <w:sz w:val="24"/>
          <w:szCs w:val="24"/>
          <w:lang w:eastAsia="en-IE"/>
        </w:rPr>
        <w:t xml:space="preserve"> to </w:t>
      </w:r>
      <w:r>
        <w:rPr>
          <w:rFonts w:cstheme="minorHAnsi"/>
          <w:bCs/>
          <w:sz w:val="24"/>
          <w:szCs w:val="24"/>
          <w:lang w:eastAsia="en-IE"/>
        </w:rPr>
        <w:t>107</w:t>
      </w:r>
      <w:r w:rsidRPr="005B338D">
        <w:rPr>
          <w:rFonts w:cstheme="minorHAnsi"/>
          <w:bCs/>
          <w:sz w:val="24"/>
          <w:szCs w:val="24"/>
          <w:lang w:eastAsia="en-IE"/>
        </w:rPr>
        <w:t>.</w:t>
      </w:r>
    </w:p>
    <w:p w:rsidR="00BA21B1" w:rsidRDefault="00BA21B1" w:rsidP="00BA21B1">
      <w:pPr>
        <w:rPr>
          <w:rFonts w:ascii="Calibri" w:hAnsi="Calibri" w:cs="Calibri"/>
          <w:bCs/>
        </w:rPr>
      </w:pPr>
    </w:p>
    <w:p w:rsidR="00BA21B1" w:rsidRDefault="00BA21B1" w:rsidP="00BA21B1">
      <w:pPr>
        <w:rPr>
          <w:rFonts w:cs="Calibri"/>
          <w:b/>
          <w:sz w:val="24"/>
          <w:szCs w:val="24"/>
          <w:u w:val="single"/>
        </w:rPr>
      </w:pPr>
      <w:r>
        <w:rPr>
          <w:rFonts w:cs="Calibri"/>
          <w:b/>
          <w:sz w:val="24"/>
          <w:szCs w:val="24"/>
          <w:u w:val="single"/>
        </w:rPr>
        <w:br w:type="page"/>
      </w:r>
    </w:p>
    <w:p w:rsidR="00BA21B1" w:rsidRPr="005B338D" w:rsidRDefault="00BA21B1" w:rsidP="00BA21B1">
      <w:pPr>
        <w:jc w:val="both"/>
        <w:rPr>
          <w:rFonts w:cs="Calibri"/>
          <w:b/>
          <w:sz w:val="28"/>
          <w:szCs w:val="28"/>
        </w:rPr>
      </w:pPr>
      <w:r w:rsidRPr="005B338D">
        <w:rPr>
          <w:rFonts w:cs="Calibri"/>
          <w:b/>
          <w:sz w:val="28"/>
          <w:szCs w:val="28"/>
        </w:rPr>
        <w:lastRenderedPageBreak/>
        <w:t>Collecting the Performance Indicator Data</w:t>
      </w:r>
    </w:p>
    <w:p w:rsidR="00BA21B1" w:rsidRDefault="00BA21B1" w:rsidP="00BA21B1">
      <w:pPr>
        <w:spacing w:after="0"/>
        <w:jc w:val="both"/>
        <w:rPr>
          <w:rFonts w:cs="Calibri"/>
          <w:sz w:val="24"/>
          <w:szCs w:val="24"/>
        </w:rPr>
      </w:pPr>
      <w:r w:rsidRPr="00225C77">
        <w:rPr>
          <w:rFonts w:cs="Calibri"/>
          <w:sz w:val="24"/>
          <w:szCs w:val="24"/>
        </w:rPr>
        <w:t>The LGMA forwarded to Chief Executives on 19 February 2015 the Guidance document on the completion of the Performance Indicators prepared by NOAC and tested by the LGMA with a number of local authority officials.</w:t>
      </w:r>
      <w:r>
        <w:rPr>
          <w:rFonts w:cs="Calibri"/>
          <w:sz w:val="24"/>
          <w:szCs w:val="24"/>
        </w:rPr>
        <w:t xml:space="preserve">  </w:t>
      </w:r>
      <w:r w:rsidRPr="00225C77">
        <w:rPr>
          <w:rFonts w:cs="Calibri"/>
          <w:sz w:val="24"/>
          <w:szCs w:val="24"/>
        </w:rPr>
        <w:t xml:space="preserve">The deadline notified to local authorities for submitting the data </w:t>
      </w:r>
      <w:r>
        <w:rPr>
          <w:rFonts w:cs="Calibri"/>
          <w:sz w:val="24"/>
          <w:szCs w:val="24"/>
        </w:rPr>
        <w:t xml:space="preserve">to the LGMA </w:t>
      </w:r>
      <w:proofErr w:type="spellStart"/>
      <w:r>
        <w:rPr>
          <w:rFonts w:cs="Calibri"/>
          <w:sz w:val="24"/>
          <w:szCs w:val="24"/>
        </w:rPr>
        <w:t>eReturns</w:t>
      </w:r>
      <w:proofErr w:type="spellEnd"/>
      <w:r>
        <w:rPr>
          <w:rFonts w:cs="Calibri"/>
          <w:sz w:val="24"/>
          <w:szCs w:val="24"/>
        </w:rPr>
        <w:t xml:space="preserve"> electronic system </w:t>
      </w:r>
      <w:r w:rsidRPr="00225C77">
        <w:rPr>
          <w:rFonts w:cs="Calibri"/>
          <w:sz w:val="24"/>
          <w:szCs w:val="24"/>
        </w:rPr>
        <w:t xml:space="preserve">was 30 April 2015.  By mid-May the following 22 local authorities had completed their returns:  </w:t>
      </w:r>
    </w:p>
    <w:p w:rsidR="00BA21B1" w:rsidRPr="00225C77" w:rsidRDefault="00BA21B1" w:rsidP="00BA21B1">
      <w:pPr>
        <w:spacing w:after="0" w:line="240" w:lineRule="auto"/>
        <w:jc w:val="both"/>
        <w:rPr>
          <w:rFonts w:cs="Calibri"/>
          <w:sz w:val="24"/>
          <w:szCs w:val="24"/>
        </w:rPr>
      </w:pPr>
      <w:r>
        <w:rPr>
          <w:rFonts w:cs="Calibri"/>
          <w:sz w:val="24"/>
          <w:szCs w:val="24"/>
        </w:rPr>
        <w:t xml:space="preserve">            </w:t>
      </w:r>
    </w:p>
    <w:p w:rsidR="00BA21B1" w:rsidRPr="00225C77" w:rsidRDefault="00BA21B1" w:rsidP="00BA21B1">
      <w:pPr>
        <w:spacing w:after="0" w:line="240" w:lineRule="auto"/>
        <w:ind w:left="720"/>
        <w:jc w:val="both"/>
        <w:rPr>
          <w:rFonts w:cs="Calibri"/>
          <w:sz w:val="24"/>
          <w:szCs w:val="24"/>
        </w:rPr>
      </w:pPr>
      <w:r w:rsidRPr="00225C77">
        <w:rPr>
          <w:rFonts w:cs="Calibri"/>
          <w:sz w:val="24"/>
          <w:szCs w:val="24"/>
        </w:rPr>
        <w:t>Carlow County Council</w:t>
      </w:r>
    </w:p>
    <w:p w:rsidR="00BA21B1" w:rsidRPr="00225C77" w:rsidRDefault="00BA21B1" w:rsidP="00BA21B1">
      <w:pPr>
        <w:spacing w:after="0" w:line="240" w:lineRule="auto"/>
        <w:ind w:left="720"/>
        <w:jc w:val="both"/>
        <w:rPr>
          <w:rFonts w:cs="Calibri"/>
          <w:sz w:val="24"/>
          <w:szCs w:val="24"/>
        </w:rPr>
      </w:pPr>
      <w:r w:rsidRPr="00225C77">
        <w:rPr>
          <w:rFonts w:cs="Calibri"/>
          <w:sz w:val="24"/>
          <w:szCs w:val="24"/>
        </w:rPr>
        <w:t>Cork County Council</w:t>
      </w:r>
    </w:p>
    <w:p w:rsidR="00BA21B1" w:rsidRPr="00225C77" w:rsidRDefault="00BA21B1" w:rsidP="00BA21B1">
      <w:pPr>
        <w:spacing w:after="0" w:line="240" w:lineRule="auto"/>
        <w:ind w:left="720"/>
        <w:jc w:val="both"/>
        <w:rPr>
          <w:rFonts w:cs="Calibri"/>
          <w:sz w:val="24"/>
          <w:szCs w:val="24"/>
        </w:rPr>
      </w:pPr>
      <w:r w:rsidRPr="00225C77">
        <w:rPr>
          <w:rFonts w:cs="Calibri"/>
          <w:sz w:val="24"/>
          <w:szCs w:val="24"/>
        </w:rPr>
        <w:t>Donegal County Council</w:t>
      </w:r>
    </w:p>
    <w:p w:rsidR="00BA21B1" w:rsidRPr="00225C77" w:rsidRDefault="00BA21B1" w:rsidP="00BA21B1">
      <w:pPr>
        <w:spacing w:after="0" w:line="240" w:lineRule="auto"/>
        <w:ind w:left="720"/>
        <w:jc w:val="both"/>
        <w:rPr>
          <w:rFonts w:cs="Calibri"/>
          <w:sz w:val="24"/>
          <w:szCs w:val="24"/>
        </w:rPr>
      </w:pPr>
      <w:r w:rsidRPr="00225C77">
        <w:rPr>
          <w:rFonts w:cs="Calibri"/>
          <w:bCs/>
          <w:sz w:val="24"/>
          <w:szCs w:val="24"/>
          <w:lang w:eastAsia="en-IE"/>
        </w:rPr>
        <w:t xml:space="preserve">Dublin City Council                                         </w:t>
      </w:r>
    </w:p>
    <w:p w:rsidR="00BA21B1" w:rsidRPr="00225C77" w:rsidRDefault="00BA21B1" w:rsidP="00BA21B1">
      <w:pPr>
        <w:spacing w:after="0" w:line="240" w:lineRule="auto"/>
        <w:ind w:left="720"/>
        <w:jc w:val="both"/>
        <w:rPr>
          <w:rFonts w:cs="Calibri"/>
          <w:bCs/>
          <w:sz w:val="24"/>
          <w:szCs w:val="24"/>
          <w:lang w:eastAsia="en-IE"/>
        </w:rPr>
      </w:pPr>
      <w:proofErr w:type="spellStart"/>
      <w:r w:rsidRPr="00225C77">
        <w:rPr>
          <w:rFonts w:cs="Calibri"/>
          <w:bCs/>
          <w:sz w:val="24"/>
          <w:szCs w:val="24"/>
          <w:lang w:eastAsia="en-IE"/>
        </w:rPr>
        <w:t>Dún</w:t>
      </w:r>
      <w:proofErr w:type="spellEnd"/>
      <w:r w:rsidRPr="00225C77">
        <w:rPr>
          <w:rFonts w:cs="Calibri"/>
          <w:bCs/>
          <w:sz w:val="24"/>
          <w:szCs w:val="24"/>
          <w:lang w:eastAsia="en-IE"/>
        </w:rPr>
        <w:t xml:space="preserve"> Laoghaire-</w:t>
      </w:r>
      <w:proofErr w:type="spellStart"/>
      <w:r w:rsidRPr="00225C77">
        <w:rPr>
          <w:rFonts w:cs="Calibri"/>
          <w:bCs/>
          <w:sz w:val="24"/>
          <w:szCs w:val="24"/>
          <w:lang w:eastAsia="en-IE"/>
        </w:rPr>
        <w:t>Rathdown</w:t>
      </w:r>
      <w:proofErr w:type="spellEnd"/>
      <w:r w:rsidRPr="00225C77">
        <w:rPr>
          <w:rFonts w:cs="Calibri"/>
          <w:bCs/>
          <w:sz w:val="24"/>
          <w:szCs w:val="24"/>
          <w:lang w:eastAsia="en-IE"/>
        </w:rPr>
        <w:t xml:space="preserve"> County Council            </w:t>
      </w:r>
    </w:p>
    <w:p w:rsidR="00BA21B1" w:rsidRPr="00225C77" w:rsidRDefault="00BA21B1" w:rsidP="00BA21B1">
      <w:pPr>
        <w:spacing w:after="0" w:line="240" w:lineRule="auto"/>
        <w:ind w:left="720"/>
        <w:jc w:val="both"/>
        <w:rPr>
          <w:rFonts w:cs="Calibri"/>
          <w:sz w:val="24"/>
          <w:szCs w:val="24"/>
        </w:rPr>
      </w:pPr>
      <w:proofErr w:type="spellStart"/>
      <w:r w:rsidRPr="00225C77">
        <w:rPr>
          <w:rFonts w:cs="Calibri"/>
          <w:bCs/>
          <w:sz w:val="24"/>
          <w:szCs w:val="24"/>
          <w:lang w:eastAsia="en-IE"/>
        </w:rPr>
        <w:t>Fingal</w:t>
      </w:r>
      <w:proofErr w:type="spellEnd"/>
      <w:r w:rsidRPr="00225C77">
        <w:rPr>
          <w:rFonts w:cs="Calibri"/>
          <w:bCs/>
          <w:sz w:val="24"/>
          <w:szCs w:val="24"/>
          <w:lang w:eastAsia="en-IE"/>
        </w:rPr>
        <w:t xml:space="preserve"> County Council                                                    </w:t>
      </w:r>
    </w:p>
    <w:p w:rsidR="00BA21B1" w:rsidRPr="00225C77" w:rsidRDefault="00BA21B1" w:rsidP="00BA21B1">
      <w:pPr>
        <w:spacing w:after="0" w:line="240" w:lineRule="auto"/>
        <w:ind w:left="720"/>
        <w:jc w:val="both"/>
        <w:rPr>
          <w:rFonts w:cs="Calibri"/>
          <w:bCs/>
          <w:sz w:val="24"/>
          <w:szCs w:val="24"/>
          <w:lang w:eastAsia="en-IE"/>
        </w:rPr>
      </w:pPr>
      <w:r w:rsidRPr="00225C77">
        <w:rPr>
          <w:rFonts w:cs="Calibri"/>
          <w:bCs/>
          <w:sz w:val="24"/>
          <w:szCs w:val="24"/>
          <w:lang w:eastAsia="en-IE"/>
        </w:rPr>
        <w:t xml:space="preserve">Galway City Council                                                       </w:t>
      </w:r>
    </w:p>
    <w:p w:rsidR="00BA21B1" w:rsidRPr="00225C77" w:rsidRDefault="00BA21B1" w:rsidP="00BA21B1">
      <w:pPr>
        <w:spacing w:after="0" w:line="240" w:lineRule="auto"/>
        <w:ind w:left="720"/>
        <w:jc w:val="both"/>
        <w:rPr>
          <w:rFonts w:cs="Calibri"/>
          <w:bCs/>
          <w:sz w:val="24"/>
          <w:szCs w:val="24"/>
          <w:lang w:eastAsia="en-IE"/>
        </w:rPr>
      </w:pPr>
      <w:r w:rsidRPr="00225C77">
        <w:rPr>
          <w:rFonts w:cs="Calibri"/>
          <w:bCs/>
          <w:sz w:val="24"/>
          <w:szCs w:val="24"/>
          <w:lang w:eastAsia="en-IE"/>
        </w:rPr>
        <w:t xml:space="preserve">Kerry County Council                                       </w:t>
      </w:r>
    </w:p>
    <w:p w:rsidR="00BA21B1" w:rsidRPr="00225C77" w:rsidRDefault="00BA21B1" w:rsidP="00BA21B1">
      <w:pPr>
        <w:spacing w:after="0" w:line="240" w:lineRule="auto"/>
        <w:ind w:left="720"/>
        <w:jc w:val="both"/>
        <w:rPr>
          <w:rFonts w:cs="Calibri"/>
          <w:color w:val="000000"/>
          <w:sz w:val="24"/>
          <w:szCs w:val="24"/>
        </w:rPr>
      </w:pPr>
      <w:r w:rsidRPr="00225C77">
        <w:rPr>
          <w:rFonts w:cs="Calibri"/>
          <w:bCs/>
          <w:sz w:val="24"/>
          <w:szCs w:val="24"/>
          <w:lang w:eastAsia="en-IE"/>
        </w:rPr>
        <w:t xml:space="preserve">Kilkenny County Council                                    </w:t>
      </w:r>
    </w:p>
    <w:p w:rsidR="00BA21B1" w:rsidRPr="00225C77" w:rsidRDefault="00BA21B1" w:rsidP="00BA21B1">
      <w:pPr>
        <w:spacing w:after="0" w:line="240" w:lineRule="auto"/>
        <w:ind w:left="720"/>
        <w:jc w:val="both"/>
        <w:rPr>
          <w:rFonts w:cs="Calibri"/>
          <w:color w:val="000000"/>
          <w:sz w:val="24"/>
          <w:szCs w:val="24"/>
        </w:rPr>
      </w:pPr>
      <w:r w:rsidRPr="00225C77">
        <w:rPr>
          <w:rFonts w:cs="Calibri"/>
          <w:bCs/>
          <w:sz w:val="24"/>
          <w:szCs w:val="24"/>
          <w:lang w:eastAsia="en-IE"/>
        </w:rPr>
        <w:t xml:space="preserve">Laois County Council                                                   </w:t>
      </w:r>
    </w:p>
    <w:p w:rsidR="00BA21B1" w:rsidRPr="00225C77" w:rsidRDefault="00BA21B1" w:rsidP="00BA21B1">
      <w:pPr>
        <w:spacing w:after="0" w:line="240" w:lineRule="auto"/>
        <w:ind w:left="720"/>
        <w:jc w:val="both"/>
        <w:rPr>
          <w:rFonts w:cs="Calibri"/>
          <w:color w:val="000000"/>
          <w:sz w:val="24"/>
          <w:szCs w:val="24"/>
        </w:rPr>
      </w:pPr>
      <w:r w:rsidRPr="00225C77">
        <w:rPr>
          <w:rFonts w:cs="Calibri"/>
          <w:bCs/>
          <w:sz w:val="24"/>
          <w:szCs w:val="24"/>
          <w:lang w:eastAsia="en-IE"/>
        </w:rPr>
        <w:t xml:space="preserve">Leitrim County Council                                    </w:t>
      </w:r>
      <w:r w:rsidRPr="00225C77">
        <w:rPr>
          <w:rFonts w:cs="Calibri"/>
          <w:color w:val="000000"/>
          <w:sz w:val="24"/>
          <w:szCs w:val="24"/>
        </w:rPr>
        <w:t xml:space="preserve">   </w:t>
      </w:r>
    </w:p>
    <w:p w:rsidR="00BA21B1" w:rsidRPr="00225C77" w:rsidRDefault="00BA21B1" w:rsidP="00BA21B1">
      <w:pPr>
        <w:spacing w:after="0" w:line="240" w:lineRule="auto"/>
        <w:ind w:left="720"/>
        <w:jc w:val="both"/>
        <w:rPr>
          <w:rFonts w:cs="Calibri"/>
          <w:color w:val="000000"/>
          <w:sz w:val="24"/>
          <w:szCs w:val="24"/>
        </w:rPr>
      </w:pPr>
      <w:r w:rsidRPr="00225C77">
        <w:rPr>
          <w:rFonts w:cs="Calibri"/>
          <w:bCs/>
          <w:sz w:val="24"/>
          <w:szCs w:val="24"/>
          <w:lang w:eastAsia="en-IE"/>
        </w:rPr>
        <w:t xml:space="preserve">Limerick City &amp; County Council                         </w:t>
      </w:r>
    </w:p>
    <w:p w:rsidR="00BA21B1" w:rsidRPr="00225C77" w:rsidRDefault="00BA21B1" w:rsidP="00BA21B1">
      <w:pPr>
        <w:spacing w:after="0" w:line="240" w:lineRule="auto"/>
        <w:ind w:left="720"/>
        <w:jc w:val="both"/>
        <w:rPr>
          <w:rFonts w:cs="Calibri"/>
          <w:color w:val="000000"/>
          <w:sz w:val="24"/>
          <w:szCs w:val="24"/>
        </w:rPr>
      </w:pPr>
      <w:r w:rsidRPr="00225C77">
        <w:rPr>
          <w:rFonts w:cs="Calibri"/>
          <w:bCs/>
          <w:sz w:val="24"/>
          <w:szCs w:val="24"/>
          <w:lang w:eastAsia="en-IE"/>
        </w:rPr>
        <w:t xml:space="preserve">Longford County Council                                 </w:t>
      </w:r>
      <w:r w:rsidRPr="00225C77">
        <w:rPr>
          <w:rFonts w:cs="Calibri"/>
          <w:color w:val="000000"/>
          <w:sz w:val="24"/>
          <w:szCs w:val="24"/>
        </w:rPr>
        <w:t xml:space="preserve">   </w:t>
      </w:r>
    </w:p>
    <w:p w:rsidR="00BA21B1" w:rsidRPr="00225C77" w:rsidRDefault="00BA21B1" w:rsidP="00BA21B1">
      <w:pPr>
        <w:spacing w:after="0" w:line="240" w:lineRule="auto"/>
        <w:ind w:left="720"/>
        <w:jc w:val="both"/>
        <w:rPr>
          <w:rFonts w:cs="Calibri"/>
          <w:color w:val="000000"/>
          <w:sz w:val="24"/>
          <w:szCs w:val="24"/>
        </w:rPr>
      </w:pPr>
      <w:r w:rsidRPr="00225C77">
        <w:rPr>
          <w:rFonts w:cs="Calibri"/>
          <w:bCs/>
          <w:sz w:val="24"/>
          <w:szCs w:val="24"/>
          <w:lang w:eastAsia="en-IE"/>
        </w:rPr>
        <w:t xml:space="preserve">Louth County Council                                      </w:t>
      </w:r>
      <w:r w:rsidRPr="00225C77">
        <w:rPr>
          <w:rFonts w:cs="Calibri"/>
          <w:color w:val="000000"/>
          <w:sz w:val="24"/>
          <w:szCs w:val="24"/>
        </w:rPr>
        <w:t xml:space="preserve">  </w:t>
      </w:r>
    </w:p>
    <w:p w:rsidR="00BA21B1" w:rsidRPr="00225C77" w:rsidRDefault="00BA21B1" w:rsidP="00BA21B1">
      <w:pPr>
        <w:spacing w:after="0" w:line="240" w:lineRule="auto"/>
        <w:ind w:left="720"/>
        <w:jc w:val="both"/>
        <w:rPr>
          <w:rFonts w:cs="Calibri"/>
          <w:color w:val="000000"/>
          <w:sz w:val="24"/>
          <w:szCs w:val="24"/>
        </w:rPr>
      </w:pPr>
      <w:r w:rsidRPr="00225C77">
        <w:rPr>
          <w:rFonts w:cs="Calibri"/>
          <w:bCs/>
          <w:sz w:val="24"/>
          <w:szCs w:val="24"/>
          <w:lang w:eastAsia="en-IE"/>
        </w:rPr>
        <w:t xml:space="preserve">Meath County Council                                      </w:t>
      </w:r>
      <w:r w:rsidRPr="00225C77">
        <w:rPr>
          <w:rFonts w:cs="Calibri"/>
          <w:color w:val="000000"/>
          <w:sz w:val="24"/>
          <w:szCs w:val="24"/>
        </w:rPr>
        <w:t xml:space="preserve">  </w:t>
      </w:r>
    </w:p>
    <w:p w:rsidR="00BA21B1" w:rsidRPr="00225C77" w:rsidRDefault="00BA21B1" w:rsidP="00BA21B1">
      <w:pPr>
        <w:spacing w:after="0" w:line="240" w:lineRule="auto"/>
        <w:ind w:left="720"/>
        <w:jc w:val="both"/>
        <w:rPr>
          <w:rFonts w:cs="Calibri"/>
          <w:color w:val="000000"/>
          <w:sz w:val="24"/>
          <w:szCs w:val="24"/>
        </w:rPr>
      </w:pPr>
      <w:r w:rsidRPr="00225C77">
        <w:rPr>
          <w:rFonts w:cs="Calibri"/>
          <w:bCs/>
          <w:sz w:val="24"/>
          <w:szCs w:val="24"/>
          <w:lang w:eastAsia="en-IE"/>
        </w:rPr>
        <w:t xml:space="preserve">Monaghan County Council                               </w:t>
      </w:r>
      <w:r w:rsidRPr="00225C77">
        <w:rPr>
          <w:rFonts w:cs="Calibri"/>
          <w:color w:val="000000"/>
          <w:sz w:val="24"/>
          <w:szCs w:val="24"/>
        </w:rPr>
        <w:t xml:space="preserve">  </w:t>
      </w:r>
    </w:p>
    <w:p w:rsidR="00BA21B1" w:rsidRPr="00225C77" w:rsidRDefault="00BA21B1" w:rsidP="00BA21B1">
      <w:pPr>
        <w:spacing w:after="0" w:line="240" w:lineRule="auto"/>
        <w:ind w:left="720"/>
        <w:jc w:val="both"/>
        <w:rPr>
          <w:rFonts w:cs="Calibri"/>
          <w:bCs/>
          <w:sz w:val="24"/>
          <w:szCs w:val="24"/>
          <w:lang w:eastAsia="en-IE"/>
        </w:rPr>
      </w:pPr>
      <w:r w:rsidRPr="00225C77">
        <w:rPr>
          <w:rFonts w:cs="Calibri"/>
          <w:bCs/>
          <w:sz w:val="24"/>
          <w:szCs w:val="24"/>
          <w:lang w:eastAsia="en-IE"/>
        </w:rPr>
        <w:t xml:space="preserve">Offaly County Council                                        </w:t>
      </w:r>
    </w:p>
    <w:p w:rsidR="00BA21B1" w:rsidRPr="00225C77" w:rsidRDefault="00BA21B1" w:rsidP="00BA21B1">
      <w:pPr>
        <w:spacing w:after="0" w:line="240" w:lineRule="auto"/>
        <w:ind w:left="720"/>
        <w:jc w:val="both"/>
        <w:rPr>
          <w:rFonts w:cs="Calibri"/>
          <w:bCs/>
          <w:sz w:val="24"/>
          <w:szCs w:val="24"/>
          <w:lang w:eastAsia="en-IE"/>
        </w:rPr>
      </w:pPr>
      <w:r w:rsidRPr="00225C77">
        <w:rPr>
          <w:rFonts w:cs="Calibri"/>
          <w:bCs/>
          <w:sz w:val="24"/>
          <w:szCs w:val="24"/>
          <w:lang w:eastAsia="en-IE"/>
        </w:rPr>
        <w:t xml:space="preserve">South Dublin County Council                             </w:t>
      </w:r>
    </w:p>
    <w:p w:rsidR="00BA21B1" w:rsidRPr="00225C77" w:rsidRDefault="00BA21B1" w:rsidP="00BA21B1">
      <w:pPr>
        <w:spacing w:after="0" w:line="240" w:lineRule="auto"/>
        <w:ind w:left="720"/>
        <w:jc w:val="both"/>
        <w:rPr>
          <w:rFonts w:cs="Calibri"/>
          <w:color w:val="000000"/>
          <w:sz w:val="24"/>
          <w:szCs w:val="24"/>
        </w:rPr>
      </w:pPr>
      <w:r w:rsidRPr="00225C77">
        <w:rPr>
          <w:rFonts w:cs="Calibri"/>
          <w:bCs/>
          <w:color w:val="000000"/>
          <w:sz w:val="24"/>
          <w:szCs w:val="24"/>
          <w:lang w:eastAsia="en-IE"/>
        </w:rPr>
        <w:t xml:space="preserve">Tipperary County Council                                </w:t>
      </w:r>
      <w:r w:rsidRPr="00225C77">
        <w:rPr>
          <w:rFonts w:cs="Calibri"/>
          <w:color w:val="000000"/>
          <w:sz w:val="24"/>
          <w:szCs w:val="24"/>
        </w:rPr>
        <w:t xml:space="preserve">  </w:t>
      </w:r>
    </w:p>
    <w:p w:rsidR="00BA21B1" w:rsidRPr="00225C77" w:rsidRDefault="00BA21B1" w:rsidP="00BA21B1">
      <w:pPr>
        <w:spacing w:after="0" w:line="240" w:lineRule="auto"/>
        <w:ind w:left="720"/>
        <w:jc w:val="both"/>
        <w:rPr>
          <w:rFonts w:cs="Calibri"/>
          <w:color w:val="000000"/>
          <w:sz w:val="24"/>
          <w:szCs w:val="24"/>
        </w:rPr>
      </w:pPr>
      <w:r w:rsidRPr="00225C77">
        <w:rPr>
          <w:rFonts w:cs="Calibri"/>
          <w:bCs/>
          <w:sz w:val="24"/>
          <w:szCs w:val="24"/>
          <w:lang w:eastAsia="en-IE"/>
        </w:rPr>
        <w:t xml:space="preserve">Waterford City &amp; </w:t>
      </w:r>
      <w:r>
        <w:rPr>
          <w:rFonts w:cs="Calibri"/>
          <w:bCs/>
          <w:sz w:val="24"/>
          <w:szCs w:val="24"/>
          <w:lang w:eastAsia="en-IE"/>
        </w:rPr>
        <w:t xml:space="preserve">County </w:t>
      </w:r>
      <w:r w:rsidRPr="00225C77">
        <w:rPr>
          <w:rFonts w:cs="Calibri"/>
          <w:bCs/>
          <w:sz w:val="24"/>
          <w:szCs w:val="24"/>
          <w:lang w:eastAsia="en-IE"/>
        </w:rPr>
        <w:t xml:space="preserve">Council                                    </w:t>
      </w:r>
    </w:p>
    <w:p w:rsidR="00BA21B1" w:rsidRPr="00225C77" w:rsidRDefault="00BA21B1" w:rsidP="00BA21B1">
      <w:pPr>
        <w:spacing w:after="0" w:line="240" w:lineRule="auto"/>
        <w:ind w:left="720"/>
        <w:jc w:val="both"/>
        <w:rPr>
          <w:rFonts w:cs="Calibri"/>
          <w:color w:val="000000"/>
          <w:sz w:val="24"/>
          <w:szCs w:val="24"/>
        </w:rPr>
      </w:pPr>
      <w:r w:rsidRPr="00225C77">
        <w:rPr>
          <w:rFonts w:cs="Calibri"/>
          <w:bCs/>
          <w:sz w:val="24"/>
          <w:szCs w:val="24"/>
          <w:lang w:eastAsia="en-IE"/>
        </w:rPr>
        <w:t xml:space="preserve">Westmeath County Council                                </w:t>
      </w:r>
    </w:p>
    <w:p w:rsidR="00BA21B1" w:rsidRDefault="00BA21B1" w:rsidP="00BA21B1">
      <w:pPr>
        <w:spacing w:after="0" w:line="240" w:lineRule="auto"/>
        <w:ind w:left="720"/>
        <w:jc w:val="both"/>
        <w:rPr>
          <w:rFonts w:cs="Calibri"/>
          <w:bCs/>
          <w:sz w:val="24"/>
          <w:szCs w:val="24"/>
          <w:lang w:eastAsia="en-IE"/>
        </w:rPr>
      </w:pPr>
      <w:r w:rsidRPr="00225C77">
        <w:rPr>
          <w:rFonts w:cs="Calibri"/>
          <w:bCs/>
          <w:sz w:val="24"/>
          <w:szCs w:val="24"/>
          <w:lang w:eastAsia="en-IE"/>
        </w:rPr>
        <w:t>Wexford County Council      </w:t>
      </w:r>
    </w:p>
    <w:p w:rsidR="00BA21B1" w:rsidRDefault="00BA21B1" w:rsidP="00BA21B1">
      <w:pPr>
        <w:spacing w:after="0" w:line="240" w:lineRule="auto"/>
        <w:ind w:left="720"/>
        <w:jc w:val="both"/>
        <w:rPr>
          <w:rFonts w:cs="Calibri"/>
          <w:bCs/>
          <w:sz w:val="24"/>
          <w:szCs w:val="24"/>
          <w:lang w:eastAsia="en-IE"/>
        </w:rPr>
      </w:pPr>
    </w:p>
    <w:p w:rsidR="00BA21B1" w:rsidRPr="00225C77" w:rsidRDefault="00BA21B1" w:rsidP="00BA21B1">
      <w:pPr>
        <w:jc w:val="both"/>
        <w:rPr>
          <w:rFonts w:cs="Calibri"/>
          <w:bCs/>
          <w:sz w:val="24"/>
          <w:szCs w:val="24"/>
          <w:lang w:eastAsia="en-IE"/>
        </w:rPr>
      </w:pPr>
      <w:r w:rsidRPr="00225C77">
        <w:rPr>
          <w:rFonts w:cs="Calibri"/>
          <w:bCs/>
          <w:sz w:val="24"/>
          <w:szCs w:val="24"/>
          <w:lang w:eastAsia="en-IE"/>
        </w:rPr>
        <w:t>By mid-July 2015, the final three local authorities</w:t>
      </w:r>
      <w:r>
        <w:rPr>
          <w:rFonts w:cs="Calibri"/>
          <w:bCs/>
          <w:sz w:val="24"/>
          <w:szCs w:val="24"/>
          <w:lang w:eastAsia="en-IE"/>
        </w:rPr>
        <w:t xml:space="preserve"> </w:t>
      </w:r>
      <w:r w:rsidRPr="00225C77">
        <w:rPr>
          <w:rFonts w:cs="Calibri"/>
          <w:bCs/>
          <w:sz w:val="24"/>
          <w:szCs w:val="24"/>
          <w:lang w:eastAsia="en-IE"/>
        </w:rPr>
        <w:t xml:space="preserve">– Cork City Council and Galway and Wicklow County Councils – had completed their returns.   </w:t>
      </w:r>
    </w:p>
    <w:p w:rsidR="00BA21B1" w:rsidRPr="00225C77" w:rsidRDefault="00BA21B1" w:rsidP="00BA21B1">
      <w:pPr>
        <w:jc w:val="both"/>
        <w:rPr>
          <w:rFonts w:cs="Calibri"/>
          <w:bCs/>
          <w:sz w:val="24"/>
          <w:szCs w:val="24"/>
          <w:lang w:eastAsia="en-IE"/>
        </w:rPr>
      </w:pPr>
      <w:r w:rsidRPr="00225C77">
        <w:rPr>
          <w:rFonts w:cs="Calibri"/>
          <w:bCs/>
          <w:sz w:val="24"/>
          <w:szCs w:val="24"/>
          <w:lang w:eastAsia="en-IE"/>
        </w:rPr>
        <w:t xml:space="preserve">While NOAC is appreciative of the fact that the majority of local authorities had submitted their returns before the deadline or within a fortnight thereafter, the fact that it was mid-July before all the data items were submitted by all authorities delayed the commencement of the assessment </w:t>
      </w:r>
      <w:r>
        <w:rPr>
          <w:rFonts w:cs="Calibri"/>
          <w:bCs/>
          <w:sz w:val="24"/>
          <w:szCs w:val="24"/>
          <w:lang w:eastAsia="en-IE"/>
        </w:rPr>
        <w:t>process</w:t>
      </w:r>
      <w:r w:rsidRPr="00225C77">
        <w:rPr>
          <w:rFonts w:cs="Calibri"/>
          <w:bCs/>
          <w:sz w:val="24"/>
          <w:szCs w:val="24"/>
          <w:lang w:eastAsia="en-IE"/>
        </w:rPr>
        <w:t xml:space="preserve"> </w:t>
      </w:r>
      <w:r>
        <w:rPr>
          <w:rFonts w:cs="Calibri"/>
          <w:bCs/>
          <w:sz w:val="24"/>
          <w:szCs w:val="24"/>
          <w:lang w:eastAsia="en-IE"/>
        </w:rPr>
        <w:t xml:space="preserve"> </w:t>
      </w:r>
      <w:r w:rsidRPr="00225C77">
        <w:rPr>
          <w:rFonts w:cs="Calibri"/>
          <w:bCs/>
          <w:sz w:val="24"/>
          <w:szCs w:val="24"/>
          <w:lang w:eastAsia="en-IE"/>
        </w:rPr>
        <w:t xml:space="preserve">and delayed the review of the submitted data.  </w:t>
      </w:r>
    </w:p>
    <w:p w:rsidR="00BA21B1" w:rsidRPr="00225C77" w:rsidRDefault="00BA21B1" w:rsidP="00BA21B1">
      <w:pPr>
        <w:jc w:val="both"/>
        <w:rPr>
          <w:rFonts w:cs="Calibri"/>
          <w:bCs/>
          <w:sz w:val="24"/>
          <w:szCs w:val="24"/>
          <w:lang w:eastAsia="en-IE"/>
        </w:rPr>
      </w:pPr>
      <w:r w:rsidRPr="00225C77">
        <w:rPr>
          <w:rFonts w:cs="Calibri"/>
          <w:bCs/>
          <w:sz w:val="24"/>
          <w:szCs w:val="24"/>
          <w:lang w:eastAsia="en-IE"/>
        </w:rPr>
        <w:t xml:space="preserve">NOAC reviewed the data submitted by the local authorities by consulting with </w:t>
      </w:r>
      <w:r w:rsidRPr="00225C77">
        <w:rPr>
          <w:rFonts w:cs="Calibri"/>
          <w:sz w:val="24"/>
          <w:szCs w:val="24"/>
        </w:rPr>
        <w:t xml:space="preserve">relevant </w:t>
      </w:r>
      <w:r>
        <w:rPr>
          <w:rFonts w:cs="Calibri"/>
          <w:sz w:val="24"/>
          <w:szCs w:val="24"/>
        </w:rPr>
        <w:t>S</w:t>
      </w:r>
      <w:r w:rsidRPr="00225C77">
        <w:rPr>
          <w:rFonts w:cs="Calibri"/>
          <w:sz w:val="24"/>
          <w:szCs w:val="24"/>
        </w:rPr>
        <w:t xml:space="preserve">ections and/or publications of the Department of the Environment, Community and Local Government, the Department of Transport, Tourism and Sport and the Department of Jobs, Enterprise and Innovation for consistency and/or any views as to their reliability, reviewing any comments included by the local authorities for any discrepancies indicated in the data, checking for any inconsistencies in the data for similar types of local authority and </w:t>
      </w:r>
      <w:r w:rsidRPr="00225C77">
        <w:rPr>
          <w:rFonts w:cs="Calibri"/>
          <w:sz w:val="24"/>
          <w:szCs w:val="24"/>
        </w:rPr>
        <w:lastRenderedPageBreak/>
        <w:t xml:space="preserve">comparing 2013 data for those indicators reported on in both years for any inconsistencies.   Arising from this exercise, </w:t>
      </w:r>
      <w:r w:rsidRPr="00225C77">
        <w:rPr>
          <w:rFonts w:cs="Calibri"/>
          <w:bCs/>
          <w:sz w:val="24"/>
          <w:szCs w:val="24"/>
          <w:lang w:eastAsia="en-IE"/>
        </w:rPr>
        <w:t>NOAC requested the LGMA to query a number of data items with a number of local authorities.  The NOAC secretariat also directly queried the figures that had been submitted by several authorities in respect of some indicators</w:t>
      </w:r>
      <w:r>
        <w:rPr>
          <w:rFonts w:cs="Calibri"/>
          <w:bCs/>
          <w:sz w:val="24"/>
          <w:szCs w:val="24"/>
          <w:lang w:eastAsia="en-IE"/>
        </w:rPr>
        <w:t xml:space="preserve"> and appropriate adjustments were made to the reported indicators</w:t>
      </w:r>
      <w:r w:rsidRPr="00225C77">
        <w:rPr>
          <w:rFonts w:cs="Calibri"/>
          <w:bCs/>
          <w:sz w:val="24"/>
          <w:szCs w:val="24"/>
          <w:lang w:eastAsia="en-IE"/>
        </w:rPr>
        <w:t xml:space="preserve">.  In addition, Irish Water supplied their most recent data in respect of the unaccounted for water </w:t>
      </w:r>
      <w:r>
        <w:rPr>
          <w:rFonts w:cs="Calibri"/>
          <w:bCs/>
          <w:sz w:val="24"/>
          <w:szCs w:val="24"/>
          <w:lang w:eastAsia="en-IE"/>
        </w:rPr>
        <w:t xml:space="preserve">(UFW) </w:t>
      </w:r>
      <w:r w:rsidRPr="00225C77">
        <w:rPr>
          <w:rFonts w:cs="Calibri"/>
          <w:bCs/>
          <w:sz w:val="24"/>
          <w:szCs w:val="24"/>
          <w:lang w:eastAsia="en-IE"/>
        </w:rPr>
        <w:t>indicator.</w:t>
      </w:r>
    </w:p>
    <w:p w:rsidR="00BA21B1" w:rsidRDefault="00BA21B1" w:rsidP="00BA21B1">
      <w:pPr>
        <w:jc w:val="both"/>
        <w:rPr>
          <w:rFonts w:cs="Calibri"/>
          <w:bCs/>
          <w:sz w:val="24"/>
          <w:szCs w:val="24"/>
          <w:lang w:eastAsia="en-IE"/>
        </w:rPr>
      </w:pPr>
      <w:r w:rsidRPr="00225C77">
        <w:rPr>
          <w:rFonts w:cs="Calibri"/>
          <w:bCs/>
          <w:sz w:val="24"/>
          <w:szCs w:val="24"/>
          <w:lang w:eastAsia="en-IE"/>
        </w:rPr>
        <w:t>This part of the process has proved to be very time consuming and the lengthy delay in the LGMA obtaining responses from local authorities to queries concerning the accuracy of the</w:t>
      </w:r>
      <w:r>
        <w:rPr>
          <w:rFonts w:cs="Calibri"/>
          <w:bCs/>
          <w:sz w:val="24"/>
          <w:szCs w:val="24"/>
          <w:lang w:eastAsia="en-IE"/>
        </w:rPr>
        <w:t xml:space="preserve">ir submitted </w:t>
      </w:r>
      <w:r w:rsidRPr="00225C77">
        <w:rPr>
          <w:rFonts w:cs="Calibri"/>
          <w:bCs/>
          <w:sz w:val="24"/>
          <w:szCs w:val="24"/>
          <w:lang w:eastAsia="en-IE"/>
        </w:rPr>
        <w:t>data added a further 15 weeks or so to the process of producing the Tables of the data</w:t>
      </w:r>
      <w:r>
        <w:rPr>
          <w:rFonts w:cs="Calibri"/>
          <w:bCs/>
          <w:sz w:val="24"/>
          <w:szCs w:val="24"/>
          <w:lang w:eastAsia="en-IE"/>
        </w:rPr>
        <w:t xml:space="preserve"> at pages 22 to 79</w:t>
      </w:r>
      <w:r w:rsidRPr="00225C77">
        <w:rPr>
          <w:rFonts w:cs="Calibri"/>
          <w:bCs/>
          <w:sz w:val="24"/>
          <w:szCs w:val="24"/>
          <w:lang w:eastAsia="en-IE"/>
        </w:rPr>
        <w:t>.  This resulted in publication of the report being delayed until December 2015, which is unacceptably late in the year.  NOAC expects to see a significant improvement of performance by all the relevant parties in future years in respect of the data collection and verification part of the process.</w:t>
      </w:r>
    </w:p>
    <w:p w:rsidR="00BA21B1" w:rsidRDefault="00BA21B1" w:rsidP="00BA21B1">
      <w:pPr>
        <w:jc w:val="both"/>
        <w:rPr>
          <w:rFonts w:cs="Calibri"/>
          <w:bCs/>
          <w:sz w:val="24"/>
          <w:szCs w:val="24"/>
          <w:lang w:eastAsia="en-IE"/>
        </w:rPr>
      </w:pPr>
      <w:r>
        <w:rPr>
          <w:rFonts w:cs="Calibri"/>
          <w:bCs/>
          <w:sz w:val="24"/>
          <w:szCs w:val="24"/>
          <w:lang w:eastAsia="en-IE"/>
        </w:rPr>
        <w:t>Notwithstanding the considerable effort expended in working to ensure the consistency and accuracy of the data contained in the Tables, some issues came to light via queries submitted by local authorities, notes added to their returns and an examination of the data that call into question the reliability of the data in a small number of cases.  Where this arises, it is referenced in the subsequent sections of this report.</w:t>
      </w:r>
    </w:p>
    <w:p w:rsidR="00BA21B1" w:rsidRDefault="00BA21B1" w:rsidP="00BA21B1">
      <w:pPr>
        <w:jc w:val="both"/>
        <w:rPr>
          <w:rFonts w:cs="Calibri"/>
          <w:bCs/>
          <w:sz w:val="24"/>
          <w:szCs w:val="24"/>
          <w:lang w:eastAsia="en-IE"/>
        </w:rPr>
      </w:pPr>
    </w:p>
    <w:p w:rsidR="00BA21B1" w:rsidRDefault="00BA21B1" w:rsidP="00BA21B1">
      <w:pPr>
        <w:rPr>
          <w:b/>
          <w:sz w:val="28"/>
          <w:szCs w:val="28"/>
        </w:rPr>
      </w:pPr>
      <w:r>
        <w:rPr>
          <w:b/>
          <w:sz w:val="28"/>
          <w:szCs w:val="28"/>
        </w:rPr>
        <w:br w:type="page"/>
      </w:r>
    </w:p>
    <w:p w:rsidR="00BA21B1" w:rsidRDefault="00BA21B1" w:rsidP="00BA21B1">
      <w:pPr>
        <w:spacing w:after="120"/>
        <w:jc w:val="both"/>
        <w:rPr>
          <w:b/>
          <w:sz w:val="28"/>
          <w:szCs w:val="28"/>
        </w:rPr>
      </w:pPr>
      <w:r>
        <w:rPr>
          <w:b/>
          <w:sz w:val="28"/>
          <w:szCs w:val="28"/>
        </w:rPr>
        <w:lastRenderedPageBreak/>
        <w:t>Quality Assurance Review of the Data</w:t>
      </w:r>
    </w:p>
    <w:p w:rsidR="00BA21B1" w:rsidRPr="00C15FBF" w:rsidRDefault="00BA21B1" w:rsidP="00BA21B1">
      <w:pPr>
        <w:spacing w:after="0"/>
        <w:jc w:val="both"/>
        <w:rPr>
          <w:rFonts w:cstheme="minorHAnsi"/>
          <w:sz w:val="24"/>
          <w:szCs w:val="24"/>
          <w:u w:val="single"/>
        </w:rPr>
      </w:pPr>
      <w:r w:rsidRPr="00C15FBF">
        <w:rPr>
          <w:rFonts w:cstheme="minorHAnsi"/>
          <w:sz w:val="24"/>
          <w:szCs w:val="24"/>
          <w:u w:val="single"/>
        </w:rPr>
        <w:t>Background to the 2014 Assessment</w:t>
      </w:r>
    </w:p>
    <w:p w:rsidR="00BA21B1" w:rsidRDefault="00BA21B1" w:rsidP="00BA21B1">
      <w:pPr>
        <w:spacing w:after="0"/>
        <w:jc w:val="both"/>
        <w:rPr>
          <w:rFonts w:cstheme="minorHAnsi"/>
          <w:sz w:val="24"/>
          <w:szCs w:val="24"/>
        </w:rPr>
      </w:pPr>
      <w:r w:rsidRPr="00C15FBF">
        <w:rPr>
          <w:rFonts w:cstheme="minorHAnsi"/>
          <w:sz w:val="24"/>
          <w:szCs w:val="24"/>
        </w:rPr>
        <w:t xml:space="preserve">A quality assurance review of the annual service indicators returns has been carried out each year since 2004 by an Independent Assessment Panel (IAP).  In addition to its report on the 2013 service indicators, the Panel provided </w:t>
      </w:r>
      <w:r w:rsidRPr="00C15FBF">
        <w:rPr>
          <w:rFonts w:eastAsia="Times New Roman" w:cstheme="minorHAnsi"/>
          <w:color w:val="000000"/>
          <w:sz w:val="24"/>
          <w:szCs w:val="24"/>
        </w:rPr>
        <w:t xml:space="preserve">a strategic overview on indicators based on IAP experience and findings over the last ten years to, inter alia, assist NOAC in its deliberations on future developments.  NOAC </w:t>
      </w:r>
      <w:r w:rsidRPr="00C15FBF">
        <w:rPr>
          <w:rFonts w:cstheme="minorHAnsi"/>
          <w:sz w:val="24"/>
          <w:szCs w:val="24"/>
        </w:rPr>
        <w:t xml:space="preserve">would like to express its appreciation to the IAP members, Eric </w:t>
      </w:r>
      <w:proofErr w:type="spellStart"/>
      <w:r w:rsidRPr="00C15FBF">
        <w:rPr>
          <w:rFonts w:cstheme="minorHAnsi"/>
          <w:sz w:val="24"/>
          <w:szCs w:val="24"/>
        </w:rPr>
        <w:t>Embleton</w:t>
      </w:r>
      <w:proofErr w:type="spellEnd"/>
      <w:r w:rsidRPr="00C15FBF">
        <w:rPr>
          <w:rFonts w:cstheme="minorHAnsi"/>
          <w:sz w:val="24"/>
          <w:szCs w:val="24"/>
        </w:rPr>
        <w:t xml:space="preserve"> and Arthur </w:t>
      </w:r>
      <w:proofErr w:type="spellStart"/>
      <w:r w:rsidRPr="00C15FBF">
        <w:rPr>
          <w:rFonts w:cstheme="minorHAnsi"/>
          <w:sz w:val="24"/>
          <w:szCs w:val="24"/>
        </w:rPr>
        <w:t>Coldrick</w:t>
      </w:r>
      <w:proofErr w:type="spellEnd"/>
      <w:r w:rsidRPr="00C15FBF">
        <w:rPr>
          <w:rFonts w:cstheme="minorHAnsi"/>
          <w:sz w:val="24"/>
          <w:szCs w:val="24"/>
        </w:rPr>
        <w:t xml:space="preserve">, for the insights contained in their strategic overview and to acknowledge the verification and quality assurance work carried out by the Panel over the past 10 years. </w:t>
      </w:r>
    </w:p>
    <w:p w:rsidR="00BA21B1" w:rsidRPr="00C15FBF" w:rsidRDefault="00BA21B1" w:rsidP="00BA21B1">
      <w:pPr>
        <w:spacing w:after="0"/>
        <w:jc w:val="both"/>
        <w:rPr>
          <w:rFonts w:cstheme="minorHAnsi"/>
          <w:sz w:val="24"/>
          <w:szCs w:val="24"/>
        </w:rPr>
      </w:pPr>
    </w:p>
    <w:p w:rsidR="00BA21B1" w:rsidRPr="00C15FBF" w:rsidRDefault="00BA21B1" w:rsidP="00BA21B1">
      <w:pPr>
        <w:spacing w:after="0"/>
        <w:jc w:val="both"/>
        <w:rPr>
          <w:rFonts w:cstheme="minorHAnsi"/>
          <w:sz w:val="24"/>
          <w:szCs w:val="24"/>
        </w:rPr>
      </w:pPr>
      <w:r w:rsidRPr="00C15FBF">
        <w:rPr>
          <w:rFonts w:cstheme="minorHAnsi"/>
          <w:sz w:val="24"/>
          <w:szCs w:val="24"/>
        </w:rPr>
        <w:t xml:space="preserve">NOAC decided that the best approach to carrying out the assessment of the indicators reporting on 2014 activity by local authorities would be to continue with a format similar to the one used in previous years by the IAP so as to provide a measure of continuity in the transition period.  This format involved the IAP visiting selected local authorities to carry out an in-depth assessment of the accuracy and reliability of the returned data for selected indicators, which varied annually.   </w:t>
      </w:r>
    </w:p>
    <w:p w:rsidR="00BA21B1" w:rsidRDefault="00BA21B1" w:rsidP="00BA21B1">
      <w:pPr>
        <w:spacing w:after="0"/>
        <w:jc w:val="both"/>
        <w:rPr>
          <w:rFonts w:cstheme="minorHAnsi"/>
          <w:sz w:val="24"/>
          <w:szCs w:val="24"/>
        </w:rPr>
      </w:pPr>
    </w:p>
    <w:p w:rsidR="00BA21B1" w:rsidRPr="00C15FBF" w:rsidRDefault="00BA21B1" w:rsidP="00BA21B1">
      <w:pPr>
        <w:spacing w:after="0"/>
        <w:jc w:val="both"/>
        <w:rPr>
          <w:rFonts w:cstheme="minorHAnsi"/>
          <w:sz w:val="24"/>
          <w:szCs w:val="24"/>
        </w:rPr>
      </w:pPr>
      <w:r w:rsidRPr="00C15FBF">
        <w:rPr>
          <w:rFonts w:cstheme="minorHAnsi"/>
          <w:sz w:val="24"/>
          <w:szCs w:val="24"/>
        </w:rPr>
        <w:t xml:space="preserve">It was agreed that the members of the NOAC </w:t>
      </w:r>
      <w:r>
        <w:rPr>
          <w:rFonts w:cstheme="minorHAnsi"/>
          <w:sz w:val="24"/>
          <w:szCs w:val="24"/>
        </w:rPr>
        <w:t>Performance Indicators S</w:t>
      </w:r>
      <w:r w:rsidRPr="00C15FBF">
        <w:rPr>
          <w:rFonts w:cstheme="minorHAnsi"/>
          <w:sz w:val="24"/>
          <w:szCs w:val="24"/>
        </w:rPr>
        <w:t>ub-</w:t>
      </w:r>
      <w:r>
        <w:rPr>
          <w:rFonts w:cstheme="minorHAnsi"/>
          <w:sz w:val="24"/>
          <w:szCs w:val="24"/>
        </w:rPr>
        <w:t>G</w:t>
      </w:r>
      <w:r w:rsidRPr="00C15FBF">
        <w:rPr>
          <w:rFonts w:cstheme="minorHAnsi"/>
          <w:sz w:val="24"/>
          <w:szCs w:val="24"/>
        </w:rPr>
        <w:t xml:space="preserve">roup (Martina Moloney, Constance </w:t>
      </w:r>
      <w:proofErr w:type="spellStart"/>
      <w:r w:rsidRPr="00C15FBF">
        <w:rPr>
          <w:rFonts w:cstheme="minorHAnsi"/>
          <w:sz w:val="24"/>
          <w:szCs w:val="24"/>
        </w:rPr>
        <w:t>Hanniffy</w:t>
      </w:r>
      <w:proofErr w:type="spellEnd"/>
      <w:r w:rsidRPr="00C15FBF">
        <w:rPr>
          <w:rFonts w:cstheme="minorHAnsi"/>
          <w:sz w:val="24"/>
          <w:szCs w:val="24"/>
        </w:rPr>
        <w:t xml:space="preserve"> and Paul Lemass), together with NOAC member John Buckley, would carry out the assessment role in respect of the 2014 indicators to confirm the validity and robustness of the data captured and to obtain a view of the usefulness of the indicators and any other relevant issues.  </w:t>
      </w:r>
    </w:p>
    <w:p w:rsidR="00BA21B1" w:rsidRDefault="00BA21B1" w:rsidP="00BA21B1">
      <w:pPr>
        <w:spacing w:after="0"/>
        <w:jc w:val="both"/>
        <w:rPr>
          <w:rFonts w:cstheme="minorHAnsi"/>
          <w:sz w:val="24"/>
          <w:szCs w:val="24"/>
        </w:rPr>
      </w:pPr>
    </w:p>
    <w:p w:rsidR="00BA21B1" w:rsidRPr="00C15FBF" w:rsidRDefault="00BA21B1" w:rsidP="00BA21B1">
      <w:pPr>
        <w:spacing w:after="0"/>
        <w:jc w:val="both"/>
        <w:rPr>
          <w:rFonts w:cstheme="minorHAnsi"/>
          <w:sz w:val="24"/>
          <w:szCs w:val="24"/>
        </w:rPr>
      </w:pPr>
      <w:r w:rsidRPr="00C15FBF">
        <w:rPr>
          <w:rFonts w:cstheme="minorHAnsi"/>
          <w:sz w:val="24"/>
          <w:szCs w:val="24"/>
        </w:rPr>
        <w:t xml:space="preserve">Prior to choosing the selection of indicators and local authorities for review, the sub-group decided that the NOAC secretariat should conduct a pilot visit looking at all of the indicators in a single local authority to get a better understanding of the systems and procedures in place for collecting, storing and reconciling the data and to see if there were any issues in relation to the collection of and reporting on particular indicators.  NOAC is very grateful to the staff of Louth County Council who facilitated Declan Grehan and Paul Furey of the secretariat in this exercise.  </w:t>
      </w:r>
    </w:p>
    <w:p w:rsidR="00BA21B1" w:rsidRDefault="00BA21B1" w:rsidP="00BA21B1">
      <w:pPr>
        <w:spacing w:after="0"/>
        <w:jc w:val="both"/>
        <w:rPr>
          <w:rFonts w:cstheme="minorHAnsi"/>
          <w:sz w:val="24"/>
          <w:szCs w:val="24"/>
        </w:rPr>
      </w:pPr>
    </w:p>
    <w:p w:rsidR="00BA21B1" w:rsidRDefault="00BA21B1" w:rsidP="00BA21B1">
      <w:pPr>
        <w:spacing w:after="0"/>
        <w:jc w:val="both"/>
        <w:rPr>
          <w:rFonts w:cstheme="minorHAnsi"/>
          <w:sz w:val="24"/>
          <w:szCs w:val="24"/>
        </w:rPr>
      </w:pPr>
      <w:r w:rsidRPr="00C15FBF">
        <w:rPr>
          <w:rFonts w:cstheme="minorHAnsi"/>
          <w:sz w:val="24"/>
          <w:szCs w:val="24"/>
        </w:rPr>
        <w:t>Following the pilot review, the NOAC sub-group decided to choose 7 indicators for review.  These were:</w:t>
      </w:r>
    </w:p>
    <w:p w:rsidR="00BA21B1" w:rsidRPr="00C15FBF" w:rsidRDefault="00BA21B1" w:rsidP="00BA21B1">
      <w:pPr>
        <w:spacing w:after="0"/>
        <w:jc w:val="both"/>
        <w:rPr>
          <w:rFonts w:cstheme="minorHAnsi"/>
          <w:sz w:val="24"/>
          <w:szCs w:val="24"/>
        </w:rPr>
      </w:pPr>
    </w:p>
    <w:p w:rsidR="00BA21B1" w:rsidRPr="00C15FBF" w:rsidRDefault="00BA21B1" w:rsidP="00BA21B1">
      <w:pPr>
        <w:numPr>
          <w:ilvl w:val="0"/>
          <w:numId w:val="31"/>
        </w:numPr>
        <w:spacing w:after="0"/>
        <w:jc w:val="both"/>
        <w:rPr>
          <w:rFonts w:cstheme="minorHAnsi"/>
          <w:sz w:val="24"/>
          <w:szCs w:val="24"/>
        </w:rPr>
      </w:pPr>
      <w:r w:rsidRPr="00C15FBF">
        <w:rPr>
          <w:rFonts w:cstheme="minorHAnsi"/>
          <w:sz w:val="24"/>
          <w:szCs w:val="24"/>
        </w:rPr>
        <w:t>Housing: Housing Voids</w:t>
      </w:r>
    </w:p>
    <w:p w:rsidR="00BA21B1" w:rsidRPr="00C15FBF" w:rsidRDefault="00BA21B1" w:rsidP="00BA21B1">
      <w:pPr>
        <w:numPr>
          <w:ilvl w:val="0"/>
          <w:numId w:val="31"/>
        </w:numPr>
        <w:spacing w:after="0"/>
        <w:jc w:val="both"/>
        <w:rPr>
          <w:rFonts w:cstheme="minorHAnsi"/>
          <w:sz w:val="24"/>
          <w:szCs w:val="24"/>
        </w:rPr>
      </w:pPr>
      <w:r w:rsidRPr="00C15FBF">
        <w:rPr>
          <w:rFonts w:cstheme="minorHAnsi"/>
          <w:sz w:val="24"/>
          <w:szCs w:val="24"/>
        </w:rPr>
        <w:t>Planning: Cost per Capita of the Planning Service</w:t>
      </w:r>
    </w:p>
    <w:p w:rsidR="00BA21B1" w:rsidRPr="00C15FBF" w:rsidRDefault="00BA21B1" w:rsidP="00BA21B1">
      <w:pPr>
        <w:numPr>
          <w:ilvl w:val="0"/>
          <w:numId w:val="31"/>
        </w:numPr>
        <w:spacing w:after="0"/>
        <w:jc w:val="both"/>
        <w:rPr>
          <w:rFonts w:cstheme="minorHAnsi"/>
          <w:sz w:val="24"/>
          <w:szCs w:val="24"/>
        </w:rPr>
      </w:pPr>
      <w:r w:rsidRPr="00C15FBF">
        <w:rPr>
          <w:rFonts w:cstheme="minorHAnsi"/>
          <w:sz w:val="24"/>
          <w:szCs w:val="24"/>
        </w:rPr>
        <w:t>Fire Services: Cost per Capita of the Fire Service</w:t>
      </w:r>
    </w:p>
    <w:p w:rsidR="00BA21B1" w:rsidRPr="00C15FBF" w:rsidRDefault="00BA21B1" w:rsidP="00BA21B1">
      <w:pPr>
        <w:numPr>
          <w:ilvl w:val="0"/>
          <w:numId w:val="31"/>
        </w:numPr>
        <w:spacing w:after="0"/>
        <w:jc w:val="both"/>
        <w:rPr>
          <w:rFonts w:cstheme="minorHAnsi"/>
          <w:sz w:val="24"/>
          <w:szCs w:val="24"/>
        </w:rPr>
      </w:pPr>
      <w:r w:rsidRPr="00C15FBF">
        <w:rPr>
          <w:rFonts w:cstheme="minorHAnsi"/>
          <w:sz w:val="24"/>
          <w:szCs w:val="24"/>
        </w:rPr>
        <w:t>Library: Library Visits</w:t>
      </w:r>
    </w:p>
    <w:p w:rsidR="00BA21B1" w:rsidRPr="00C15FBF" w:rsidRDefault="00BA21B1" w:rsidP="00BA21B1">
      <w:pPr>
        <w:numPr>
          <w:ilvl w:val="0"/>
          <w:numId w:val="31"/>
        </w:numPr>
        <w:spacing w:after="0"/>
        <w:jc w:val="both"/>
        <w:rPr>
          <w:rFonts w:cstheme="minorHAnsi"/>
          <w:sz w:val="24"/>
          <w:szCs w:val="24"/>
        </w:rPr>
      </w:pPr>
      <w:r w:rsidRPr="00C15FBF">
        <w:rPr>
          <w:rFonts w:cstheme="minorHAnsi"/>
          <w:sz w:val="24"/>
          <w:szCs w:val="24"/>
        </w:rPr>
        <w:t>Library: Cost per Capita of the Library Service</w:t>
      </w:r>
    </w:p>
    <w:p w:rsidR="00BA21B1" w:rsidRPr="00C15FBF" w:rsidRDefault="00BA21B1" w:rsidP="00BA21B1">
      <w:pPr>
        <w:numPr>
          <w:ilvl w:val="0"/>
          <w:numId w:val="31"/>
        </w:numPr>
        <w:spacing w:after="0"/>
        <w:jc w:val="both"/>
        <w:rPr>
          <w:rFonts w:cstheme="minorHAnsi"/>
          <w:sz w:val="24"/>
          <w:szCs w:val="24"/>
        </w:rPr>
      </w:pPr>
      <w:r w:rsidRPr="00C15FBF">
        <w:rPr>
          <w:rFonts w:cstheme="minorHAnsi"/>
          <w:sz w:val="24"/>
          <w:szCs w:val="24"/>
        </w:rPr>
        <w:lastRenderedPageBreak/>
        <w:t>Economic Development: N</w:t>
      </w:r>
      <w:r>
        <w:rPr>
          <w:rFonts w:cstheme="minorHAnsi"/>
          <w:sz w:val="24"/>
          <w:szCs w:val="24"/>
        </w:rPr>
        <w:t>umber</w:t>
      </w:r>
      <w:r w:rsidRPr="00C15FBF">
        <w:rPr>
          <w:rFonts w:cstheme="minorHAnsi"/>
          <w:sz w:val="24"/>
          <w:szCs w:val="24"/>
        </w:rPr>
        <w:t xml:space="preserve"> of Jobs Created</w:t>
      </w:r>
    </w:p>
    <w:p w:rsidR="00BA21B1" w:rsidRPr="00C15FBF" w:rsidRDefault="00BA21B1" w:rsidP="00BA21B1">
      <w:pPr>
        <w:numPr>
          <w:ilvl w:val="0"/>
          <w:numId w:val="31"/>
        </w:numPr>
        <w:spacing w:after="0"/>
        <w:jc w:val="both"/>
        <w:rPr>
          <w:rFonts w:cstheme="minorHAnsi"/>
          <w:sz w:val="24"/>
          <w:szCs w:val="24"/>
        </w:rPr>
      </w:pPr>
      <w:r w:rsidRPr="00C15FBF">
        <w:rPr>
          <w:rFonts w:cstheme="minorHAnsi"/>
          <w:sz w:val="24"/>
          <w:szCs w:val="24"/>
        </w:rPr>
        <w:t>Finance: Summary of the Revenue Account Balance</w:t>
      </w:r>
    </w:p>
    <w:p w:rsidR="00BA21B1" w:rsidRDefault="00BA21B1" w:rsidP="00BA21B1">
      <w:pPr>
        <w:spacing w:after="0"/>
        <w:jc w:val="both"/>
        <w:rPr>
          <w:rFonts w:cstheme="minorHAnsi"/>
          <w:sz w:val="24"/>
          <w:szCs w:val="24"/>
        </w:rPr>
      </w:pPr>
    </w:p>
    <w:p w:rsidR="00BA21B1" w:rsidRDefault="00BA21B1" w:rsidP="00BA21B1">
      <w:pPr>
        <w:spacing w:after="0"/>
        <w:jc w:val="both"/>
        <w:rPr>
          <w:rFonts w:cstheme="minorHAnsi"/>
          <w:sz w:val="24"/>
          <w:szCs w:val="24"/>
        </w:rPr>
      </w:pPr>
      <w:r w:rsidRPr="00C15FBF">
        <w:rPr>
          <w:rFonts w:cstheme="minorHAnsi"/>
          <w:sz w:val="24"/>
          <w:szCs w:val="24"/>
        </w:rPr>
        <w:t>The sub-group selected the following 8 local authorities for review, representing a mix of urban and rural authorities and of size of population served:</w:t>
      </w:r>
    </w:p>
    <w:p w:rsidR="00BA21B1" w:rsidRPr="00C15FBF" w:rsidRDefault="00BA21B1" w:rsidP="00BA21B1">
      <w:pPr>
        <w:spacing w:after="0"/>
        <w:jc w:val="both"/>
        <w:rPr>
          <w:rFonts w:cstheme="minorHAnsi"/>
          <w:sz w:val="24"/>
          <w:szCs w:val="24"/>
        </w:rPr>
      </w:pPr>
    </w:p>
    <w:p w:rsidR="00BA21B1" w:rsidRPr="00C15FBF" w:rsidRDefault="00BA21B1" w:rsidP="00BA21B1">
      <w:pPr>
        <w:numPr>
          <w:ilvl w:val="0"/>
          <w:numId w:val="32"/>
        </w:numPr>
        <w:spacing w:after="0"/>
        <w:jc w:val="both"/>
        <w:rPr>
          <w:rFonts w:cstheme="minorHAnsi"/>
          <w:sz w:val="24"/>
          <w:szCs w:val="24"/>
        </w:rPr>
      </w:pPr>
      <w:proofErr w:type="spellStart"/>
      <w:r w:rsidRPr="00C15FBF">
        <w:rPr>
          <w:rFonts w:cstheme="minorHAnsi"/>
          <w:b/>
          <w:i/>
          <w:sz w:val="24"/>
          <w:szCs w:val="24"/>
        </w:rPr>
        <w:t>Dún</w:t>
      </w:r>
      <w:proofErr w:type="spellEnd"/>
      <w:r w:rsidRPr="00C15FBF">
        <w:rPr>
          <w:rFonts w:cstheme="minorHAnsi"/>
          <w:b/>
          <w:i/>
          <w:sz w:val="24"/>
          <w:szCs w:val="24"/>
        </w:rPr>
        <w:t xml:space="preserve"> Laoghaire-</w:t>
      </w:r>
      <w:proofErr w:type="spellStart"/>
      <w:r w:rsidRPr="00C15FBF">
        <w:rPr>
          <w:rFonts w:cstheme="minorHAnsi"/>
          <w:b/>
          <w:i/>
          <w:sz w:val="24"/>
          <w:szCs w:val="24"/>
        </w:rPr>
        <w:t>Rathdown</w:t>
      </w:r>
      <w:proofErr w:type="spellEnd"/>
      <w:r w:rsidRPr="00C15FBF">
        <w:rPr>
          <w:rFonts w:cstheme="minorHAnsi"/>
          <w:b/>
          <w:sz w:val="24"/>
          <w:szCs w:val="24"/>
        </w:rPr>
        <w:t xml:space="preserve"> </w:t>
      </w:r>
      <w:r w:rsidRPr="00C15FBF">
        <w:rPr>
          <w:rFonts w:cstheme="minorHAnsi"/>
          <w:b/>
          <w:i/>
          <w:sz w:val="24"/>
          <w:szCs w:val="24"/>
        </w:rPr>
        <w:t>County Council</w:t>
      </w:r>
      <w:r w:rsidRPr="00C15FBF">
        <w:rPr>
          <w:rFonts w:cstheme="minorHAnsi"/>
          <w:sz w:val="24"/>
          <w:szCs w:val="24"/>
        </w:rPr>
        <w:t xml:space="preserve"> reviewed on the 15</w:t>
      </w:r>
      <w:r w:rsidRPr="00C15FBF">
        <w:rPr>
          <w:rFonts w:cstheme="minorHAnsi"/>
          <w:sz w:val="24"/>
          <w:szCs w:val="24"/>
          <w:vertAlign w:val="superscript"/>
        </w:rPr>
        <w:t>th</w:t>
      </w:r>
      <w:r w:rsidRPr="00C15FBF">
        <w:rPr>
          <w:rFonts w:cstheme="minorHAnsi"/>
          <w:sz w:val="24"/>
          <w:szCs w:val="24"/>
        </w:rPr>
        <w:t xml:space="preserve"> July 2015 by Paul Lemass and Constance </w:t>
      </w:r>
      <w:proofErr w:type="spellStart"/>
      <w:r w:rsidRPr="00C15FBF">
        <w:rPr>
          <w:rFonts w:cstheme="minorHAnsi"/>
          <w:sz w:val="24"/>
          <w:szCs w:val="24"/>
        </w:rPr>
        <w:t>Hanniffy</w:t>
      </w:r>
      <w:proofErr w:type="spellEnd"/>
      <w:r w:rsidRPr="00C15FBF">
        <w:rPr>
          <w:rFonts w:cstheme="minorHAnsi"/>
          <w:sz w:val="24"/>
          <w:szCs w:val="24"/>
        </w:rPr>
        <w:t xml:space="preserve"> with Paul Furey of the secretariat</w:t>
      </w:r>
    </w:p>
    <w:p w:rsidR="00BA21B1" w:rsidRPr="00C15FBF" w:rsidRDefault="00BA21B1" w:rsidP="00BA21B1">
      <w:pPr>
        <w:numPr>
          <w:ilvl w:val="0"/>
          <w:numId w:val="32"/>
        </w:numPr>
        <w:spacing w:after="0"/>
        <w:jc w:val="both"/>
        <w:rPr>
          <w:rFonts w:cstheme="minorHAnsi"/>
          <w:sz w:val="24"/>
          <w:szCs w:val="24"/>
        </w:rPr>
      </w:pPr>
      <w:r w:rsidRPr="00C15FBF">
        <w:rPr>
          <w:rFonts w:cstheme="minorHAnsi"/>
          <w:b/>
          <w:i/>
          <w:sz w:val="24"/>
          <w:szCs w:val="24"/>
        </w:rPr>
        <w:t>Meath County Council</w:t>
      </w:r>
      <w:r w:rsidRPr="00C15FBF">
        <w:rPr>
          <w:rFonts w:cstheme="minorHAnsi"/>
          <w:sz w:val="24"/>
          <w:szCs w:val="24"/>
        </w:rPr>
        <w:t xml:space="preserve"> reviewed on the 15</w:t>
      </w:r>
      <w:r w:rsidRPr="00C15FBF">
        <w:rPr>
          <w:rFonts w:cstheme="minorHAnsi"/>
          <w:sz w:val="24"/>
          <w:szCs w:val="24"/>
          <w:vertAlign w:val="superscript"/>
        </w:rPr>
        <w:t>th</w:t>
      </w:r>
      <w:r w:rsidRPr="00C15FBF">
        <w:rPr>
          <w:rFonts w:cstheme="minorHAnsi"/>
          <w:sz w:val="24"/>
          <w:szCs w:val="24"/>
        </w:rPr>
        <w:t xml:space="preserve"> July 2015 by Martina Moloney and John Buckley with Declan Grehan of the secretariat</w:t>
      </w:r>
    </w:p>
    <w:p w:rsidR="00BA21B1" w:rsidRPr="00C15FBF" w:rsidRDefault="00BA21B1" w:rsidP="00BA21B1">
      <w:pPr>
        <w:numPr>
          <w:ilvl w:val="0"/>
          <w:numId w:val="32"/>
        </w:numPr>
        <w:spacing w:after="0"/>
        <w:jc w:val="both"/>
        <w:rPr>
          <w:rFonts w:cstheme="minorHAnsi"/>
          <w:sz w:val="24"/>
          <w:szCs w:val="24"/>
        </w:rPr>
      </w:pPr>
      <w:proofErr w:type="spellStart"/>
      <w:r w:rsidRPr="00C15FBF">
        <w:rPr>
          <w:rFonts w:cstheme="minorHAnsi"/>
          <w:b/>
          <w:i/>
          <w:sz w:val="24"/>
          <w:szCs w:val="24"/>
        </w:rPr>
        <w:t>Fingal</w:t>
      </w:r>
      <w:proofErr w:type="spellEnd"/>
      <w:r w:rsidRPr="00C15FBF">
        <w:rPr>
          <w:rFonts w:cstheme="minorHAnsi"/>
          <w:b/>
          <w:i/>
          <w:sz w:val="24"/>
          <w:szCs w:val="24"/>
        </w:rPr>
        <w:t xml:space="preserve"> County Council</w:t>
      </w:r>
      <w:r w:rsidRPr="00C15FBF">
        <w:rPr>
          <w:rFonts w:cstheme="minorHAnsi"/>
          <w:sz w:val="24"/>
          <w:szCs w:val="24"/>
        </w:rPr>
        <w:t xml:space="preserve"> reviewed on the 22</w:t>
      </w:r>
      <w:r w:rsidRPr="00C15FBF">
        <w:rPr>
          <w:rFonts w:cstheme="minorHAnsi"/>
          <w:sz w:val="24"/>
          <w:szCs w:val="24"/>
          <w:vertAlign w:val="superscript"/>
        </w:rPr>
        <w:t>nd</w:t>
      </w:r>
      <w:r w:rsidRPr="00C15FBF">
        <w:rPr>
          <w:rFonts w:cstheme="minorHAnsi"/>
          <w:sz w:val="24"/>
          <w:szCs w:val="24"/>
        </w:rPr>
        <w:t xml:space="preserve"> July 2015 by Paul Lemass and Constance </w:t>
      </w:r>
      <w:proofErr w:type="spellStart"/>
      <w:r w:rsidRPr="00C15FBF">
        <w:rPr>
          <w:rFonts w:cstheme="minorHAnsi"/>
          <w:sz w:val="24"/>
          <w:szCs w:val="24"/>
        </w:rPr>
        <w:t>Hanniffy</w:t>
      </w:r>
      <w:proofErr w:type="spellEnd"/>
    </w:p>
    <w:p w:rsidR="00BA21B1" w:rsidRPr="00C15FBF" w:rsidRDefault="00BA21B1" w:rsidP="00BA21B1">
      <w:pPr>
        <w:numPr>
          <w:ilvl w:val="0"/>
          <w:numId w:val="32"/>
        </w:numPr>
        <w:spacing w:after="0"/>
        <w:jc w:val="both"/>
        <w:rPr>
          <w:rFonts w:cstheme="minorHAnsi"/>
          <w:sz w:val="24"/>
          <w:szCs w:val="24"/>
        </w:rPr>
      </w:pPr>
      <w:r w:rsidRPr="00C15FBF">
        <w:rPr>
          <w:rFonts w:cstheme="minorHAnsi"/>
          <w:b/>
          <w:i/>
          <w:sz w:val="24"/>
          <w:szCs w:val="24"/>
        </w:rPr>
        <w:t>Carlow County Council</w:t>
      </w:r>
      <w:r w:rsidRPr="00C15FBF">
        <w:rPr>
          <w:rFonts w:cstheme="minorHAnsi"/>
          <w:sz w:val="24"/>
          <w:szCs w:val="24"/>
        </w:rPr>
        <w:t xml:space="preserve"> reviewed on the 22</w:t>
      </w:r>
      <w:r w:rsidRPr="00C15FBF">
        <w:rPr>
          <w:rFonts w:cstheme="minorHAnsi"/>
          <w:sz w:val="24"/>
          <w:szCs w:val="24"/>
          <w:vertAlign w:val="superscript"/>
        </w:rPr>
        <w:t>nd</w:t>
      </w:r>
      <w:r w:rsidRPr="00C15FBF">
        <w:rPr>
          <w:rFonts w:cstheme="minorHAnsi"/>
          <w:sz w:val="24"/>
          <w:szCs w:val="24"/>
        </w:rPr>
        <w:t xml:space="preserve"> July 2015 by Martina Moloney and John Buckley with Paul Furey of the secretariat</w:t>
      </w:r>
    </w:p>
    <w:p w:rsidR="00BA21B1" w:rsidRPr="00C15FBF" w:rsidRDefault="00BA21B1" w:rsidP="00BA21B1">
      <w:pPr>
        <w:numPr>
          <w:ilvl w:val="0"/>
          <w:numId w:val="32"/>
        </w:numPr>
        <w:spacing w:after="0"/>
        <w:jc w:val="both"/>
        <w:rPr>
          <w:rFonts w:cstheme="minorHAnsi"/>
          <w:sz w:val="24"/>
          <w:szCs w:val="24"/>
        </w:rPr>
      </w:pPr>
      <w:r w:rsidRPr="00C15FBF">
        <w:rPr>
          <w:rFonts w:cstheme="minorHAnsi"/>
          <w:b/>
          <w:i/>
          <w:sz w:val="24"/>
          <w:szCs w:val="24"/>
        </w:rPr>
        <w:t>Galway County Council</w:t>
      </w:r>
      <w:r w:rsidRPr="00C15FBF">
        <w:rPr>
          <w:rFonts w:cstheme="minorHAnsi"/>
          <w:sz w:val="24"/>
          <w:szCs w:val="24"/>
        </w:rPr>
        <w:t xml:space="preserve"> reviewed on the 23</w:t>
      </w:r>
      <w:r w:rsidRPr="00C15FBF">
        <w:rPr>
          <w:rFonts w:cstheme="minorHAnsi"/>
          <w:sz w:val="24"/>
          <w:szCs w:val="24"/>
          <w:vertAlign w:val="superscript"/>
        </w:rPr>
        <w:t>rd</w:t>
      </w:r>
      <w:r w:rsidRPr="00C15FBF">
        <w:rPr>
          <w:rFonts w:cstheme="minorHAnsi"/>
          <w:sz w:val="24"/>
          <w:szCs w:val="24"/>
        </w:rPr>
        <w:t xml:space="preserve"> July 2015 by John Buckley and Constance </w:t>
      </w:r>
      <w:proofErr w:type="spellStart"/>
      <w:r w:rsidRPr="00C15FBF">
        <w:rPr>
          <w:rFonts w:cstheme="minorHAnsi"/>
          <w:sz w:val="24"/>
          <w:szCs w:val="24"/>
        </w:rPr>
        <w:t>Hanniffy</w:t>
      </w:r>
      <w:proofErr w:type="spellEnd"/>
      <w:r w:rsidRPr="00C15FBF">
        <w:rPr>
          <w:rFonts w:cstheme="minorHAnsi"/>
          <w:sz w:val="24"/>
          <w:szCs w:val="24"/>
        </w:rPr>
        <w:t xml:space="preserve"> with Paul Furey of the secretariat</w:t>
      </w:r>
    </w:p>
    <w:p w:rsidR="00BA21B1" w:rsidRPr="00C15FBF" w:rsidRDefault="00BA21B1" w:rsidP="00BA21B1">
      <w:pPr>
        <w:numPr>
          <w:ilvl w:val="0"/>
          <w:numId w:val="32"/>
        </w:numPr>
        <w:spacing w:after="0"/>
        <w:jc w:val="both"/>
        <w:rPr>
          <w:rFonts w:cstheme="minorHAnsi"/>
          <w:sz w:val="24"/>
          <w:szCs w:val="24"/>
        </w:rPr>
      </w:pPr>
      <w:r w:rsidRPr="00C15FBF">
        <w:rPr>
          <w:rFonts w:cstheme="minorHAnsi"/>
          <w:b/>
          <w:i/>
          <w:sz w:val="24"/>
          <w:szCs w:val="24"/>
        </w:rPr>
        <w:t>Clare County Council</w:t>
      </w:r>
      <w:r w:rsidRPr="00C15FBF">
        <w:rPr>
          <w:rFonts w:cstheme="minorHAnsi"/>
          <w:sz w:val="24"/>
          <w:szCs w:val="24"/>
        </w:rPr>
        <w:t xml:space="preserve"> reviewed on the 27</w:t>
      </w:r>
      <w:r w:rsidRPr="00C15FBF">
        <w:rPr>
          <w:rFonts w:cstheme="minorHAnsi"/>
          <w:sz w:val="24"/>
          <w:szCs w:val="24"/>
          <w:vertAlign w:val="superscript"/>
        </w:rPr>
        <w:t>th</w:t>
      </w:r>
      <w:r w:rsidRPr="00C15FBF">
        <w:rPr>
          <w:rFonts w:cstheme="minorHAnsi"/>
          <w:sz w:val="24"/>
          <w:szCs w:val="24"/>
        </w:rPr>
        <w:t xml:space="preserve"> </w:t>
      </w:r>
      <w:r w:rsidRPr="00C15FBF">
        <w:rPr>
          <w:rFonts w:cstheme="minorHAnsi"/>
          <w:sz w:val="24"/>
          <w:szCs w:val="24"/>
          <w:vertAlign w:val="superscript"/>
        </w:rPr>
        <w:t xml:space="preserve"> </w:t>
      </w:r>
      <w:r w:rsidRPr="00C15FBF">
        <w:rPr>
          <w:rFonts w:cstheme="minorHAnsi"/>
          <w:sz w:val="24"/>
          <w:szCs w:val="24"/>
        </w:rPr>
        <w:t>July 2015 by Martina Moloney with Paul Furey of the secretariat</w:t>
      </w:r>
    </w:p>
    <w:p w:rsidR="00BA21B1" w:rsidRPr="00C15FBF" w:rsidRDefault="00BA21B1" w:rsidP="00BA21B1">
      <w:pPr>
        <w:numPr>
          <w:ilvl w:val="0"/>
          <w:numId w:val="32"/>
        </w:numPr>
        <w:spacing w:after="0"/>
        <w:jc w:val="both"/>
        <w:rPr>
          <w:rFonts w:cstheme="minorHAnsi"/>
          <w:sz w:val="24"/>
          <w:szCs w:val="24"/>
        </w:rPr>
      </w:pPr>
      <w:r w:rsidRPr="00C15FBF">
        <w:rPr>
          <w:rFonts w:cstheme="minorHAnsi"/>
          <w:b/>
          <w:i/>
          <w:sz w:val="24"/>
          <w:szCs w:val="24"/>
        </w:rPr>
        <w:t>Cavan County Council</w:t>
      </w:r>
      <w:r w:rsidRPr="00C15FBF">
        <w:rPr>
          <w:rFonts w:cstheme="minorHAnsi"/>
          <w:sz w:val="24"/>
          <w:szCs w:val="24"/>
        </w:rPr>
        <w:t xml:space="preserve"> reviewed on the 28</w:t>
      </w:r>
      <w:r w:rsidRPr="00C15FBF">
        <w:rPr>
          <w:rFonts w:cstheme="minorHAnsi"/>
          <w:sz w:val="24"/>
          <w:szCs w:val="24"/>
          <w:vertAlign w:val="superscript"/>
        </w:rPr>
        <w:t>th</w:t>
      </w:r>
      <w:r w:rsidRPr="00C15FBF">
        <w:rPr>
          <w:rFonts w:cstheme="minorHAnsi"/>
          <w:sz w:val="24"/>
          <w:szCs w:val="24"/>
        </w:rPr>
        <w:t xml:space="preserve"> July 2015 by Martina Moloney with Paul Furey of the secretariat</w:t>
      </w:r>
    </w:p>
    <w:p w:rsidR="00BA21B1" w:rsidRPr="00C15FBF" w:rsidRDefault="00BA21B1" w:rsidP="00BA21B1">
      <w:pPr>
        <w:numPr>
          <w:ilvl w:val="0"/>
          <w:numId w:val="32"/>
        </w:numPr>
        <w:spacing w:after="0"/>
        <w:jc w:val="both"/>
        <w:rPr>
          <w:rFonts w:cstheme="minorHAnsi"/>
          <w:sz w:val="24"/>
          <w:szCs w:val="24"/>
        </w:rPr>
      </w:pPr>
      <w:r w:rsidRPr="00C15FBF">
        <w:rPr>
          <w:rFonts w:cstheme="minorHAnsi"/>
          <w:b/>
          <w:i/>
          <w:sz w:val="24"/>
          <w:szCs w:val="24"/>
        </w:rPr>
        <w:t>Cork City Council</w:t>
      </w:r>
      <w:r w:rsidRPr="00C15FBF">
        <w:rPr>
          <w:rFonts w:cstheme="minorHAnsi"/>
          <w:sz w:val="24"/>
          <w:szCs w:val="24"/>
        </w:rPr>
        <w:t xml:space="preserve"> reviewed on the 12</w:t>
      </w:r>
      <w:r w:rsidRPr="00C15FBF">
        <w:rPr>
          <w:rFonts w:cstheme="minorHAnsi"/>
          <w:sz w:val="24"/>
          <w:szCs w:val="24"/>
          <w:vertAlign w:val="superscript"/>
        </w:rPr>
        <w:t>th</w:t>
      </w:r>
      <w:r w:rsidRPr="00C15FBF">
        <w:rPr>
          <w:rFonts w:cstheme="minorHAnsi"/>
          <w:sz w:val="24"/>
          <w:szCs w:val="24"/>
        </w:rPr>
        <w:t xml:space="preserve"> August 2015 by John Buckley with Sheila McMahon of the secretariat.</w:t>
      </w:r>
    </w:p>
    <w:p w:rsidR="00BA21B1" w:rsidRPr="00C15FBF" w:rsidRDefault="00BA21B1" w:rsidP="00BA21B1">
      <w:pPr>
        <w:spacing w:after="0"/>
        <w:jc w:val="both"/>
        <w:rPr>
          <w:rFonts w:cstheme="minorHAnsi"/>
          <w:b/>
          <w:sz w:val="24"/>
          <w:szCs w:val="24"/>
        </w:rPr>
      </w:pPr>
    </w:p>
    <w:p w:rsidR="00BA21B1" w:rsidRPr="00C15FBF" w:rsidRDefault="00BA21B1" w:rsidP="00BA21B1">
      <w:pPr>
        <w:spacing w:after="0"/>
        <w:jc w:val="both"/>
        <w:rPr>
          <w:rFonts w:cstheme="minorHAnsi"/>
          <w:sz w:val="24"/>
          <w:szCs w:val="24"/>
          <w:u w:val="single"/>
        </w:rPr>
      </w:pPr>
      <w:r w:rsidRPr="00C15FBF">
        <w:rPr>
          <w:rFonts w:cstheme="minorHAnsi"/>
          <w:sz w:val="24"/>
          <w:szCs w:val="24"/>
          <w:u w:val="single"/>
        </w:rPr>
        <w:t>Findings</w:t>
      </w:r>
    </w:p>
    <w:p w:rsidR="00BA21B1" w:rsidRPr="00C15FBF" w:rsidRDefault="00BA21B1" w:rsidP="00BA21B1">
      <w:pPr>
        <w:spacing w:after="0"/>
        <w:jc w:val="both"/>
        <w:rPr>
          <w:rFonts w:cstheme="minorHAnsi"/>
          <w:sz w:val="24"/>
          <w:szCs w:val="24"/>
        </w:rPr>
      </w:pPr>
      <w:r w:rsidRPr="00C15FBF">
        <w:rPr>
          <w:rFonts w:cstheme="minorHAnsi"/>
          <w:sz w:val="24"/>
          <w:szCs w:val="24"/>
        </w:rPr>
        <w:t>NOAC concluded that the 2014 published indicators reviewed in the year are relevant measures of performance and</w:t>
      </w:r>
      <w:r>
        <w:rPr>
          <w:rFonts w:cstheme="minorHAnsi"/>
          <w:sz w:val="24"/>
          <w:szCs w:val="24"/>
        </w:rPr>
        <w:t>, apart from issues mentioned in this report, are</w:t>
      </w:r>
      <w:r w:rsidRPr="00C15FBF">
        <w:rPr>
          <w:rFonts w:cstheme="minorHAnsi"/>
          <w:sz w:val="24"/>
          <w:szCs w:val="24"/>
        </w:rPr>
        <w:t xml:space="preserve"> based on reliable and accurate information.</w:t>
      </w:r>
    </w:p>
    <w:p w:rsidR="00BA21B1" w:rsidRPr="00C15FBF" w:rsidRDefault="00BA21B1" w:rsidP="00BA21B1">
      <w:pPr>
        <w:spacing w:after="0"/>
        <w:jc w:val="both"/>
        <w:rPr>
          <w:rFonts w:cstheme="minorHAnsi"/>
          <w:sz w:val="24"/>
          <w:szCs w:val="24"/>
        </w:rPr>
      </w:pPr>
    </w:p>
    <w:p w:rsidR="00BA21B1" w:rsidRPr="00C15FBF" w:rsidRDefault="00BA21B1" w:rsidP="00BA21B1">
      <w:pPr>
        <w:spacing w:after="0"/>
        <w:jc w:val="both"/>
        <w:rPr>
          <w:rFonts w:cstheme="minorHAnsi"/>
          <w:sz w:val="24"/>
          <w:szCs w:val="24"/>
        </w:rPr>
      </w:pPr>
      <w:r w:rsidRPr="00C15FBF">
        <w:rPr>
          <w:rFonts w:cstheme="minorHAnsi"/>
          <w:sz w:val="24"/>
          <w:szCs w:val="24"/>
        </w:rPr>
        <w:t>It was confirmed that all financial information used was drawn from the Annual Financial Statements of each authority, which in turn are audited by the Local Government Audit Service.  The source of all non-financial figures reviewed was confirmed.  For those indicators that are based on the population served, the data was taken from the Census figures for 2011</w:t>
      </w:r>
      <w:r>
        <w:rPr>
          <w:rFonts w:cstheme="minorHAnsi"/>
          <w:sz w:val="24"/>
          <w:szCs w:val="24"/>
        </w:rPr>
        <w:t>.</w:t>
      </w:r>
      <w:r w:rsidRPr="00C15FBF">
        <w:rPr>
          <w:rFonts w:cstheme="minorHAnsi"/>
          <w:sz w:val="24"/>
          <w:szCs w:val="24"/>
        </w:rPr>
        <w:t xml:space="preserve">  </w:t>
      </w:r>
      <w:r>
        <w:rPr>
          <w:rFonts w:cstheme="minorHAnsi"/>
          <w:sz w:val="24"/>
          <w:szCs w:val="24"/>
        </w:rPr>
        <w:t>I</w:t>
      </w:r>
      <w:r w:rsidRPr="00C15FBF">
        <w:rPr>
          <w:rFonts w:cstheme="minorHAnsi"/>
          <w:sz w:val="24"/>
          <w:szCs w:val="24"/>
        </w:rPr>
        <w:t xml:space="preserve">n the case of the fire service, which spans boundaries, </w:t>
      </w:r>
      <w:r>
        <w:rPr>
          <w:rFonts w:cstheme="minorHAnsi"/>
          <w:sz w:val="24"/>
          <w:szCs w:val="24"/>
        </w:rPr>
        <w:t>the</w:t>
      </w:r>
      <w:r w:rsidRPr="00C15FBF">
        <w:rPr>
          <w:rFonts w:cstheme="minorHAnsi"/>
          <w:sz w:val="24"/>
          <w:szCs w:val="24"/>
        </w:rPr>
        <w:t xml:space="preserve"> relevant statistics a</w:t>
      </w:r>
      <w:r>
        <w:rPr>
          <w:rFonts w:cstheme="minorHAnsi"/>
          <w:sz w:val="24"/>
          <w:szCs w:val="24"/>
        </w:rPr>
        <w:t>re</w:t>
      </w:r>
      <w:r w:rsidRPr="00C15FBF">
        <w:rPr>
          <w:rFonts w:cstheme="minorHAnsi"/>
          <w:sz w:val="24"/>
          <w:szCs w:val="24"/>
        </w:rPr>
        <w:t xml:space="preserve"> based on the 2011 Census </w:t>
      </w:r>
      <w:r>
        <w:rPr>
          <w:rFonts w:cstheme="minorHAnsi"/>
          <w:sz w:val="24"/>
          <w:szCs w:val="24"/>
        </w:rPr>
        <w:t>adjusted</w:t>
      </w:r>
      <w:r w:rsidRPr="00C15FBF">
        <w:rPr>
          <w:rFonts w:cstheme="minorHAnsi"/>
          <w:sz w:val="24"/>
          <w:szCs w:val="24"/>
        </w:rPr>
        <w:t xml:space="preserve"> by the National Directorate for Fire and Emergency Management</w:t>
      </w:r>
      <w:r>
        <w:rPr>
          <w:rFonts w:cstheme="minorHAnsi"/>
          <w:sz w:val="24"/>
          <w:szCs w:val="24"/>
        </w:rPr>
        <w:t xml:space="preserve"> to take account of actual boundaries of fire authority operations</w:t>
      </w:r>
      <w:r w:rsidRPr="00C15FBF">
        <w:rPr>
          <w:rFonts w:cstheme="minorHAnsi"/>
          <w:sz w:val="24"/>
          <w:szCs w:val="24"/>
        </w:rPr>
        <w:t xml:space="preserve">. </w:t>
      </w:r>
    </w:p>
    <w:p w:rsidR="00BA21B1" w:rsidRPr="00C15FBF" w:rsidRDefault="00BA21B1" w:rsidP="00BA21B1">
      <w:pPr>
        <w:spacing w:after="0"/>
        <w:jc w:val="both"/>
        <w:rPr>
          <w:rFonts w:cstheme="minorHAnsi"/>
          <w:sz w:val="24"/>
          <w:szCs w:val="24"/>
        </w:rPr>
      </w:pPr>
    </w:p>
    <w:p w:rsidR="00BA21B1" w:rsidRDefault="00BA21B1" w:rsidP="00BA21B1">
      <w:pPr>
        <w:spacing w:after="0"/>
        <w:jc w:val="both"/>
        <w:rPr>
          <w:rFonts w:cstheme="minorHAnsi"/>
          <w:sz w:val="24"/>
          <w:szCs w:val="24"/>
        </w:rPr>
      </w:pPr>
      <w:r w:rsidRPr="00C15FBF">
        <w:rPr>
          <w:rFonts w:cstheme="minorHAnsi"/>
          <w:sz w:val="24"/>
          <w:szCs w:val="24"/>
        </w:rPr>
        <w:t xml:space="preserve">Based on the visits and subsequent follow-up work, certain adjustments have been made to the indicators as originally recommended or as reported.  These adjustments are designed to improve the consistency or accuracy of the indicators. </w:t>
      </w:r>
    </w:p>
    <w:p w:rsidR="00BA21B1" w:rsidRPr="00C15FBF" w:rsidRDefault="00BA21B1" w:rsidP="00BA21B1">
      <w:pPr>
        <w:spacing w:after="0"/>
        <w:jc w:val="both"/>
        <w:rPr>
          <w:rFonts w:cstheme="minorHAnsi"/>
          <w:sz w:val="24"/>
          <w:szCs w:val="24"/>
        </w:rPr>
      </w:pPr>
    </w:p>
    <w:p w:rsidR="00BA21B1" w:rsidRPr="00C15FBF" w:rsidRDefault="00BA21B1" w:rsidP="00BA21B1">
      <w:pPr>
        <w:numPr>
          <w:ilvl w:val="0"/>
          <w:numId w:val="33"/>
        </w:numPr>
        <w:spacing w:after="0"/>
        <w:jc w:val="both"/>
        <w:rPr>
          <w:rFonts w:cstheme="minorHAnsi"/>
          <w:sz w:val="24"/>
          <w:szCs w:val="24"/>
        </w:rPr>
      </w:pPr>
      <w:r w:rsidRPr="00C15FBF">
        <w:rPr>
          <w:rFonts w:cstheme="minorHAnsi"/>
          <w:sz w:val="24"/>
          <w:szCs w:val="24"/>
        </w:rPr>
        <w:lastRenderedPageBreak/>
        <w:t xml:space="preserve">In the area of housing, the indicator titled ‘Housing Voids’ is headed in Table </w:t>
      </w:r>
      <w:r>
        <w:rPr>
          <w:rFonts w:cstheme="minorHAnsi"/>
          <w:sz w:val="24"/>
          <w:szCs w:val="24"/>
        </w:rPr>
        <w:t>2</w:t>
      </w:r>
      <w:r w:rsidRPr="00C15FBF">
        <w:rPr>
          <w:rFonts w:cstheme="minorHAnsi"/>
          <w:sz w:val="24"/>
          <w:szCs w:val="24"/>
        </w:rPr>
        <w:t xml:space="preserve"> as ‘Percentage Vacant at 31/12/2014’ and includes all vacancies at that date.  This</w:t>
      </w:r>
      <w:r>
        <w:rPr>
          <w:rFonts w:cstheme="minorHAnsi"/>
          <w:sz w:val="24"/>
          <w:szCs w:val="24"/>
        </w:rPr>
        <w:t xml:space="preserve"> adjustment</w:t>
      </w:r>
      <w:r w:rsidRPr="00C15FBF">
        <w:rPr>
          <w:rFonts w:cstheme="minorHAnsi"/>
          <w:sz w:val="24"/>
          <w:szCs w:val="24"/>
        </w:rPr>
        <w:t xml:space="preserve"> is designed to remove any confusion around the term ‘voids’ which, for the reviewed local authorities, is used to refer to stock that is vacant for more than six months, although the data they supplied included all the vacancies of shorter duration also.</w:t>
      </w:r>
    </w:p>
    <w:p w:rsidR="00BA21B1" w:rsidRPr="00C15FBF" w:rsidRDefault="00BA21B1" w:rsidP="00BA21B1">
      <w:pPr>
        <w:numPr>
          <w:ilvl w:val="0"/>
          <w:numId w:val="33"/>
        </w:numPr>
        <w:spacing w:after="0"/>
        <w:jc w:val="both"/>
        <w:rPr>
          <w:rFonts w:cstheme="minorHAnsi"/>
          <w:sz w:val="24"/>
          <w:szCs w:val="24"/>
        </w:rPr>
      </w:pPr>
      <w:r w:rsidRPr="00C15FBF">
        <w:rPr>
          <w:rFonts w:cstheme="minorHAnsi"/>
          <w:sz w:val="24"/>
          <w:szCs w:val="24"/>
        </w:rPr>
        <w:t>Fire authorities provide a first response to areas that span local authority boundaries.  It was considered more appropriate to relate the cost of the services provided to the population being provided with a first response service, rather than the number of people residing in the local authority administrative area.</w:t>
      </w:r>
    </w:p>
    <w:p w:rsidR="00BA21B1" w:rsidRPr="00C15FBF" w:rsidRDefault="00BA21B1" w:rsidP="00BA21B1">
      <w:pPr>
        <w:numPr>
          <w:ilvl w:val="0"/>
          <w:numId w:val="33"/>
        </w:numPr>
        <w:spacing w:after="0"/>
        <w:jc w:val="both"/>
        <w:rPr>
          <w:rFonts w:cstheme="minorHAnsi"/>
          <w:sz w:val="24"/>
          <w:szCs w:val="24"/>
        </w:rPr>
      </w:pPr>
      <w:r w:rsidRPr="00C15FBF">
        <w:rPr>
          <w:rFonts w:cstheme="minorHAnsi"/>
          <w:sz w:val="24"/>
          <w:szCs w:val="24"/>
        </w:rPr>
        <w:t xml:space="preserve">The best available figures have been included for library visits based, where available, on actual daily records and, in their absence, on estimates derived from manual counts. </w:t>
      </w:r>
    </w:p>
    <w:p w:rsidR="00BA21B1" w:rsidRPr="00C15FBF" w:rsidRDefault="00BA21B1" w:rsidP="00BA21B1">
      <w:pPr>
        <w:numPr>
          <w:ilvl w:val="0"/>
          <w:numId w:val="33"/>
        </w:numPr>
        <w:spacing w:after="0"/>
        <w:jc w:val="both"/>
        <w:rPr>
          <w:rFonts w:cstheme="minorHAnsi"/>
          <w:sz w:val="24"/>
          <w:szCs w:val="24"/>
        </w:rPr>
      </w:pPr>
      <w:r w:rsidRPr="00C15FBF">
        <w:rPr>
          <w:rFonts w:cstheme="minorHAnsi"/>
          <w:sz w:val="24"/>
          <w:szCs w:val="24"/>
        </w:rPr>
        <w:t xml:space="preserve">The published financial performance figures relating to balances on the local authority accounts </w:t>
      </w:r>
      <w:r>
        <w:rPr>
          <w:rFonts w:cstheme="minorHAnsi"/>
          <w:sz w:val="24"/>
          <w:szCs w:val="24"/>
        </w:rPr>
        <w:t>are</w:t>
      </w:r>
      <w:r w:rsidRPr="00C15FBF">
        <w:rPr>
          <w:rFonts w:cstheme="minorHAnsi"/>
          <w:sz w:val="24"/>
          <w:szCs w:val="24"/>
        </w:rPr>
        <w:t xml:space="preserve"> based on cumulative surpluses or deficits (and not the outturn for the year as originally intended) and </w:t>
      </w:r>
      <w:r>
        <w:rPr>
          <w:rFonts w:cstheme="minorHAnsi"/>
          <w:sz w:val="24"/>
          <w:szCs w:val="24"/>
        </w:rPr>
        <w:t>are</w:t>
      </w:r>
      <w:r w:rsidRPr="00C15FBF">
        <w:rPr>
          <w:rFonts w:cstheme="minorHAnsi"/>
          <w:sz w:val="24"/>
          <w:szCs w:val="24"/>
        </w:rPr>
        <w:t xml:space="preserve"> consolidated figure</w:t>
      </w:r>
      <w:r>
        <w:rPr>
          <w:rFonts w:cstheme="minorHAnsi"/>
          <w:sz w:val="24"/>
          <w:szCs w:val="24"/>
        </w:rPr>
        <w:t>s</w:t>
      </w:r>
      <w:r w:rsidRPr="00C15FBF">
        <w:rPr>
          <w:rFonts w:cstheme="minorHAnsi"/>
          <w:sz w:val="24"/>
          <w:szCs w:val="24"/>
        </w:rPr>
        <w:t xml:space="preserve"> incorporating the financial positions of all abolished </w:t>
      </w:r>
      <w:r>
        <w:rPr>
          <w:rFonts w:cstheme="minorHAnsi"/>
          <w:sz w:val="24"/>
          <w:szCs w:val="24"/>
        </w:rPr>
        <w:t xml:space="preserve">local </w:t>
      </w:r>
      <w:r w:rsidRPr="00C15FBF">
        <w:rPr>
          <w:rFonts w:cstheme="minorHAnsi"/>
          <w:sz w:val="24"/>
          <w:szCs w:val="24"/>
        </w:rPr>
        <w:t>rating authorities in the area.</w:t>
      </w:r>
    </w:p>
    <w:p w:rsidR="00BA21B1" w:rsidRPr="00C15FBF" w:rsidRDefault="00BA21B1" w:rsidP="00BA21B1">
      <w:pPr>
        <w:numPr>
          <w:ilvl w:val="0"/>
          <w:numId w:val="33"/>
        </w:numPr>
        <w:spacing w:after="0"/>
        <w:jc w:val="both"/>
        <w:rPr>
          <w:rFonts w:cstheme="minorHAnsi"/>
          <w:sz w:val="24"/>
          <w:szCs w:val="24"/>
        </w:rPr>
      </w:pPr>
      <w:r w:rsidRPr="00C15FBF">
        <w:rPr>
          <w:rFonts w:cstheme="minorHAnsi"/>
          <w:sz w:val="24"/>
          <w:szCs w:val="24"/>
        </w:rPr>
        <w:t xml:space="preserve">All job creation figures are based on the annual survey of employment carried out by the Local Enterprise Offices with part-time jobs being counted as 0.5 of a full-time job. </w:t>
      </w:r>
    </w:p>
    <w:p w:rsidR="00BA21B1" w:rsidRPr="00C15FBF" w:rsidRDefault="00BA21B1" w:rsidP="00BA21B1">
      <w:pPr>
        <w:spacing w:after="0"/>
        <w:jc w:val="both"/>
        <w:rPr>
          <w:rFonts w:cstheme="minorHAnsi"/>
          <w:sz w:val="24"/>
          <w:szCs w:val="24"/>
        </w:rPr>
      </w:pPr>
    </w:p>
    <w:p w:rsidR="00BA21B1" w:rsidRPr="00C15FBF" w:rsidRDefault="00BA21B1" w:rsidP="00BA21B1">
      <w:pPr>
        <w:spacing w:after="0"/>
        <w:jc w:val="both"/>
        <w:rPr>
          <w:rFonts w:cstheme="minorHAnsi"/>
          <w:sz w:val="24"/>
          <w:szCs w:val="24"/>
        </w:rPr>
      </w:pPr>
      <w:r w:rsidRPr="00C15FBF">
        <w:rPr>
          <w:rFonts w:cstheme="minorHAnsi"/>
          <w:sz w:val="24"/>
          <w:szCs w:val="24"/>
        </w:rPr>
        <w:t xml:space="preserve">NOAC will review the clarity of the guidelines in order to remove any possibilities for inconsistency in the returned data in respect of indicators for 2015 and subsequent years.  </w:t>
      </w:r>
    </w:p>
    <w:p w:rsidR="00BA21B1" w:rsidRPr="00C15FBF" w:rsidRDefault="00BA21B1" w:rsidP="00BA21B1">
      <w:pPr>
        <w:spacing w:after="0"/>
        <w:jc w:val="both"/>
        <w:rPr>
          <w:rFonts w:cstheme="minorHAnsi"/>
          <w:sz w:val="24"/>
          <w:szCs w:val="24"/>
        </w:rPr>
      </w:pPr>
    </w:p>
    <w:p w:rsidR="00BA21B1" w:rsidRPr="00C15FBF" w:rsidRDefault="00BA21B1" w:rsidP="00BA21B1">
      <w:pPr>
        <w:spacing w:after="0"/>
        <w:jc w:val="both"/>
        <w:rPr>
          <w:rFonts w:cstheme="minorHAnsi"/>
          <w:sz w:val="24"/>
          <w:szCs w:val="24"/>
        </w:rPr>
      </w:pPr>
      <w:r w:rsidRPr="00C15FBF">
        <w:rPr>
          <w:rFonts w:cstheme="minorHAnsi"/>
          <w:sz w:val="24"/>
          <w:szCs w:val="24"/>
        </w:rPr>
        <w:t xml:space="preserve">The teams that visited each authority can confirm that they were furnished with all the information and explanations that they sought.  In most cases, information requested by NOAC was available at the </w:t>
      </w:r>
      <w:r>
        <w:rPr>
          <w:rFonts w:cstheme="minorHAnsi"/>
          <w:sz w:val="24"/>
          <w:szCs w:val="24"/>
        </w:rPr>
        <w:t xml:space="preserve">time of the </w:t>
      </w:r>
      <w:r w:rsidRPr="00C15FBF">
        <w:rPr>
          <w:rFonts w:cstheme="minorHAnsi"/>
          <w:sz w:val="24"/>
          <w:szCs w:val="24"/>
        </w:rPr>
        <w:t xml:space="preserve">visit.  However, in </w:t>
      </w:r>
      <w:r>
        <w:rPr>
          <w:rFonts w:cstheme="minorHAnsi"/>
          <w:sz w:val="24"/>
          <w:szCs w:val="24"/>
        </w:rPr>
        <w:t xml:space="preserve">a number of </w:t>
      </w:r>
      <w:r w:rsidRPr="00C15FBF">
        <w:rPr>
          <w:rFonts w:cstheme="minorHAnsi"/>
          <w:sz w:val="24"/>
          <w:szCs w:val="24"/>
        </w:rPr>
        <w:t xml:space="preserve">instances, the NOAC secretariat needed to follow up some information following the review and this was provided promptly by the relevant local authority staff. </w:t>
      </w:r>
    </w:p>
    <w:p w:rsidR="00BA21B1" w:rsidRPr="00C15FBF" w:rsidRDefault="00BA21B1" w:rsidP="00BA21B1">
      <w:pPr>
        <w:spacing w:after="0"/>
        <w:jc w:val="both"/>
        <w:rPr>
          <w:rFonts w:cstheme="minorHAnsi"/>
          <w:sz w:val="24"/>
          <w:szCs w:val="24"/>
        </w:rPr>
      </w:pPr>
    </w:p>
    <w:p w:rsidR="00BA21B1" w:rsidRPr="00C15FBF" w:rsidRDefault="00BA21B1" w:rsidP="00BA21B1">
      <w:pPr>
        <w:spacing w:after="0"/>
        <w:jc w:val="both"/>
        <w:rPr>
          <w:rFonts w:cstheme="minorHAnsi"/>
          <w:sz w:val="24"/>
          <w:szCs w:val="24"/>
        </w:rPr>
      </w:pPr>
      <w:r w:rsidRPr="00C15FBF">
        <w:rPr>
          <w:rFonts w:cstheme="minorHAnsi"/>
          <w:sz w:val="24"/>
          <w:szCs w:val="24"/>
        </w:rPr>
        <w:t xml:space="preserve">In regard to the use of the information, there was some variation in the degree to which the indicators formed an integral part of the management team’s work programme and on-going performance review.  Some local authorities have developed their own suite of local indicators that they view as relevant in assessing their performance throughout the year. However, the </w:t>
      </w:r>
      <w:r>
        <w:rPr>
          <w:rFonts w:cstheme="minorHAnsi"/>
          <w:sz w:val="24"/>
          <w:szCs w:val="24"/>
        </w:rPr>
        <w:t xml:space="preserve">published </w:t>
      </w:r>
      <w:r w:rsidRPr="00C15FBF">
        <w:rPr>
          <w:rFonts w:cstheme="minorHAnsi"/>
          <w:sz w:val="24"/>
          <w:szCs w:val="24"/>
        </w:rPr>
        <w:t xml:space="preserve">indicators are viewed as a useful comparator of performance against other local authorities and over time.  </w:t>
      </w:r>
    </w:p>
    <w:p w:rsidR="00BA21B1" w:rsidRPr="00C15FBF" w:rsidRDefault="00BA21B1" w:rsidP="00BA21B1">
      <w:pPr>
        <w:spacing w:after="0"/>
        <w:jc w:val="both"/>
        <w:rPr>
          <w:rFonts w:cstheme="minorHAnsi"/>
          <w:sz w:val="24"/>
          <w:szCs w:val="24"/>
        </w:rPr>
      </w:pPr>
    </w:p>
    <w:p w:rsidR="00BA21B1" w:rsidRPr="00C15FBF" w:rsidRDefault="00BA21B1" w:rsidP="00BA21B1">
      <w:pPr>
        <w:spacing w:after="0"/>
        <w:jc w:val="both"/>
        <w:rPr>
          <w:rFonts w:cstheme="minorHAnsi"/>
          <w:sz w:val="24"/>
          <w:szCs w:val="24"/>
        </w:rPr>
      </w:pPr>
      <w:r w:rsidRPr="00C15FBF">
        <w:rPr>
          <w:rFonts w:cstheme="minorHAnsi"/>
          <w:sz w:val="24"/>
          <w:szCs w:val="24"/>
        </w:rPr>
        <w:t xml:space="preserve">There was little indication that authorities had a process for establishing targets associated with the indicators.  Consequently, at this point, they are indicators of historic performance </w:t>
      </w:r>
      <w:r w:rsidRPr="00C15FBF">
        <w:rPr>
          <w:rFonts w:cstheme="minorHAnsi"/>
          <w:sz w:val="24"/>
          <w:szCs w:val="24"/>
        </w:rPr>
        <w:lastRenderedPageBreak/>
        <w:t xml:space="preserve">only.  The establishment of related targets could turn them into measures that could be used to gauge performance improvement. </w:t>
      </w:r>
    </w:p>
    <w:p w:rsidR="00BA21B1" w:rsidRPr="00C15FBF" w:rsidRDefault="00BA21B1" w:rsidP="00BA21B1">
      <w:pPr>
        <w:spacing w:after="0"/>
        <w:jc w:val="both"/>
        <w:rPr>
          <w:rFonts w:cstheme="minorHAnsi"/>
          <w:sz w:val="24"/>
          <w:szCs w:val="24"/>
        </w:rPr>
      </w:pPr>
      <w:r w:rsidRPr="00C15FBF">
        <w:rPr>
          <w:rFonts w:cstheme="minorHAnsi"/>
          <w:sz w:val="24"/>
          <w:szCs w:val="24"/>
        </w:rPr>
        <w:t xml:space="preserve">The local authorities </w:t>
      </w:r>
      <w:r>
        <w:rPr>
          <w:rFonts w:cstheme="minorHAnsi"/>
          <w:sz w:val="24"/>
          <w:szCs w:val="24"/>
        </w:rPr>
        <w:t>that were reviewed</w:t>
      </w:r>
      <w:r w:rsidRPr="00C15FBF">
        <w:rPr>
          <w:rFonts w:cstheme="minorHAnsi"/>
          <w:sz w:val="24"/>
          <w:szCs w:val="24"/>
        </w:rPr>
        <w:t xml:space="preserve"> welcomed the reduction in the number of indicators from 46 to 35 and considered the new cost per capita indicators for the library, fire and planning services to be worthwhile.</w:t>
      </w:r>
    </w:p>
    <w:p w:rsidR="00BA21B1" w:rsidRPr="00C15FBF" w:rsidRDefault="00BA21B1" w:rsidP="00BA21B1">
      <w:pPr>
        <w:spacing w:after="0"/>
        <w:jc w:val="both"/>
        <w:rPr>
          <w:rFonts w:cstheme="minorHAnsi"/>
          <w:b/>
          <w:sz w:val="24"/>
          <w:szCs w:val="24"/>
        </w:rPr>
      </w:pPr>
    </w:p>
    <w:p w:rsidR="00BA21B1" w:rsidRPr="00C15FBF" w:rsidRDefault="00BA21B1" w:rsidP="00BA21B1">
      <w:pPr>
        <w:spacing w:after="0"/>
        <w:jc w:val="both"/>
        <w:rPr>
          <w:rFonts w:cstheme="minorHAnsi"/>
          <w:b/>
          <w:sz w:val="24"/>
          <w:szCs w:val="24"/>
        </w:rPr>
      </w:pPr>
      <w:r w:rsidRPr="00C15FBF">
        <w:rPr>
          <w:rFonts w:cstheme="minorHAnsi"/>
          <w:b/>
          <w:sz w:val="24"/>
          <w:szCs w:val="24"/>
        </w:rPr>
        <w:t>Vacant Local Authority Housing</w:t>
      </w:r>
      <w:r>
        <w:rPr>
          <w:rFonts w:cstheme="minorHAnsi"/>
          <w:b/>
          <w:sz w:val="24"/>
          <w:szCs w:val="24"/>
        </w:rPr>
        <w:t xml:space="preserve"> </w:t>
      </w:r>
      <w:r w:rsidRPr="00F444F2">
        <w:rPr>
          <w:rFonts w:cstheme="minorHAnsi"/>
          <w:sz w:val="24"/>
          <w:szCs w:val="24"/>
        </w:rPr>
        <w:t>(Table 2)</w:t>
      </w:r>
    </w:p>
    <w:p w:rsidR="00BA21B1" w:rsidRPr="00C15FBF" w:rsidRDefault="00BA21B1" w:rsidP="00BA21B1">
      <w:pPr>
        <w:spacing w:after="0"/>
        <w:jc w:val="both"/>
        <w:rPr>
          <w:rFonts w:cstheme="minorHAnsi"/>
          <w:sz w:val="24"/>
          <w:szCs w:val="24"/>
        </w:rPr>
      </w:pPr>
      <w:r w:rsidRPr="00C15FBF">
        <w:rPr>
          <w:rFonts w:cstheme="minorHAnsi"/>
          <w:sz w:val="24"/>
          <w:szCs w:val="24"/>
        </w:rPr>
        <w:t xml:space="preserve">The teams concluded that the authorities are, generally, capturing the information on vacant units in an accurate and timely way. </w:t>
      </w:r>
    </w:p>
    <w:p w:rsidR="00BA21B1" w:rsidRPr="00C15FBF" w:rsidRDefault="00BA21B1" w:rsidP="00BA21B1">
      <w:pPr>
        <w:spacing w:after="0"/>
        <w:jc w:val="both"/>
        <w:rPr>
          <w:rFonts w:cstheme="minorHAnsi"/>
          <w:sz w:val="24"/>
          <w:szCs w:val="24"/>
        </w:rPr>
      </w:pPr>
    </w:p>
    <w:p w:rsidR="00BA21B1" w:rsidRPr="00C15FBF" w:rsidRDefault="00BA21B1" w:rsidP="00BA21B1">
      <w:pPr>
        <w:spacing w:after="0"/>
        <w:jc w:val="both"/>
        <w:rPr>
          <w:rFonts w:cstheme="minorHAnsi"/>
          <w:sz w:val="24"/>
          <w:szCs w:val="24"/>
        </w:rPr>
      </w:pPr>
      <w:proofErr w:type="spellStart"/>
      <w:proofErr w:type="gramStart"/>
      <w:r w:rsidRPr="00C15FBF">
        <w:rPr>
          <w:rFonts w:cstheme="minorHAnsi"/>
          <w:sz w:val="24"/>
          <w:szCs w:val="24"/>
        </w:rPr>
        <w:t>iHouse</w:t>
      </w:r>
      <w:proofErr w:type="spellEnd"/>
      <w:proofErr w:type="gramEnd"/>
      <w:r w:rsidRPr="00C15FBF">
        <w:rPr>
          <w:rFonts w:cstheme="minorHAnsi"/>
          <w:sz w:val="24"/>
          <w:szCs w:val="24"/>
        </w:rPr>
        <w:t xml:space="preserve"> is the software used for recording data on the housing function in most of the local authorities reviewed.  Meath County Council commenced using </w:t>
      </w:r>
      <w:proofErr w:type="spellStart"/>
      <w:r w:rsidRPr="00C15FBF">
        <w:rPr>
          <w:rFonts w:cstheme="minorHAnsi"/>
          <w:sz w:val="24"/>
          <w:szCs w:val="24"/>
        </w:rPr>
        <w:t>iHouse</w:t>
      </w:r>
      <w:proofErr w:type="spellEnd"/>
      <w:r w:rsidRPr="00C15FBF">
        <w:rPr>
          <w:rFonts w:cstheme="minorHAnsi"/>
          <w:sz w:val="24"/>
          <w:szCs w:val="24"/>
        </w:rPr>
        <w:t xml:space="preserve"> in July 2015, </w:t>
      </w:r>
      <w:proofErr w:type="spellStart"/>
      <w:r w:rsidRPr="00C15FBF">
        <w:rPr>
          <w:rFonts w:cstheme="minorHAnsi"/>
          <w:sz w:val="24"/>
          <w:szCs w:val="24"/>
        </w:rPr>
        <w:t>Dún</w:t>
      </w:r>
      <w:proofErr w:type="spellEnd"/>
      <w:r w:rsidRPr="00C15FBF">
        <w:rPr>
          <w:rFonts w:cstheme="minorHAnsi"/>
          <w:sz w:val="24"/>
          <w:szCs w:val="24"/>
        </w:rPr>
        <w:t xml:space="preserve"> Laoghaire-</w:t>
      </w:r>
      <w:proofErr w:type="spellStart"/>
      <w:r w:rsidRPr="00C15FBF">
        <w:rPr>
          <w:rFonts w:cstheme="minorHAnsi"/>
          <w:sz w:val="24"/>
          <w:szCs w:val="24"/>
        </w:rPr>
        <w:t>Rathdown</w:t>
      </w:r>
      <w:proofErr w:type="spellEnd"/>
      <w:r w:rsidRPr="00C15FBF">
        <w:rPr>
          <w:rFonts w:cstheme="minorHAnsi"/>
          <w:sz w:val="24"/>
          <w:szCs w:val="24"/>
        </w:rPr>
        <w:t xml:space="preserve"> County Council use OHMS (Organisation Housing Management System) and Cork City Council also use a system called FoxPro into which </w:t>
      </w:r>
      <w:proofErr w:type="spellStart"/>
      <w:r w:rsidRPr="00C15FBF">
        <w:rPr>
          <w:rFonts w:cstheme="minorHAnsi"/>
          <w:sz w:val="24"/>
          <w:szCs w:val="24"/>
        </w:rPr>
        <w:t>iHouse</w:t>
      </w:r>
      <w:proofErr w:type="spellEnd"/>
      <w:r w:rsidRPr="00C15FBF">
        <w:rPr>
          <w:rFonts w:cstheme="minorHAnsi"/>
          <w:sz w:val="24"/>
          <w:szCs w:val="24"/>
        </w:rPr>
        <w:t xml:space="preserve"> feeds.  Under all the systems used, data is updated and checked at regular intervals.  Meath County Council referred to the impact that the loss of rent collectors has had on how quickly the authority becomes aware of some vacancies whereby they often rely on word of mouth to inform them of a vacant unit.  Both Meath and Carlow County Councils made the point that the </w:t>
      </w:r>
      <w:r>
        <w:rPr>
          <w:rFonts w:cstheme="minorHAnsi"/>
          <w:sz w:val="24"/>
          <w:szCs w:val="24"/>
        </w:rPr>
        <w:t>generally increased requirements</w:t>
      </w:r>
      <w:r w:rsidRPr="00C15FBF">
        <w:rPr>
          <w:rFonts w:cstheme="minorHAnsi"/>
          <w:sz w:val="24"/>
          <w:szCs w:val="24"/>
        </w:rPr>
        <w:t xml:space="preserve"> of the revised Building Standards Regulations had begun to impact on re-letting times and costs.</w:t>
      </w:r>
    </w:p>
    <w:p w:rsidR="00BA21B1" w:rsidRPr="00C15FBF" w:rsidRDefault="00BA21B1" w:rsidP="00BA21B1">
      <w:pPr>
        <w:spacing w:after="0"/>
        <w:jc w:val="both"/>
        <w:rPr>
          <w:rFonts w:cstheme="minorHAnsi"/>
          <w:sz w:val="24"/>
          <w:szCs w:val="24"/>
        </w:rPr>
      </w:pPr>
    </w:p>
    <w:p w:rsidR="00BA21B1" w:rsidRPr="00C15FBF" w:rsidRDefault="00BA21B1" w:rsidP="00BA21B1">
      <w:pPr>
        <w:spacing w:after="0"/>
        <w:jc w:val="both"/>
        <w:rPr>
          <w:rFonts w:cstheme="minorHAnsi"/>
          <w:sz w:val="24"/>
          <w:szCs w:val="24"/>
        </w:rPr>
      </w:pPr>
      <w:r w:rsidRPr="00C15FBF">
        <w:rPr>
          <w:rFonts w:cstheme="minorHAnsi"/>
          <w:sz w:val="24"/>
          <w:szCs w:val="24"/>
        </w:rPr>
        <w:t xml:space="preserve">Maintenance </w:t>
      </w:r>
      <w:r>
        <w:rPr>
          <w:rFonts w:cstheme="minorHAnsi"/>
          <w:sz w:val="24"/>
          <w:szCs w:val="24"/>
        </w:rPr>
        <w:t xml:space="preserve">in the reviewed local authorities </w:t>
      </w:r>
      <w:r w:rsidRPr="00C15FBF">
        <w:rPr>
          <w:rFonts w:cstheme="minorHAnsi"/>
          <w:sz w:val="24"/>
          <w:szCs w:val="24"/>
        </w:rPr>
        <w:t xml:space="preserve">is carried out by a mixture of direct labour and contractors, although some of the authorities visited now use </w:t>
      </w:r>
      <w:r w:rsidR="0010041D">
        <w:rPr>
          <w:rFonts w:cstheme="minorHAnsi"/>
          <w:sz w:val="24"/>
          <w:szCs w:val="24"/>
        </w:rPr>
        <w:t xml:space="preserve">only </w:t>
      </w:r>
      <w:r w:rsidRPr="00C15FBF">
        <w:rPr>
          <w:rFonts w:cstheme="minorHAnsi"/>
          <w:sz w:val="24"/>
          <w:szCs w:val="24"/>
        </w:rPr>
        <w:t xml:space="preserve">contractors to prepare units for re-letting.  Average re-letting times and costs mentioned during review visits varied considerably from 6 to 25 weeks where major works were not required and from €9,000 to €23,000 per unit.  </w:t>
      </w:r>
    </w:p>
    <w:p w:rsidR="00BA21B1" w:rsidRPr="00C15FBF" w:rsidRDefault="00BA21B1" w:rsidP="00BA21B1">
      <w:pPr>
        <w:spacing w:after="0"/>
        <w:jc w:val="both"/>
        <w:rPr>
          <w:rFonts w:cstheme="minorHAnsi"/>
          <w:sz w:val="24"/>
          <w:szCs w:val="24"/>
        </w:rPr>
      </w:pPr>
    </w:p>
    <w:p w:rsidR="00BA21B1" w:rsidRPr="00C15FBF" w:rsidRDefault="00BA21B1" w:rsidP="00BA21B1">
      <w:pPr>
        <w:spacing w:after="0"/>
        <w:jc w:val="both"/>
        <w:rPr>
          <w:rFonts w:cstheme="minorHAnsi"/>
          <w:b/>
          <w:sz w:val="24"/>
          <w:szCs w:val="24"/>
        </w:rPr>
      </w:pPr>
      <w:r w:rsidRPr="00C15FBF">
        <w:rPr>
          <w:rFonts w:cstheme="minorHAnsi"/>
          <w:b/>
          <w:sz w:val="24"/>
          <w:szCs w:val="24"/>
        </w:rPr>
        <w:t>Cost Per Capita of the Planning Service</w:t>
      </w:r>
      <w:r>
        <w:rPr>
          <w:rFonts w:cstheme="minorHAnsi"/>
          <w:b/>
          <w:sz w:val="24"/>
          <w:szCs w:val="24"/>
        </w:rPr>
        <w:t xml:space="preserve"> </w:t>
      </w:r>
      <w:r w:rsidRPr="00F444F2">
        <w:rPr>
          <w:rFonts w:cstheme="minorHAnsi"/>
          <w:sz w:val="24"/>
          <w:szCs w:val="24"/>
        </w:rPr>
        <w:t>(Table 15)</w:t>
      </w:r>
    </w:p>
    <w:p w:rsidR="00BA21B1" w:rsidRPr="00C15FBF" w:rsidRDefault="00BA21B1" w:rsidP="00BA21B1">
      <w:pPr>
        <w:spacing w:after="0"/>
        <w:jc w:val="both"/>
        <w:rPr>
          <w:rFonts w:cstheme="minorHAnsi"/>
          <w:b/>
          <w:sz w:val="24"/>
          <w:szCs w:val="24"/>
        </w:rPr>
      </w:pPr>
      <w:r w:rsidRPr="00C15FBF">
        <w:rPr>
          <w:rFonts w:cstheme="minorHAnsi"/>
          <w:sz w:val="24"/>
          <w:szCs w:val="24"/>
        </w:rPr>
        <w:t>The costs used to compile this indicator are drawn from the Annual Financial Statement and related to the census figures for the authority</w:t>
      </w:r>
      <w:r>
        <w:rPr>
          <w:rFonts w:cstheme="minorHAnsi"/>
          <w:sz w:val="24"/>
          <w:szCs w:val="24"/>
        </w:rPr>
        <w:t xml:space="preserve"> area</w:t>
      </w:r>
      <w:r w:rsidRPr="00C15FBF">
        <w:rPr>
          <w:rFonts w:cstheme="minorHAnsi"/>
          <w:sz w:val="24"/>
          <w:szCs w:val="24"/>
        </w:rPr>
        <w:t>.  The main costs of the planning service are salaries, travel expenses and advertising</w:t>
      </w:r>
      <w:r w:rsidR="0010041D">
        <w:rPr>
          <w:rFonts w:cstheme="minorHAnsi"/>
          <w:sz w:val="24"/>
          <w:szCs w:val="24"/>
        </w:rPr>
        <w:t xml:space="preserve"> and also costs associated with the preparation of Development Plans</w:t>
      </w:r>
      <w:r w:rsidRPr="00C15FBF">
        <w:rPr>
          <w:rFonts w:cstheme="minorHAnsi"/>
          <w:sz w:val="24"/>
          <w:szCs w:val="24"/>
        </w:rPr>
        <w:t>.  There is some variation in the treatment of development planning</w:t>
      </w:r>
      <w:r w:rsidR="0010041D">
        <w:rPr>
          <w:rFonts w:cstheme="minorHAnsi"/>
          <w:sz w:val="24"/>
          <w:szCs w:val="24"/>
        </w:rPr>
        <w:t xml:space="preserve"> costs</w:t>
      </w:r>
      <w:r w:rsidRPr="00C15FBF">
        <w:rPr>
          <w:rFonts w:cstheme="minorHAnsi"/>
          <w:sz w:val="24"/>
          <w:szCs w:val="24"/>
        </w:rPr>
        <w:t>.  For instance, Cork City Council and Carlow County Council make an annual provision to evenly spread the costs associated with the production of their area’s Development Plan.  Meath County Council indicated that they use development levies to cover consultant costs related to the preparation of the Plan.</w:t>
      </w:r>
    </w:p>
    <w:p w:rsidR="00BA21B1" w:rsidRPr="00C15FBF" w:rsidRDefault="00BA21B1" w:rsidP="00BA21B1">
      <w:pPr>
        <w:spacing w:after="0"/>
        <w:jc w:val="both"/>
        <w:rPr>
          <w:rFonts w:cstheme="minorHAnsi"/>
          <w:b/>
          <w:sz w:val="24"/>
          <w:szCs w:val="24"/>
        </w:rPr>
      </w:pPr>
    </w:p>
    <w:p w:rsidR="00BA21B1" w:rsidRPr="00F444F2" w:rsidRDefault="00BA21B1" w:rsidP="00BA21B1">
      <w:pPr>
        <w:spacing w:after="0"/>
        <w:jc w:val="both"/>
        <w:rPr>
          <w:rFonts w:cstheme="minorHAnsi"/>
          <w:sz w:val="24"/>
          <w:szCs w:val="24"/>
        </w:rPr>
      </w:pPr>
      <w:r w:rsidRPr="00C15FBF">
        <w:rPr>
          <w:rFonts w:cstheme="minorHAnsi"/>
          <w:b/>
          <w:sz w:val="24"/>
          <w:szCs w:val="24"/>
        </w:rPr>
        <w:t xml:space="preserve">Cost Per Capita of the Fire Service </w:t>
      </w:r>
      <w:r>
        <w:rPr>
          <w:rFonts w:cstheme="minorHAnsi"/>
          <w:sz w:val="24"/>
          <w:szCs w:val="24"/>
        </w:rPr>
        <w:t>(Table 17)</w:t>
      </w:r>
    </w:p>
    <w:p w:rsidR="00BA21B1" w:rsidRPr="00C15FBF" w:rsidRDefault="00BA21B1" w:rsidP="00BA21B1">
      <w:pPr>
        <w:spacing w:after="0"/>
        <w:jc w:val="both"/>
        <w:rPr>
          <w:rFonts w:cstheme="minorHAnsi"/>
          <w:sz w:val="24"/>
          <w:szCs w:val="24"/>
        </w:rPr>
      </w:pPr>
      <w:r w:rsidRPr="00C15FBF">
        <w:rPr>
          <w:rFonts w:cstheme="minorHAnsi"/>
          <w:sz w:val="24"/>
          <w:szCs w:val="24"/>
        </w:rPr>
        <w:t>Only six of the eight local authorities reviewed directly operate a fire service and of these only Cork City Council’s fire brigade is a full-time only brigade.  A complication in compiling this indicator is that</w:t>
      </w:r>
      <w:r>
        <w:rPr>
          <w:rFonts w:cstheme="minorHAnsi"/>
          <w:sz w:val="24"/>
          <w:szCs w:val="24"/>
        </w:rPr>
        <w:t>,</w:t>
      </w:r>
      <w:r w:rsidRPr="00C15FBF">
        <w:rPr>
          <w:rFonts w:cstheme="minorHAnsi"/>
          <w:sz w:val="24"/>
          <w:szCs w:val="24"/>
        </w:rPr>
        <w:t xml:space="preserve"> in most of the fire authorities reviewed</w:t>
      </w:r>
      <w:r>
        <w:rPr>
          <w:rFonts w:cstheme="minorHAnsi"/>
          <w:sz w:val="24"/>
          <w:szCs w:val="24"/>
        </w:rPr>
        <w:t>,</w:t>
      </w:r>
      <w:r w:rsidRPr="00C15FBF">
        <w:rPr>
          <w:rFonts w:cstheme="minorHAnsi"/>
          <w:sz w:val="24"/>
          <w:szCs w:val="24"/>
        </w:rPr>
        <w:t xml:space="preserve"> operational fire services were </w:t>
      </w:r>
      <w:r w:rsidRPr="00C15FBF">
        <w:rPr>
          <w:rFonts w:cstheme="minorHAnsi"/>
          <w:sz w:val="24"/>
          <w:szCs w:val="24"/>
        </w:rPr>
        <w:lastRenderedPageBreak/>
        <w:t xml:space="preserve">both supplied to and received from neighbouring fire authorities, depending on the location of fire stations. There are varying types of agreements applicable to these arrangements and the view was expressed that the transfer payments received for the provision of such services did not generally cover the full cost.  As a consequence of the service crossing </w:t>
      </w:r>
      <w:r>
        <w:rPr>
          <w:rFonts w:cstheme="minorHAnsi"/>
          <w:sz w:val="24"/>
          <w:szCs w:val="24"/>
        </w:rPr>
        <w:t xml:space="preserve">local authority </w:t>
      </w:r>
      <w:r w:rsidRPr="00C15FBF">
        <w:rPr>
          <w:rFonts w:cstheme="minorHAnsi"/>
          <w:sz w:val="24"/>
          <w:szCs w:val="24"/>
        </w:rPr>
        <w:t>boundaries, as noted above, the indicators have been adjusted to relate the cost of the services provided to the populations</w:t>
      </w:r>
      <w:r w:rsidR="0010041D">
        <w:rPr>
          <w:rFonts w:cstheme="minorHAnsi"/>
          <w:sz w:val="24"/>
          <w:szCs w:val="24"/>
        </w:rPr>
        <w:t xml:space="preserve"> actually</w:t>
      </w:r>
      <w:r w:rsidRPr="00C15FBF">
        <w:rPr>
          <w:rFonts w:cstheme="minorHAnsi"/>
          <w:sz w:val="24"/>
          <w:szCs w:val="24"/>
        </w:rPr>
        <w:t xml:space="preserve"> served by each fire authority.</w:t>
      </w:r>
    </w:p>
    <w:p w:rsidR="00BA21B1" w:rsidRDefault="00BA21B1" w:rsidP="00BA21B1">
      <w:pPr>
        <w:spacing w:after="0"/>
        <w:jc w:val="both"/>
        <w:rPr>
          <w:rFonts w:cstheme="minorHAnsi"/>
          <w:b/>
          <w:sz w:val="24"/>
          <w:szCs w:val="24"/>
        </w:rPr>
      </w:pPr>
    </w:p>
    <w:p w:rsidR="00BA21B1" w:rsidRPr="00F444F2" w:rsidRDefault="00BA21B1" w:rsidP="00BA21B1">
      <w:pPr>
        <w:spacing w:after="0"/>
        <w:jc w:val="both"/>
        <w:rPr>
          <w:rFonts w:cstheme="minorHAnsi"/>
          <w:sz w:val="24"/>
          <w:szCs w:val="24"/>
        </w:rPr>
      </w:pPr>
      <w:r w:rsidRPr="00C15FBF">
        <w:rPr>
          <w:rFonts w:cstheme="minorHAnsi"/>
          <w:b/>
          <w:sz w:val="24"/>
          <w:szCs w:val="24"/>
        </w:rPr>
        <w:t>Library Visits and Cost Per Capita of the Library Service</w:t>
      </w:r>
      <w:r>
        <w:rPr>
          <w:rFonts w:cstheme="minorHAnsi"/>
          <w:b/>
          <w:sz w:val="24"/>
          <w:szCs w:val="24"/>
        </w:rPr>
        <w:t xml:space="preserve"> </w:t>
      </w:r>
      <w:r>
        <w:rPr>
          <w:rFonts w:cstheme="minorHAnsi"/>
          <w:sz w:val="24"/>
          <w:szCs w:val="24"/>
        </w:rPr>
        <w:t>(Table 19)</w:t>
      </w:r>
    </w:p>
    <w:p w:rsidR="00BA21B1" w:rsidRPr="00C15FBF" w:rsidRDefault="00BA21B1" w:rsidP="00BA21B1">
      <w:pPr>
        <w:spacing w:after="0"/>
        <w:jc w:val="both"/>
        <w:rPr>
          <w:rFonts w:cstheme="minorHAnsi"/>
          <w:sz w:val="24"/>
          <w:szCs w:val="24"/>
        </w:rPr>
      </w:pPr>
      <w:r w:rsidRPr="00C15FBF">
        <w:rPr>
          <w:rFonts w:cstheme="minorHAnsi"/>
          <w:sz w:val="24"/>
          <w:szCs w:val="24"/>
        </w:rPr>
        <w:t xml:space="preserve">An automatic or electronic count of all visitors to main library premises was in place in all the local authorities reviewed and the actual count, rather than an estimate based on the number of visitors in one week in October, was correctly returned to </w:t>
      </w:r>
      <w:proofErr w:type="spellStart"/>
      <w:r w:rsidRPr="00C15FBF">
        <w:rPr>
          <w:rFonts w:cstheme="minorHAnsi"/>
          <w:sz w:val="24"/>
          <w:szCs w:val="24"/>
        </w:rPr>
        <w:t>eReturns</w:t>
      </w:r>
      <w:proofErr w:type="spellEnd"/>
      <w:r w:rsidRPr="00C15FBF">
        <w:rPr>
          <w:rFonts w:cstheme="minorHAnsi"/>
          <w:sz w:val="24"/>
          <w:szCs w:val="24"/>
        </w:rPr>
        <w:t xml:space="preserve"> either initially or following the visit in the case of most of the local authorities.  However, Clare and </w:t>
      </w:r>
      <w:proofErr w:type="spellStart"/>
      <w:r w:rsidRPr="00C15FBF">
        <w:rPr>
          <w:rFonts w:cstheme="minorHAnsi"/>
          <w:sz w:val="24"/>
          <w:szCs w:val="24"/>
        </w:rPr>
        <w:t>Dún</w:t>
      </w:r>
      <w:proofErr w:type="spellEnd"/>
      <w:r w:rsidRPr="00C15FBF">
        <w:rPr>
          <w:rFonts w:cstheme="minorHAnsi"/>
          <w:sz w:val="24"/>
          <w:szCs w:val="24"/>
        </w:rPr>
        <w:t xml:space="preserve"> Laoghaire-</w:t>
      </w:r>
      <w:proofErr w:type="spellStart"/>
      <w:r w:rsidRPr="00C15FBF">
        <w:rPr>
          <w:rFonts w:cstheme="minorHAnsi"/>
          <w:sz w:val="24"/>
          <w:szCs w:val="24"/>
        </w:rPr>
        <w:t>Rathdown</w:t>
      </w:r>
      <w:proofErr w:type="spellEnd"/>
      <w:r w:rsidRPr="00C15FBF">
        <w:rPr>
          <w:rFonts w:cstheme="minorHAnsi"/>
          <w:sz w:val="24"/>
          <w:szCs w:val="24"/>
        </w:rPr>
        <w:t xml:space="preserve"> County Councils returned extrapolated estimates from the electronic count taken in the first week in October even though all visits to their full-time libraries are counted electronically.  Cavan County Council’s figure relates to the (electronic) count in its full-time libraries only.  In the case of some of the reviewed councils, the library premises included facilities for non-library or non-reading/educational related activities and visitors for those purposes were included in the counts.  In relation to the appropriateness of the indicator, the point was made at several visits that there is an increasing level of on-line lending conducted remotely and this is not reflected in the </w:t>
      </w:r>
      <w:r>
        <w:rPr>
          <w:rFonts w:cstheme="minorHAnsi"/>
          <w:sz w:val="24"/>
          <w:szCs w:val="24"/>
        </w:rPr>
        <w:t>relevant</w:t>
      </w:r>
      <w:r w:rsidRPr="00C15FBF">
        <w:rPr>
          <w:rFonts w:cstheme="minorHAnsi"/>
          <w:sz w:val="24"/>
          <w:szCs w:val="24"/>
        </w:rPr>
        <w:t xml:space="preserve"> indicator.  This will be reviewed for future returns.  </w:t>
      </w:r>
    </w:p>
    <w:p w:rsidR="00BA21B1" w:rsidRPr="00C15FBF" w:rsidRDefault="00BA21B1" w:rsidP="00BA21B1">
      <w:pPr>
        <w:spacing w:after="0"/>
        <w:jc w:val="both"/>
        <w:rPr>
          <w:rFonts w:cstheme="minorHAnsi"/>
          <w:sz w:val="24"/>
          <w:szCs w:val="24"/>
        </w:rPr>
      </w:pPr>
    </w:p>
    <w:p w:rsidR="00BA21B1" w:rsidRPr="00C15FBF" w:rsidRDefault="00BA21B1" w:rsidP="00BA21B1">
      <w:pPr>
        <w:spacing w:after="0"/>
        <w:jc w:val="both"/>
        <w:rPr>
          <w:rFonts w:cstheme="minorHAnsi"/>
          <w:sz w:val="24"/>
          <w:szCs w:val="24"/>
        </w:rPr>
      </w:pPr>
      <w:r w:rsidRPr="00C15FBF">
        <w:rPr>
          <w:rFonts w:cstheme="minorHAnsi"/>
          <w:sz w:val="24"/>
          <w:szCs w:val="24"/>
        </w:rPr>
        <w:t xml:space="preserve">The general view expressed was that the library indicators are an improvement on previous years. There will be a central library management system live from 2016 onwards which should see greater efficiencies.  </w:t>
      </w:r>
    </w:p>
    <w:p w:rsidR="00BA21B1" w:rsidRPr="00C15FBF" w:rsidRDefault="00BA21B1" w:rsidP="00BA21B1">
      <w:pPr>
        <w:spacing w:after="0"/>
        <w:jc w:val="both"/>
        <w:rPr>
          <w:rFonts w:cstheme="minorHAnsi"/>
          <w:b/>
          <w:sz w:val="24"/>
          <w:szCs w:val="24"/>
        </w:rPr>
      </w:pPr>
    </w:p>
    <w:p w:rsidR="00BA21B1" w:rsidRPr="00F444F2" w:rsidRDefault="00BA21B1" w:rsidP="00BA21B1">
      <w:pPr>
        <w:spacing w:after="0"/>
        <w:jc w:val="both"/>
        <w:rPr>
          <w:rFonts w:cstheme="minorHAnsi"/>
          <w:sz w:val="24"/>
          <w:szCs w:val="24"/>
        </w:rPr>
      </w:pPr>
      <w:r w:rsidRPr="00C15FBF">
        <w:rPr>
          <w:rFonts w:cstheme="minorHAnsi"/>
          <w:b/>
          <w:sz w:val="24"/>
          <w:szCs w:val="24"/>
        </w:rPr>
        <w:t>N</w:t>
      </w:r>
      <w:r>
        <w:rPr>
          <w:rFonts w:cstheme="minorHAnsi"/>
          <w:b/>
          <w:sz w:val="24"/>
          <w:szCs w:val="24"/>
        </w:rPr>
        <w:t>umber</w:t>
      </w:r>
      <w:r w:rsidRPr="00C15FBF">
        <w:rPr>
          <w:rFonts w:cstheme="minorHAnsi"/>
          <w:b/>
          <w:sz w:val="24"/>
          <w:szCs w:val="24"/>
        </w:rPr>
        <w:t xml:space="preserve"> of Jobs Created</w:t>
      </w:r>
      <w:r>
        <w:rPr>
          <w:rFonts w:cstheme="minorHAnsi"/>
          <w:b/>
          <w:sz w:val="24"/>
          <w:szCs w:val="24"/>
        </w:rPr>
        <w:t xml:space="preserve"> </w:t>
      </w:r>
      <w:r>
        <w:rPr>
          <w:rFonts w:cstheme="minorHAnsi"/>
          <w:sz w:val="24"/>
          <w:szCs w:val="24"/>
        </w:rPr>
        <w:t>(Table 26)</w:t>
      </w:r>
    </w:p>
    <w:p w:rsidR="00BA21B1" w:rsidRPr="00C15FBF" w:rsidRDefault="00BA21B1" w:rsidP="00BA21B1">
      <w:pPr>
        <w:spacing w:after="0"/>
        <w:jc w:val="both"/>
        <w:rPr>
          <w:rFonts w:cstheme="minorHAnsi"/>
          <w:sz w:val="24"/>
          <w:szCs w:val="24"/>
        </w:rPr>
      </w:pPr>
      <w:r w:rsidRPr="00C15FBF">
        <w:rPr>
          <w:rFonts w:cstheme="minorHAnsi"/>
          <w:sz w:val="24"/>
          <w:szCs w:val="24"/>
        </w:rPr>
        <w:t xml:space="preserve">All local authorities use the same system to record data relevant to this indicator.  The system is the Grant Management Information System (GMIS), which was developed by Enterprise Ireland (EI) for the County and City Enterprise Boards that the Local Enterprise Offices (LEOs) replaced.  For the purposes of this system, each local authority conducts an annual verification survey, usually at the end of November, to facilitate a factual measurement of jobs created each year with the assistance of the LEO.  During 2014 there was a data reconciliation exercise conducted by EI that resulted in the removal or transfer to EI from the LEOs of a number of companies that had been counted as assisted by the Enterprise Boards up to then - in some cases, because the businesses had now grown beyond the micro enterprise level.  There was a general feeling that </w:t>
      </w:r>
      <w:r>
        <w:rPr>
          <w:rFonts w:cstheme="minorHAnsi"/>
          <w:sz w:val="24"/>
          <w:szCs w:val="24"/>
        </w:rPr>
        <w:t xml:space="preserve">since LEOs carry out a range of other </w:t>
      </w:r>
      <w:r w:rsidRPr="00C15FBF">
        <w:rPr>
          <w:rFonts w:cstheme="minorHAnsi"/>
          <w:sz w:val="24"/>
          <w:szCs w:val="24"/>
        </w:rPr>
        <w:t>functions that are not captured by the jobs created statistic</w:t>
      </w:r>
      <w:r>
        <w:rPr>
          <w:rFonts w:cstheme="minorHAnsi"/>
          <w:sz w:val="24"/>
          <w:szCs w:val="24"/>
        </w:rPr>
        <w:t>, there may be merit in supplementing that indicator with an additional measure</w:t>
      </w:r>
      <w:r w:rsidRPr="00C15FBF">
        <w:rPr>
          <w:rFonts w:cstheme="minorHAnsi"/>
          <w:sz w:val="24"/>
          <w:szCs w:val="24"/>
        </w:rPr>
        <w:t>.  This will be kept under review for future years.</w:t>
      </w:r>
    </w:p>
    <w:p w:rsidR="00BA21B1" w:rsidRPr="00C15FBF" w:rsidRDefault="00BA21B1" w:rsidP="00BA21B1">
      <w:pPr>
        <w:spacing w:after="0"/>
        <w:jc w:val="both"/>
        <w:rPr>
          <w:rFonts w:cstheme="minorHAnsi"/>
          <w:b/>
          <w:sz w:val="24"/>
          <w:szCs w:val="24"/>
        </w:rPr>
      </w:pPr>
    </w:p>
    <w:p w:rsidR="00BA21B1" w:rsidRPr="00F444F2" w:rsidRDefault="00BA21B1" w:rsidP="00BA21B1">
      <w:pPr>
        <w:spacing w:after="0"/>
        <w:jc w:val="both"/>
        <w:rPr>
          <w:rFonts w:cstheme="minorHAnsi"/>
          <w:sz w:val="24"/>
          <w:szCs w:val="24"/>
        </w:rPr>
      </w:pPr>
      <w:r w:rsidRPr="00C15FBF">
        <w:rPr>
          <w:rFonts w:cstheme="minorHAnsi"/>
          <w:b/>
          <w:sz w:val="24"/>
          <w:szCs w:val="24"/>
        </w:rPr>
        <w:lastRenderedPageBreak/>
        <w:t>Summary of the Revenue Account Balance</w:t>
      </w:r>
      <w:r>
        <w:rPr>
          <w:rFonts w:cstheme="minorHAnsi"/>
          <w:b/>
          <w:sz w:val="24"/>
          <w:szCs w:val="24"/>
        </w:rPr>
        <w:t>s</w:t>
      </w:r>
      <w:r w:rsidRPr="00C15FBF">
        <w:rPr>
          <w:rFonts w:cstheme="minorHAnsi"/>
          <w:b/>
          <w:sz w:val="24"/>
          <w:szCs w:val="24"/>
        </w:rPr>
        <w:t xml:space="preserve"> </w:t>
      </w:r>
      <w:r>
        <w:rPr>
          <w:rFonts w:cstheme="minorHAnsi"/>
          <w:sz w:val="24"/>
          <w:szCs w:val="24"/>
        </w:rPr>
        <w:t>(Table 22)</w:t>
      </w:r>
    </w:p>
    <w:p w:rsidR="00BA21B1" w:rsidRPr="00C15FBF" w:rsidRDefault="00BA21B1" w:rsidP="00BA21B1">
      <w:pPr>
        <w:spacing w:after="0"/>
        <w:jc w:val="both"/>
        <w:rPr>
          <w:rFonts w:cstheme="minorHAnsi"/>
          <w:sz w:val="24"/>
          <w:szCs w:val="24"/>
        </w:rPr>
      </w:pPr>
      <w:r w:rsidRPr="00C15FBF">
        <w:rPr>
          <w:rFonts w:cstheme="minorHAnsi"/>
          <w:sz w:val="24"/>
          <w:szCs w:val="24"/>
        </w:rPr>
        <w:t xml:space="preserve">The data for this indicator reflects the cumulative Income and Expenditure Account balance in the local authority’s Annual Financial Statement at the end of each of the years 2010, 2011, 2012, 2013 and 2014. It is compiled taking account of the balances related to any abolished borough/town councils in the administrative area.  The figures are in agreement with the </w:t>
      </w:r>
      <w:r>
        <w:rPr>
          <w:rFonts w:cstheme="minorHAnsi"/>
          <w:sz w:val="24"/>
          <w:szCs w:val="24"/>
        </w:rPr>
        <w:t>A</w:t>
      </w:r>
      <w:r w:rsidRPr="00C15FBF">
        <w:rPr>
          <w:rFonts w:cstheme="minorHAnsi"/>
          <w:sz w:val="24"/>
          <w:szCs w:val="24"/>
        </w:rPr>
        <w:t xml:space="preserve">nnual </w:t>
      </w:r>
      <w:r>
        <w:rPr>
          <w:rFonts w:cstheme="minorHAnsi"/>
          <w:sz w:val="24"/>
          <w:szCs w:val="24"/>
        </w:rPr>
        <w:t>F</w:t>
      </w:r>
      <w:r w:rsidRPr="00C15FBF">
        <w:rPr>
          <w:rFonts w:cstheme="minorHAnsi"/>
          <w:sz w:val="24"/>
          <w:szCs w:val="24"/>
        </w:rPr>
        <w:t xml:space="preserve">inancial </w:t>
      </w:r>
      <w:r>
        <w:rPr>
          <w:rFonts w:cstheme="minorHAnsi"/>
          <w:sz w:val="24"/>
          <w:szCs w:val="24"/>
        </w:rPr>
        <w:t>S</w:t>
      </w:r>
      <w:r w:rsidRPr="00C15FBF">
        <w:rPr>
          <w:rFonts w:cstheme="minorHAnsi"/>
          <w:sz w:val="24"/>
          <w:szCs w:val="24"/>
        </w:rPr>
        <w:t xml:space="preserve">tatement of each authority reviewed. </w:t>
      </w:r>
    </w:p>
    <w:p w:rsidR="00BA21B1" w:rsidRDefault="00BA21B1" w:rsidP="00BA21B1">
      <w:pPr>
        <w:spacing w:after="0"/>
        <w:jc w:val="both"/>
        <w:rPr>
          <w:rFonts w:cstheme="minorHAnsi"/>
          <w:sz w:val="24"/>
          <w:szCs w:val="24"/>
          <w:u w:val="single"/>
        </w:rPr>
      </w:pPr>
    </w:p>
    <w:p w:rsidR="00BA21B1" w:rsidRPr="00C15FBF" w:rsidRDefault="00BA21B1" w:rsidP="00BA21B1">
      <w:pPr>
        <w:spacing w:after="0"/>
        <w:jc w:val="both"/>
        <w:rPr>
          <w:rFonts w:cstheme="minorHAnsi"/>
          <w:sz w:val="24"/>
          <w:szCs w:val="24"/>
          <w:u w:val="single"/>
        </w:rPr>
      </w:pPr>
      <w:r w:rsidRPr="00C15FBF">
        <w:rPr>
          <w:rFonts w:cstheme="minorHAnsi"/>
          <w:sz w:val="24"/>
          <w:szCs w:val="24"/>
          <w:u w:val="single"/>
        </w:rPr>
        <w:t>Other Performance Matters</w:t>
      </w:r>
    </w:p>
    <w:p w:rsidR="00BA21B1" w:rsidRDefault="00BA21B1" w:rsidP="00BA21B1">
      <w:pPr>
        <w:spacing w:after="0"/>
        <w:jc w:val="both"/>
        <w:rPr>
          <w:rFonts w:cstheme="minorHAnsi"/>
          <w:sz w:val="24"/>
          <w:szCs w:val="24"/>
        </w:rPr>
      </w:pPr>
      <w:r w:rsidRPr="00C15FBF">
        <w:rPr>
          <w:rFonts w:cstheme="minorHAnsi"/>
          <w:sz w:val="24"/>
          <w:szCs w:val="24"/>
        </w:rPr>
        <w:t>In the course of the visits, a number of performance-related matters were noted and discussed with staff in the areas reviewed.  These included</w:t>
      </w:r>
      <w:r>
        <w:rPr>
          <w:rFonts w:cstheme="minorHAnsi"/>
          <w:sz w:val="24"/>
          <w:szCs w:val="24"/>
        </w:rPr>
        <w:t>:</w:t>
      </w:r>
      <w:r w:rsidRPr="00C15FBF">
        <w:rPr>
          <w:rFonts w:cstheme="minorHAnsi"/>
          <w:sz w:val="24"/>
          <w:szCs w:val="24"/>
        </w:rPr>
        <w:t xml:space="preserve"> </w:t>
      </w:r>
    </w:p>
    <w:p w:rsidR="00BA21B1" w:rsidRPr="00C15FBF" w:rsidRDefault="00BA21B1" w:rsidP="00BA21B1">
      <w:pPr>
        <w:spacing w:after="0"/>
        <w:jc w:val="both"/>
        <w:rPr>
          <w:rFonts w:cstheme="minorHAnsi"/>
          <w:sz w:val="24"/>
          <w:szCs w:val="24"/>
        </w:rPr>
      </w:pPr>
    </w:p>
    <w:p w:rsidR="00BA21B1" w:rsidRPr="00C15FBF" w:rsidRDefault="00BA21B1" w:rsidP="00BA21B1">
      <w:pPr>
        <w:numPr>
          <w:ilvl w:val="0"/>
          <w:numId w:val="34"/>
        </w:numPr>
        <w:spacing w:after="0"/>
        <w:jc w:val="both"/>
        <w:rPr>
          <w:rFonts w:cstheme="minorHAnsi"/>
          <w:sz w:val="24"/>
          <w:szCs w:val="24"/>
        </w:rPr>
      </w:pPr>
      <w:r w:rsidRPr="00C15FBF">
        <w:rPr>
          <w:rFonts w:cstheme="minorHAnsi"/>
          <w:sz w:val="24"/>
          <w:szCs w:val="24"/>
        </w:rPr>
        <w:t>The use of more detailed indicators and measures at local level that allow services to monitor their work plans is to be commended.  In this respect, Cork City Council is exploring the development of a balanced scorecard system.</w:t>
      </w:r>
    </w:p>
    <w:p w:rsidR="00BA21B1" w:rsidRPr="00C15FBF" w:rsidRDefault="00BA21B1" w:rsidP="00BA21B1">
      <w:pPr>
        <w:numPr>
          <w:ilvl w:val="0"/>
          <w:numId w:val="34"/>
        </w:numPr>
        <w:spacing w:after="0"/>
        <w:jc w:val="both"/>
        <w:rPr>
          <w:rFonts w:cstheme="minorHAnsi"/>
          <w:sz w:val="24"/>
          <w:szCs w:val="24"/>
        </w:rPr>
      </w:pPr>
      <w:r w:rsidRPr="00C15FBF">
        <w:rPr>
          <w:rFonts w:cstheme="minorHAnsi"/>
          <w:sz w:val="24"/>
          <w:szCs w:val="24"/>
        </w:rPr>
        <w:t xml:space="preserve">In </w:t>
      </w:r>
      <w:proofErr w:type="spellStart"/>
      <w:r w:rsidRPr="00C15FBF">
        <w:rPr>
          <w:rFonts w:cstheme="minorHAnsi"/>
          <w:sz w:val="24"/>
          <w:szCs w:val="24"/>
        </w:rPr>
        <w:t>Dún</w:t>
      </w:r>
      <w:proofErr w:type="spellEnd"/>
      <w:r w:rsidRPr="00C15FBF">
        <w:rPr>
          <w:rFonts w:cstheme="minorHAnsi"/>
          <w:sz w:val="24"/>
          <w:szCs w:val="24"/>
        </w:rPr>
        <w:t xml:space="preserve"> Laoghaire-</w:t>
      </w:r>
      <w:proofErr w:type="spellStart"/>
      <w:r w:rsidRPr="00C15FBF">
        <w:rPr>
          <w:rFonts w:cstheme="minorHAnsi"/>
          <w:sz w:val="24"/>
          <w:szCs w:val="24"/>
        </w:rPr>
        <w:t>Rathdown</w:t>
      </w:r>
      <w:proofErr w:type="spellEnd"/>
      <w:r w:rsidRPr="00C15FBF">
        <w:rPr>
          <w:rFonts w:cstheme="minorHAnsi"/>
          <w:sz w:val="24"/>
          <w:szCs w:val="24"/>
        </w:rPr>
        <w:t>, reduced costs in the planning area were due to staff reductions and some efficiency in printing costs.</w:t>
      </w:r>
    </w:p>
    <w:p w:rsidR="00BA21B1" w:rsidRPr="00C15FBF" w:rsidRDefault="00BA21B1" w:rsidP="00BA21B1">
      <w:pPr>
        <w:numPr>
          <w:ilvl w:val="0"/>
          <w:numId w:val="34"/>
        </w:numPr>
        <w:spacing w:after="0"/>
        <w:jc w:val="both"/>
        <w:rPr>
          <w:rFonts w:cstheme="minorHAnsi"/>
          <w:sz w:val="24"/>
          <w:szCs w:val="24"/>
        </w:rPr>
      </w:pPr>
      <w:r w:rsidRPr="00C15FBF">
        <w:rPr>
          <w:rFonts w:cstheme="minorHAnsi"/>
          <w:sz w:val="24"/>
          <w:szCs w:val="24"/>
        </w:rPr>
        <w:t xml:space="preserve">Currently, the four Dublin authorities have a co-ordinated procurement system for the purchase of new library stock.  A considerable cost reduction was reported. Carlow County Council advised that a national co-ordinated procurement system is planned for 2016.  </w:t>
      </w:r>
    </w:p>
    <w:p w:rsidR="00BA21B1" w:rsidRPr="00C15FBF" w:rsidRDefault="00BA21B1" w:rsidP="00BA21B1">
      <w:pPr>
        <w:numPr>
          <w:ilvl w:val="0"/>
          <w:numId w:val="34"/>
        </w:numPr>
        <w:spacing w:after="0"/>
        <w:jc w:val="both"/>
        <w:rPr>
          <w:rFonts w:cstheme="minorHAnsi"/>
          <w:sz w:val="24"/>
          <w:szCs w:val="24"/>
        </w:rPr>
      </w:pPr>
      <w:r w:rsidRPr="00C15FBF">
        <w:rPr>
          <w:rFonts w:cstheme="minorHAnsi"/>
          <w:sz w:val="24"/>
          <w:szCs w:val="24"/>
        </w:rPr>
        <w:t>It might be useful for authorities to consider conducting a periodic survey of the purpose of library visits using a method on the lines of that used by the Library Association of Ireland.</w:t>
      </w:r>
    </w:p>
    <w:p w:rsidR="00BA21B1" w:rsidRPr="00C15FBF" w:rsidRDefault="00BA21B1" w:rsidP="00BA21B1">
      <w:pPr>
        <w:numPr>
          <w:ilvl w:val="0"/>
          <w:numId w:val="34"/>
        </w:numPr>
        <w:spacing w:after="0"/>
        <w:jc w:val="both"/>
        <w:rPr>
          <w:rFonts w:cstheme="minorHAnsi"/>
          <w:sz w:val="24"/>
          <w:szCs w:val="24"/>
        </w:rPr>
      </w:pPr>
      <w:r w:rsidRPr="00C15FBF">
        <w:rPr>
          <w:rFonts w:cstheme="minorHAnsi"/>
          <w:sz w:val="24"/>
          <w:szCs w:val="24"/>
        </w:rPr>
        <w:t>Some authorities are considering or piloting self-service arrangements for libraries. These offer the potential to extend the opening hours and thereby the accessibility of services.  It would be useful to evaluate the experience in these cases.</w:t>
      </w:r>
    </w:p>
    <w:p w:rsidR="00BA21B1" w:rsidRPr="00C15FBF" w:rsidRDefault="00BA21B1" w:rsidP="00BA21B1">
      <w:pPr>
        <w:numPr>
          <w:ilvl w:val="0"/>
          <w:numId w:val="34"/>
        </w:numPr>
        <w:spacing w:after="0"/>
        <w:jc w:val="both"/>
        <w:rPr>
          <w:rFonts w:cstheme="minorHAnsi"/>
          <w:sz w:val="24"/>
          <w:szCs w:val="24"/>
        </w:rPr>
      </w:pPr>
      <w:r w:rsidRPr="00C15FBF">
        <w:rPr>
          <w:rFonts w:cstheme="minorHAnsi"/>
          <w:sz w:val="24"/>
          <w:szCs w:val="24"/>
        </w:rPr>
        <w:t xml:space="preserve">LEO allocations in most areas were spread throughout the year but </w:t>
      </w:r>
      <w:proofErr w:type="spellStart"/>
      <w:r w:rsidRPr="00C15FBF">
        <w:rPr>
          <w:rFonts w:cstheme="minorHAnsi"/>
          <w:sz w:val="24"/>
          <w:szCs w:val="24"/>
        </w:rPr>
        <w:t>Dún</w:t>
      </w:r>
      <w:proofErr w:type="spellEnd"/>
      <w:r w:rsidRPr="00C15FBF">
        <w:rPr>
          <w:rFonts w:cstheme="minorHAnsi"/>
          <w:sz w:val="24"/>
          <w:szCs w:val="24"/>
        </w:rPr>
        <w:t xml:space="preserve"> Laoghaire-</w:t>
      </w:r>
      <w:proofErr w:type="spellStart"/>
      <w:r w:rsidRPr="00C15FBF">
        <w:rPr>
          <w:rFonts w:cstheme="minorHAnsi"/>
          <w:sz w:val="24"/>
          <w:szCs w:val="24"/>
        </w:rPr>
        <w:t>Rathdown</w:t>
      </w:r>
      <w:proofErr w:type="spellEnd"/>
      <w:r w:rsidRPr="00C15FBF">
        <w:rPr>
          <w:rFonts w:cstheme="minorHAnsi"/>
          <w:sz w:val="24"/>
          <w:szCs w:val="24"/>
        </w:rPr>
        <w:t xml:space="preserve"> reported that the allocation was spent by June which impacts on job creation in the second half of the year.  There was some concern in all authorities that the impact of soft grant support was not being captured in the indicators.</w:t>
      </w:r>
    </w:p>
    <w:p w:rsidR="00BA21B1" w:rsidRPr="00C15FBF" w:rsidRDefault="00BA21B1" w:rsidP="00BA21B1">
      <w:pPr>
        <w:numPr>
          <w:ilvl w:val="0"/>
          <w:numId w:val="34"/>
        </w:numPr>
        <w:spacing w:after="0"/>
        <w:jc w:val="both"/>
        <w:rPr>
          <w:rFonts w:cstheme="minorHAnsi"/>
          <w:sz w:val="24"/>
          <w:szCs w:val="24"/>
        </w:rPr>
      </w:pPr>
      <w:r w:rsidRPr="00C15FBF">
        <w:rPr>
          <w:rFonts w:cstheme="minorHAnsi"/>
          <w:sz w:val="24"/>
          <w:szCs w:val="24"/>
        </w:rPr>
        <w:t>The use of a simple outturn position as a financial indicator was questioned in that it refers only to current budgets and does not relate the balance to the level of resources managed by an authority.</w:t>
      </w:r>
    </w:p>
    <w:p w:rsidR="00BA21B1" w:rsidRPr="00C15FBF" w:rsidRDefault="00BA21B1" w:rsidP="00BA21B1">
      <w:pPr>
        <w:numPr>
          <w:ilvl w:val="0"/>
          <w:numId w:val="34"/>
        </w:numPr>
        <w:spacing w:after="0"/>
        <w:jc w:val="both"/>
        <w:rPr>
          <w:rFonts w:cstheme="minorHAnsi"/>
          <w:sz w:val="24"/>
          <w:szCs w:val="24"/>
        </w:rPr>
      </w:pPr>
      <w:r w:rsidRPr="00C15FBF">
        <w:rPr>
          <w:rFonts w:cstheme="minorHAnsi"/>
          <w:sz w:val="24"/>
          <w:szCs w:val="24"/>
        </w:rPr>
        <w:t xml:space="preserve">Some authorities considered that </w:t>
      </w:r>
      <w:proofErr w:type="gramStart"/>
      <w:r w:rsidRPr="00C15FBF">
        <w:rPr>
          <w:rFonts w:cstheme="minorHAnsi"/>
          <w:sz w:val="24"/>
          <w:szCs w:val="24"/>
        </w:rPr>
        <w:t>a tourism</w:t>
      </w:r>
      <w:proofErr w:type="gramEnd"/>
      <w:r w:rsidRPr="00C15FBF">
        <w:rPr>
          <w:rFonts w:cstheme="minorHAnsi"/>
          <w:sz w:val="24"/>
          <w:szCs w:val="24"/>
        </w:rPr>
        <w:t xml:space="preserve"> related indicator would be a useful addition to the suite of measures since they see this area as a key development priority.</w:t>
      </w:r>
    </w:p>
    <w:p w:rsidR="00BA21B1" w:rsidRDefault="00BA21B1" w:rsidP="00BA21B1">
      <w:pPr>
        <w:rPr>
          <w:rFonts w:eastAsia="Times New Roman" w:cstheme="minorHAnsi"/>
          <w:b/>
          <w:sz w:val="28"/>
          <w:szCs w:val="28"/>
          <w:lang w:eastAsia="en-IE"/>
        </w:rPr>
      </w:pPr>
      <w:r>
        <w:rPr>
          <w:rFonts w:eastAsia="Times New Roman" w:cstheme="minorHAnsi"/>
          <w:b/>
          <w:sz w:val="28"/>
          <w:szCs w:val="28"/>
          <w:lang w:eastAsia="en-IE"/>
        </w:rPr>
        <w:br w:type="page"/>
      </w:r>
    </w:p>
    <w:p w:rsidR="00BA21B1" w:rsidRDefault="00BA21B1" w:rsidP="00BA21B1">
      <w:pPr>
        <w:jc w:val="both"/>
        <w:rPr>
          <w:rFonts w:eastAsia="Times New Roman" w:cstheme="minorHAnsi"/>
          <w:b/>
          <w:sz w:val="28"/>
          <w:szCs w:val="28"/>
          <w:lang w:eastAsia="en-IE"/>
        </w:rPr>
      </w:pPr>
      <w:r w:rsidRPr="003069D4">
        <w:rPr>
          <w:rFonts w:eastAsia="Times New Roman" w:cstheme="minorHAnsi"/>
          <w:b/>
          <w:sz w:val="28"/>
          <w:szCs w:val="28"/>
          <w:lang w:eastAsia="en-IE"/>
        </w:rPr>
        <w:lastRenderedPageBreak/>
        <w:t>Performance Indicator Data</w:t>
      </w:r>
      <w:r>
        <w:rPr>
          <w:rFonts w:eastAsia="Times New Roman" w:cstheme="minorHAnsi"/>
          <w:b/>
          <w:sz w:val="28"/>
          <w:szCs w:val="28"/>
          <w:lang w:eastAsia="en-IE"/>
        </w:rPr>
        <w:t xml:space="preserve"> – Key Messages</w:t>
      </w:r>
    </w:p>
    <w:p w:rsidR="00BA21B1" w:rsidRPr="00864C22" w:rsidRDefault="00BA21B1" w:rsidP="00BA21B1">
      <w:pPr>
        <w:spacing w:after="0"/>
        <w:jc w:val="both"/>
        <w:rPr>
          <w:rFonts w:eastAsia="Times New Roman" w:cstheme="minorHAnsi"/>
          <w:b/>
          <w:sz w:val="24"/>
          <w:szCs w:val="24"/>
          <w:lang w:eastAsia="en-IE"/>
        </w:rPr>
      </w:pPr>
      <w:r w:rsidRPr="00864C22">
        <w:rPr>
          <w:rFonts w:eastAsia="Times New Roman" w:cstheme="minorHAnsi"/>
          <w:b/>
          <w:sz w:val="24"/>
          <w:szCs w:val="24"/>
          <w:lang w:eastAsia="en-IE"/>
        </w:rPr>
        <w:t>Purpose of Indicators</w:t>
      </w:r>
    </w:p>
    <w:p w:rsidR="00BA21B1" w:rsidRDefault="00BA21B1" w:rsidP="00BA21B1">
      <w:pPr>
        <w:spacing w:after="0"/>
        <w:jc w:val="both"/>
        <w:rPr>
          <w:rFonts w:eastAsia="Times New Roman" w:cstheme="minorHAnsi"/>
          <w:sz w:val="24"/>
          <w:szCs w:val="24"/>
          <w:lang w:eastAsia="en-IE"/>
        </w:rPr>
      </w:pPr>
      <w:r w:rsidRPr="000832D7">
        <w:rPr>
          <w:rFonts w:eastAsia="Times New Roman" w:cstheme="minorHAnsi"/>
          <w:sz w:val="24"/>
          <w:szCs w:val="24"/>
          <w:lang w:eastAsia="en-IE"/>
        </w:rPr>
        <w:t xml:space="preserve">The aim of the indicators is to provide information on performance for each individual authority that can be used to compare outputs/outcomes across the various </w:t>
      </w:r>
      <w:r>
        <w:rPr>
          <w:rFonts w:eastAsia="Times New Roman" w:cstheme="minorHAnsi"/>
          <w:sz w:val="24"/>
          <w:szCs w:val="24"/>
          <w:lang w:eastAsia="en-IE"/>
        </w:rPr>
        <w:t>local authoritie</w:t>
      </w:r>
      <w:r w:rsidRPr="000832D7">
        <w:rPr>
          <w:rFonts w:eastAsia="Times New Roman" w:cstheme="minorHAnsi"/>
          <w:sz w:val="24"/>
          <w:szCs w:val="24"/>
          <w:lang w:eastAsia="en-IE"/>
        </w:rPr>
        <w:t xml:space="preserve">s.  Where the indicators are new or the calculation mechanisms have changed, comparison with performance in previous years is not possible.  Where </w:t>
      </w:r>
      <w:r>
        <w:rPr>
          <w:rFonts w:eastAsia="Times New Roman" w:cstheme="minorHAnsi"/>
          <w:sz w:val="24"/>
          <w:szCs w:val="24"/>
          <w:lang w:eastAsia="en-IE"/>
        </w:rPr>
        <w:t xml:space="preserve">such </w:t>
      </w:r>
      <w:r w:rsidRPr="000832D7">
        <w:rPr>
          <w:rFonts w:eastAsia="Times New Roman" w:cstheme="minorHAnsi"/>
          <w:sz w:val="24"/>
          <w:szCs w:val="24"/>
          <w:lang w:eastAsia="en-IE"/>
        </w:rPr>
        <w:t xml:space="preserve">comparative information is available, it is provided </w:t>
      </w:r>
      <w:r>
        <w:rPr>
          <w:rFonts w:eastAsia="Times New Roman" w:cstheme="minorHAnsi"/>
          <w:sz w:val="24"/>
          <w:szCs w:val="24"/>
          <w:lang w:eastAsia="en-IE"/>
        </w:rPr>
        <w:t xml:space="preserve">in the Summary Statistics </w:t>
      </w:r>
      <w:r w:rsidRPr="000832D7">
        <w:rPr>
          <w:rFonts w:eastAsia="Times New Roman" w:cstheme="minorHAnsi"/>
          <w:sz w:val="24"/>
          <w:szCs w:val="24"/>
          <w:lang w:eastAsia="en-IE"/>
        </w:rPr>
        <w:t xml:space="preserve">and </w:t>
      </w:r>
      <w:r>
        <w:rPr>
          <w:rFonts w:eastAsia="Times New Roman" w:cstheme="minorHAnsi"/>
          <w:sz w:val="24"/>
          <w:szCs w:val="24"/>
          <w:lang w:eastAsia="en-IE"/>
        </w:rPr>
        <w:t xml:space="preserve">this </w:t>
      </w:r>
      <w:r w:rsidRPr="000832D7">
        <w:rPr>
          <w:rFonts w:eastAsia="Times New Roman" w:cstheme="minorHAnsi"/>
          <w:sz w:val="24"/>
          <w:szCs w:val="24"/>
          <w:lang w:eastAsia="en-IE"/>
        </w:rPr>
        <w:t xml:space="preserve">facilitates comparison over time for each authority.  </w:t>
      </w:r>
    </w:p>
    <w:p w:rsidR="00BA21B1" w:rsidRDefault="00BA21B1" w:rsidP="00BA21B1">
      <w:pPr>
        <w:spacing w:after="0"/>
        <w:jc w:val="both"/>
        <w:rPr>
          <w:rFonts w:eastAsia="Times New Roman" w:cstheme="minorHAnsi"/>
          <w:sz w:val="24"/>
          <w:szCs w:val="24"/>
          <w:lang w:eastAsia="en-IE"/>
        </w:rPr>
      </w:pPr>
    </w:p>
    <w:p w:rsidR="00BA21B1" w:rsidRPr="000832D7" w:rsidRDefault="00BA21B1" w:rsidP="00BA21B1">
      <w:pPr>
        <w:spacing w:after="0"/>
        <w:jc w:val="both"/>
        <w:rPr>
          <w:rFonts w:eastAsia="Times New Roman" w:cstheme="minorHAnsi"/>
          <w:sz w:val="24"/>
          <w:szCs w:val="24"/>
          <w:lang w:eastAsia="en-IE"/>
        </w:rPr>
      </w:pPr>
      <w:r w:rsidRPr="000832D7">
        <w:rPr>
          <w:rFonts w:eastAsia="Times New Roman" w:cstheme="minorHAnsi"/>
          <w:sz w:val="24"/>
          <w:szCs w:val="24"/>
          <w:lang w:eastAsia="en-IE"/>
        </w:rPr>
        <w:t>These indicators attempt to deliver a common approach to measurement and benchmarking and the availability of the information is intended to support all local authorities to improve the services they provide to local communities.  NOAC believes that</w:t>
      </w:r>
      <w:r>
        <w:rPr>
          <w:rFonts w:eastAsia="Times New Roman" w:cstheme="minorHAnsi"/>
          <w:sz w:val="24"/>
          <w:szCs w:val="24"/>
          <w:lang w:eastAsia="en-IE"/>
        </w:rPr>
        <w:t>,</w:t>
      </w:r>
      <w:r w:rsidRPr="000832D7">
        <w:rPr>
          <w:rFonts w:eastAsia="Times New Roman" w:cstheme="minorHAnsi"/>
          <w:sz w:val="24"/>
          <w:szCs w:val="24"/>
          <w:lang w:eastAsia="en-IE"/>
        </w:rPr>
        <w:t xml:space="preserve"> by learning from one another, there is scope to develop and enhance best practice in the performance by local government bodies of their functions.  The benchmarking process aids understanding of why councils vary in terms of performance.  By making the information publicly available, citizens and service users can hold councils to account in relation to what is achieved on their behalf.  It </w:t>
      </w:r>
      <w:r>
        <w:rPr>
          <w:rFonts w:eastAsia="Times New Roman" w:cstheme="minorHAnsi"/>
          <w:sz w:val="24"/>
          <w:szCs w:val="24"/>
          <w:lang w:eastAsia="en-IE"/>
        </w:rPr>
        <w:t xml:space="preserve">also </w:t>
      </w:r>
      <w:r w:rsidRPr="000832D7">
        <w:rPr>
          <w:rFonts w:eastAsia="Times New Roman" w:cstheme="minorHAnsi"/>
          <w:sz w:val="24"/>
          <w:szCs w:val="24"/>
          <w:lang w:eastAsia="en-IE"/>
        </w:rPr>
        <w:t xml:space="preserve">allows councils </w:t>
      </w:r>
      <w:r>
        <w:rPr>
          <w:rFonts w:eastAsia="Times New Roman" w:cstheme="minorHAnsi"/>
          <w:sz w:val="24"/>
          <w:szCs w:val="24"/>
          <w:lang w:eastAsia="en-IE"/>
        </w:rPr>
        <w:t xml:space="preserve">themselves </w:t>
      </w:r>
      <w:r w:rsidRPr="000832D7">
        <w:rPr>
          <w:rFonts w:eastAsia="Times New Roman" w:cstheme="minorHAnsi"/>
          <w:sz w:val="24"/>
          <w:szCs w:val="24"/>
          <w:lang w:eastAsia="en-IE"/>
        </w:rPr>
        <w:t>to ask questions about their services in order to make them better.</w:t>
      </w:r>
    </w:p>
    <w:p w:rsidR="00BA21B1" w:rsidRDefault="00BA21B1" w:rsidP="00BA21B1">
      <w:pPr>
        <w:spacing w:after="0"/>
        <w:jc w:val="both"/>
        <w:rPr>
          <w:rFonts w:cstheme="minorHAnsi"/>
          <w:sz w:val="24"/>
          <w:szCs w:val="24"/>
        </w:rPr>
      </w:pPr>
    </w:p>
    <w:p w:rsidR="00BA21B1" w:rsidRPr="000832D7" w:rsidRDefault="00BA21B1" w:rsidP="00BA21B1">
      <w:pPr>
        <w:spacing w:after="0"/>
        <w:jc w:val="both"/>
        <w:rPr>
          <w:rFonts w:cstheme="minorHAnsi"/>
          <w:sz w:val="24"/>
          <w:szCs w:val="24"/>
        </w:rPr>
      </w:pPr>
      <w:r w:rsidRPr="000832D7">
        <w:rPr>
          <w:rFonts w:cstheme="minorHAnsi"/>
          <w:sz w:val="24"/>
          <w:szCs w:val="24"/>
        </w:rPr>
        <w:t xml:space="preserve">It is NOAC’s objective, as it carries out thematic reviews into different aspects of local authority activity and acquires greater insight into the functions performed by local authorities, to develop over time more qualitative performance indicators that are focussed on outcomes as well as inputs and outputs.  </w:t>
      </w:r>
    </w:p>
    <w:p w:rsidR="00BA21B1" w:rsidRPr="000832D7" w:rsidRDefault="00BA21B1" w:rsidP="00BA21B1">
      <w:pPr>
        <w:spacing w:after="0"/>
        <w:jc w:val="both"/>
        <w:rPr>
          <w:rFonts w:eastAsia="Times New Roman" w:cstheme="minorHAnsi"/>
          <w:sz w:val="24"/>
          <w:szCs w:val="24"/>
          <w:lang w:eastAsia="en-IE"/>
        </w:rPr>
      </w:pPr>
    </w:p>
    <w:p w:rsidR="00BA21B1" w:rsidRDefault="00BA21B1" w:rsidP="00BA21B1">
      <w:pPr>
        <w:spacing w:after="0"/>
        <w:jc w:val="both"/>
        <w:rPr>
          <w:rFonts w:eastAsia="Times New Roman" w:cstheme="minorHAnsi"/>
          <w:sz w:val="24"/>
          <w:szCs w:val="24"/>
          <w:lang w:eastAsia="en-IE"/>
        </w:rPr>
      </w:pPr>
      <w:r w:rsidRPr="000832D7">
        <w:rPr>
          <w:rFonts w:eastAsia="Times New Roman" w:cstheme="minorHAnsi"/>
          <w:sz w:val="24"/>
          <w:szCs w:val="24"/>
          <w:lang w:eastAsia="en-IE"/>
        </w:rPr>
        <w:t xml:space="preserve">In reviewing the data it must be recognised that local authorities vary in terms of their client base, scale, resource base, geography and topography, which may impact on service outputs/outcomes.  In this context, </w:t>
      </w:r>
      <w:r>
        <w:rPr>
          <w:rFonts w:eastAsia="Times New Roman" w:cstheme="minorHAnsi"/>
          <w:sz w:val="24"/>
          <w:szCs w:val="24"/>
          <w:lang w:eastAsia="en-IE"/>
        </w:rPr>
        <w:t xml:space="preserve">NOAC will consider, in consultation with the LGMA, whether and to what extent </w:t>
      </w:r>
      <w:r w:rsidRPr="000832D7">
        <w:rPr>
          <w:rFonts w:eastAsia="Times New Roman" w:cstheme="minorHAnsi"/>
          <w:sz w:val="24"/>
          <w:szCs w:val="24"/>
          <w:lang w:eastAsia="en-IE"/>
        </w:rPr>
        <w:t xml:space="preserve">there may be scope to group similar local authorities for comparative purposes, for example, urban, rural, levels of deprivation and affluence, etc.  </w:t>
      </w:r>
    </w:p>
    <w:p w:rsidR="00BA21B1" w:rsidRDefault="00BA21B1" w:rsidP="00BA21B1">
      <w:pPr>
        <w:spacing w:after="0"/>
        <w:jc w:val="both"/>
        <w:rPr>
          <w:rFonts w:eastAsia="Times New Roman" w:cstheme="minorHAnsi"/>
          <w:sz w:val="24"/>
          <w:szCs w:val="24"/>
          <w:lang w:eastAsia="en-IE"/>
        </w:rPr>
      </w:pPr>
    </w:p>
    <w:p w:rsidR="00BA21B1" w:rsidRPr="000832D7" w:rsidRDefault="00BA21B1" w:rsidP="00BA21B1">
      <w:pPr>
        <w:spacing w:after="0"/>
        <w:jc w:val="both"/>
        <w:rPr>
          <w:rFonts w:eastAsia="Times New Roman" w:cstheme="minorHAnsi"/>
          <w:sz w:val="24"/>
          <w:szCs w:val="24"/>
          <w:lang w:eastAsia="en-IE"/>
        </w:rPr>
      </w:pPr>
      <w:r w:rsidRPr="000832D7">
        <w:rPr>
          <w:rFonts w:eastAsia="Times New Roman" w:cstheme="minorHAnsi"/>
          <w:sz w:val="24"/>
          <w:szCs w:val="24"/>
          <w:lang w:eastAsia="en-IE"/>
        </w:rPr>
        <w:t xml:space="preserve">The information presented in this report should be considered in the broader economic </w:t>
      </w:r>
      <w:r>
        <w:rPr>
          <w:rFonts w:eastAsia="Times New Roman" w:cstheme="minorHAnsi"/>
          <w:sz w:val="24"/>
          <w:szCs w:val="24"/>
          <w:lang w:eastAsia="en-IE"/>
        </w:rPr>
        <w:t xml:space="preserve">and financial </w:t>
      </w:r>
      <w:r w:rsidRPr="000832D7">
        <w:rPr>
          <w:rFonts w:eastAsia="Times New Roman" w:cstheme="minorHAnsi"/>
          <w:sz w:val="24"/>
          <w:szCs w:val="24"/>
          <w:lang w:eastAsia="en-IE"/>
        </w:rPr>
        <w:t>context within which local authorities operate.  The indicators show the reduction in staffing levels and levels of revenue collection.  In addition</w:t>
      </w:r>
      <w:r>
        <w:rPr>
          <w:rFonts w:eastAsia="Times New Roman" w:cstheme="minorHAnsi"/>
          <w:sz w:val="24"/>
          <w:szCs w:val="24"/>
          <w:lang w:eastAsia="en-IE"/>
        </w:rPr>
        <w:t>,</w:t>
      </w:r>
      <w:r w:rsidRPr="000832D7">
        <w:rPr>
          <w:rFonts w:eastAsia="Times New Roman" w:cstheme="minorHAnsi"/>
          <w:sz w:val="24"/>
          <w:szCs w:val="24"/>
          <w:lang w:eastAsia="en-IE"/>
        </w:rPr>
        <w:t xml:space="preserve"> authorities are dependent on central Government funding which has reduced during the recession.  It should also be noted that the provision of services by each local authority is governed by policy decisions which are taken at local level to match services to locally identified priorities and the needs of the population served.</w:t>
      </w:r>
    </w:p>
    <w:p w:rsidR="00BA21B1" w:rsidRPr="00F47FE9" w:rsidRDefault="00BA21B1" w:rsidP="00BA21B1">
      <w:pPr>
        <w:pStyle w:val="Default"/>
        <w:spacing w:line="276" w:lineRule="auto"/>
        <w:jc w:val="both"/>
        <w:rPr>
          <w:rFonts w:ascii="Calibri" w:hAnsi="Calibri" w:cs="Calibri"/>
          <w:bCs/>
          <w:color w:val="auto"/>
        </w:rPr>
      </w:pPr>
    </w:p>
    <w:p w:rsidR="00BA21B1" w:rsidRDefault="00BA21B1" w:rsidP="00BA21B1">
      <w:pPr>
        <w:spacing w:after="0"/>
        <w:jc w:val="both"/>
        <w:rPr>
          <w:rFonts w:eastAsia="Times New Roman" w:cstheme="minorHAnsi"/>
          <w:b/>
          <w:sz w:val="24"/>
          <w:szCs w:val="24"/>
        </w:rPr>
      </w:pPr>
    </w:p>
    <w:p w:rsidR="00BA21B1" w:rsidRDefault="00BA21B1" w:rsidP="00BA21B1">
      <w:pPr>
        <w:spacing w:after="0"/>
        <w:jc w:val="both"/>
        <w:rPr>
          <w:rFonts w:eastAsia="Times New Roman" w:cstheme="minorHAnsi"/>
          <w:b/>
          <w:sz w:val="24"/>
          <w:szCs w:val="24"/>
        </w:rPr>
      </w:pPr>
    </w:p>
    <w:p w:rsidR="00BA21B1" w:rsidRPr="00E31804" w:rsidRDefault="00BA21B1" w:rsidP="00BA21B1">
      <w:pPr>
        <w:spacing w:after="0"/>
        <w:jc w:val="both"/>
        <w:rPr>
          <w:rFonts w:eastAsia="Times New Roman" w:cstheme="minorHAnsi"/>
          <w:b/>
          <w:sz w:val="24"/>
          <w:szCs w:val="24"/>
        </w:rPr>
      </w:pPr>
      <w:r w:rsidRPr="00E31804">
        <w:rPr>
          <w:rFonts w:eastAsia="Times New Roman" w:cstheme="minorHAnsi"/>
          <w:b/>
          <w:sz w:val="24"/>
          <w:szCs w:val="24"/>
        </w:rPr>
        <w:lastRenderedPageBreak/>
        <w:t>Housing Services</w:t>
      </w:r>
    </w:p>
    <w:p w:rsidR="00BA21B1" w:rsidRDefault="00BA21B1" w:rsidP="00BA21B1">
      <w:pPr>
        <w:spacing w:after="0"/>
        <w:jc w:val="both"/>
        <w:rPr>
          <w:rFonts w:cstheme="minorHAnsi"/>
          <w:bCs/>
          <w:sz w:val="24"/>
          <w:szCs w:val="24"/>
        </w:rPr>
      </w:pPr>
      <w:r w:rsidRPr="00E31804">
        <w:rPr>
          <w:rFonts w:eastAsia="Times New Roman" w:cstheme="minorHAnsi"/>
          <w:sz w:val="24"/>
          <w:szCs w:val="24"/>
        </w:rPr>
        <w:t xml:space="preserve">The total number of additional housing units provided in 2014 </w:t>
      </w:r>
      <w:r>
        <w:rPr>
          <w:rFonts w:eastAsia="Times New Roman" w:cstheme="minorHAnsi"/>
          <w:sz w:val="24"/>
          <w:szCs w:val="24"/>
        </w:rPr>
        <w:t xml:space="preserve">(Table 1) </w:t>
      </w:r>
      <w:r w:rsidRPr="00E31804">
        <w:rPr>
          <w:rFonts w:eastAsia="Times New Roman" w:cstheme="minorHAnsi"/>
          <w:sz w:val="24"/>
          <w:szCs w:val="24"/>
        </w:rPr>
        <w:t xml:space="preserve">was 3,820, reflecting direct </w:t>
      </w:r>
      <w:proofErr w:type="gramStart"/>
      <w:r w:rsidRPr="00E31804">
        <w:rPr>
          <w:rFonts w:eastAsia="Times New Roman" w:cstheme="minorHAnsi"/>
          <w:sz w:val="24"/>
          <w:szCs w:val="24"/>
        </w:rPr>
        <w:t>provision,</w:t>
      </w:r>
      <w:proofErr w:type="gramEnd"/>
      <w:r w:rsidRPr="00E31804">
        <w:rPr>
          <w:rFonts w:eastAsia="Times New Roman" w:cstheme="minorHAnsi"/>
          <w:sz w:val="24"/>
          <w:szCs w:val="24"/>
        </w:rPr>
        <w:t xml:space="preserve"> </w:t>
      </w:r>
      <w:r>
        <w:rPr>
          <w:rFonts w:eastAsia="Times New Roman" w:cstheme="minorHAnsi"/>
          <w:sz w:val="24"/>
          <w:szCs w:val="24"/>
        </w:rPr>
        <w:t xml:space="preserve">and </w:t>
      </w:r>
      <w:r w:rsidRPr="00E31804">
        <w:rPr>
          <w:rFonts w:eastAsia="Times New Roman" w:cstheme="minorHAnsi"/>
          <w:sz w:val="24"/>
          <w:szCs w:val="24"/>
        </w:rPr>
        <w:t>units provided under the Rental Accommodation Scheme, the Housing Assistance P</w:t>
      </w:r>
      <w:r>
        <w:rPr>
          <w:rFonts w:eastAsia="Times New Roman" w:cstheme="minorHAnsi"/>
          <w:sz w:val="24"/>
          <w:szCs w:val="24"/>
        </w:rPr>
        <w:t xml:space="preserve">ayment Scheme </w:t>
      </w:r>
      <w:r w:rsidRPr="00E31804">
        <w:rPr>
          <w:rFonts w:eastAsia="Times New Roman" w:cstheme="minorHAnsi"/>
          <w:sz w:val="24"/>
          <w:szCs w:val="24"/>
        </w:rPr>
        <w:t xml:space="preserve">and the Social Housing Leasing Initiative.  The total stock </w:t>
      </w:r>
      <w:r w:rsidR="00B71C8A">
        <w:rPr>
          <w:rFonts w:eastAsia="Times New Roman" w:cstheme="minorHAnsi"/>
          <w:sz w:val="24"/>
          <w:szCs w:val="24"/>
        </w:rPr>
        <w:t xml:space="preserve">available for social housing purposes </w:t>
      </w:r>
      <w:r w:rsidRPr="00E31804">
        <w:rPr>
          <w:rFonts w:eastAsia="Times New Roman" w:cstheme="minorHAnsi"/>
          <w:sz w:val="24"/>
          <w:szCs w:val="24"/>
        </w:rPr>
        <w:t xml:space="preserve">at the end of 2014 </w:t>
      </w:r>
      <w:r>
        <w:rPr>
          <w:rFonts w:eastAsia="Times New Roman" w:cstheme="minorHAnsi"/>
          <w:sz w:val="24"/>
          <w:szCs w:val="24"/>
        </w:rPr>
        <w:t xml:space="preserve">(Table 2) </w:t>
      </w:r>
      <w:r w:rsidRPr="00E31804">
        <w:rPr>
          <w:rFonts w:eastAsia="Times New Roman" w:cstheme="minorHAnsi"/>
          <w:sz w:val="24"/>
          <w:szCs w:val="24"/>
        </w:rPr>
        <w:t xml:space="preserve">stood at 153,773.  2014 saw the commencement of the roll out of the new Housing Assistance Payment Scheme through which 463 units became available.  </w:t>
      </w:r>
      <w:r w:rsidRPr="00E31804">
        <w:rPr>
          <w:rFonts w:cstheme="minorHAnsi"/>
          <w:bCs/>
          <w:sz w:val="24"/>
          <w:szCs w:val="24"/>
        </w:rPr>
        <w:t>Authorities were asked to indicate the number of the housing units they own that were not tenanted on 31 December 2014 and the report shows the % this represents of the directly provided social housing stock of each local authority.  The figures, which total 4,91</w:t>
      </w:r>
      <w:r>
        <w:rPr>
          <w:rFonts w:cstheme="minorHAnsi"/>
          <w:bCs/>
          <w:sz w:val="24"/>
          <w:szCs w:val="24"/>
        </w:rPr>
        <w:t>9</w:t>
      </w:r>
      <w:r w:rsidRPr="00E31804">
        <w:rPr>
          <w:rFonts w:cstheme="minorHAnsi"/>
          <w:bCs/>
          <w:sz w:val="24"/>
          <w:szCs w:val="24"/>
        </w:rPr>
        <w:t xml:space="preserve"> dwellings, vary from over 8% in Roscommon and Leitrim to 0.5% in Monaghan and South Dublin.  The other authorities with vacancy rates greater than 4% are Cork and Dublin cities, Limerick city and county and Cavan, Galway, Longford, Mayo and Sligo counties.  </w:t>
      </w:r>
      <w:r>
        <w:rPr>
          <w:rFonts w:cstheme="minorHAnsi"/>
          <w:bCs/>
          <w:sz w:val="24"/>
          <w:szCs w:val="24"/>
        </w:rPr>
        <w:t>A</w:t>
      </w:r>
      <w:r w:rsidRPr="00E31804">
        <w:rPr>
          <w:rFonts w:cstheme="minorHAnsi"/>
          <w:bCs/>
          <w:sz w:val="24"/>
          <w:szCs w:val="24"/>
        </w:rPr>
        <w:t xml:space="preserve"> higher level of vacancies may be due in some cases to a local authority policy of holding vacancies in certain estates pending planned refurbishment work and in others to certain stock not being popular with waiting list applicants.  The level of vacancy will also reflect the extent to which the authority is pro-active in placing tenants in vacated properties within the shortest possible timeframe.  The 2014 mean vacancy figure is 3.45% and the median is 2.83%.  The 2013 indicator excluded from the % vacant figures those units that were the subject of major refurbishment work, but the mean and median were quite similar </w:t>
      </w:r>
      <w:r>
        <w:rPr>
          <w:rFonts w:cstheme="minorHAnsi"/>
          <w:bCs/>
          <w:sz w:val="24"/>
          <w:szCs w:val="24"/>
        </w:rPr>
        <w:t xml:space="preserve">in 2013 to the 2014 figures – </w:t>
      </w:r>
      <w:r w:rsidRPr="00E31804">
        <w:rPr>
          <w:rFonts w:cstheme="minorHAnsi"/>
          <w:bCs/>
          <w:sz w:val="24"/>
          <w:szCs w:val="24"/>
        </w:rPr>
        <w:t xml:space="preserve">at 3.23% and 2.6% respectively.  This suggests that </w:t>
      </w:r>
      <w:r>
        <w:rPr>
          <w:rFonts w:cstheme="minorHAnsi"/>
          <w:bCs/>
          <w:sz w:val="24"/>
          <w:szCs w:val="24"/>
        </w:rPr>
        <w:t>difficult to let</w:t>
      </w:r>
      <w:r w:rsidRPr="00E31804">
        <w:rPr>
          <w:rFonts w:cstheme="minorHAnsi"/>
          <w:bCs/>
          <w:sz w:val="24"/>
          <w:szCs w:val="24"/>
        </w:rPr>
        <w:t xml:space="preserve"> housing stock and local authority policy </w:t>
      </w:r>
      <w:r>
        <w:rPr>
          <w:rFonts w:cstheme="minorHAnsi"/>
          <w:bCs/>
          <w:sz w:val="24"/>
          <w:szCs w:val="24"/>
        </w:rPr>
        <w:t xml:space="preserve">and practice regarding </w:t>
      </w:r>
      <w:r w:rsidRPr="00E31804">
        <w:rPr>
          <w:rFonts w:cstheme="minorHAnsi"/>
          <w:bCs/>
          <w:sz w:val="24"/>
          <w:szCs w:val="24"/>
        </w:rPr>
        <w:t>minimising vacancies are the more likely determinants of performance in this area.</w:t>
      </w:r>
    </w:p>
    <w:p w:rsidR="00BA21B1" w:rsidRPr="00E31804" w:rsidRDefault="00BA21B1" w:rsidP="00BA21B1">
      <w:pPr>
        <w:spacing w:after="0"/>
        <w:jc w:val="both"/>
        <w:rPr>
          <w:rFonts w:cstheme="minorHAnsi"/>
          <w:bCs/>
          <w:sz w:val="24"/>
          <w:szCs w:val="24"/>
        </w:rPr>
      </w:pPr>
    </w:p>
    <w:p w:rsidR="00BA21B1" w:rsidRPr="00E31804" w:rsidRDefault="00BA21B1" w:rsidP="00BA21B1">
      <w:pPr>
        <w:jc w:val="both"/>
        <w:rPr>
          <w:rFonts w:eastAsia="Times New Roman" w:cstheme="minorHAnsi"/>
          <w:sz w:val="24"/>
          <w:szCs w:val="24"/>
        </w:rPr>
      </w:pPr>
      <w:r>
        <w:rPr>
          <w:rFonts w:eastAsia="Times New Roman" w:cstheme="minorHAnsi"/>
          <w:sz w:val="24"/>
          <w:szCs w:val="24"/>
        </w:rPr>
        <w:t>Table 3 shows a</w:t>
      </w:r>
      <w:r w:rsidRPr="00E31804">
        <w:rPr>
          <w:rFonts w:eastAsia="Times New Roman" w:cstheme="minorHAnsi"/>
          <w:sz w:val="24"/>
          <w:szCs w:val="24"/>
        </w:rPr>
        <w:t>verage re-letting times from the date the previous tenant vacated the dwelling to the date of the new tenant’s first rent debit varied from a low of 10 weeks in Laois to a high of 82 weeks in Cork city</w:t>
      </w:r>
      <w:r>
        <w:rPr>
          <w:rFonts w:eastAsia="Times New Roman" w:cstheme="minorHAnsi"/>
          <w:sz w:val="24"/>
          <w:szCs w:val="24"/>
        </w:rPr>
        <w:t>,</w:t>
      </w:r>
      <w:r w:rsidRPr="00E31804">
        <w:rPr>
          <w:rFonts w:eastAsia="Times New Roman" w:cstheme="minorHAnsi"/>
          <w:sz w:val="24"/>
          <w:szCs w:val="24"/>
        </w:rPr>
        <w:t xml:space="preserve"> with a median of 24 weeks.  Although</w:t>
      </w:r>
      <w:r w:rsidRPr="00E31804">
        <w:rPr>
          <w:rFonts w:cstheme="minorHAnsi"/>
          <w:bCs/>
          <w:sz w:val="24"/>
          <w:szCs w:val="24"/>
        </w:rPr>
        <w:t xml:space="preserve"> the Cork re-letting time was influenced by its policy of delaying the first rent debit by a week and having some older bedsit type units that can be difficult to let, this deviation from the median is significant.  While 13 local authorities had average re-letting times of more than 30 weeks, 11 authorities achieved an average of less than 20 weeks, including 2 urban authorities (South Dublin – 11.1 weeks and </w:t>
      </w:r>
      <w:proofErr w:type="spellStart"/>
      <w:r w:rsidRPr="00E31804">
        <w:rPr>
          <w:rFonts w:cstheme="minorHAnsi"/>
          <w:bCs/>
          <w:sz w:val="24"/>
          <w:szCs w:val="24"/>
        </w:rPr>
        <w:t>Dún</w:t>
      </w:r>
      <w:proofErr w:type="spellEnd"/>
      <w:r w:rsidRPr="00E31804">
        <w:rPr>
          <w:rFonts w:cstheme="minorHAnsi"/>
          <w:bCs/>
          <w:sz w:val="24"/>
          <w:szCs w:val="24"/>
        </w:rPr>
        <w:t xml:space="preserve"> Laoghaire-</w:t>
      </w:r>
      <w:proofErr w:type="spellStart"/>
      <w:r w:rsidRPr="00E31804">
        <w:rPr>
          <w:rFonts w:cstheme="minorHAnsi"/>
          <w:bCs/>
          <w:sz w:val="24"/>
          <w:szCs w:val="24"/>
        </w:rPr>
        <w:t>Rathdown</w:t>
      </w:r>
      <w:proofErr w:type="spellEnd"/>
      <w:r w:rsidRPr="00E31804">
        <w:rPr>
          <w:rFonts w:cstheme="minorHAnsi"/>
          <w:bCs/>
          <w:sz w:val="24"/>
          <w:szCs w:val="24"/>
        </w:rPr>
        <w:t xml:space="preserve"> – 13.36 weeks).  </w:t>
      </w:r>
      <w:r w:rsidRPr="00E31804">
        <w:rPr>
          <w:rFonts w:eastAsia="Times New Roman" w:cstheme="minorHAnsi"/>
          <w:sz w:val="24"/>
          <w:szCs w:val="24"/>
        </w:rPr>
        <w:t xml:space="preserve">It is recognised that a number of authorities have provided explanations for their performance related to refurbishment of the units.  It would be beneficial for individual authorities to review their performance in this area to ensure a timely turn-around of vacant units to meet the significant demand </w:t>
      </w:r>
      <w:r>
        <w:rPr>
          <w:rFonts w:eastAsia="Times New Roman" w:cstheme="minorHAnsi"/>
          <w:sz w:val="24"/>
          <w:szCs w:val="24"/>
        </w:rPr>
        <w:t>that</w:t>
      </w:r>
      <w:r w:rsidRPr="00E31804">
        <w:rPr>
          <w:rFonts w:eastAsia="Times New Roman" w:cstheme="minorHAnsi"/>
          <w:sz w:val="24"/>
          <w:szCs w:val="24"/>
        </w:rPr>
        <w:t xml:space="preserve"> exists for social housing.</w:t>
      </w:r>
    </w:p>
    <w:p w:rsidR="00BA21B1" w:rsidRDefault="00BA21B1" w:rsidP="00BA21B1">
      <w:pPr>
        <w:jc w:val="both"/>
        <w:rPr>
          <w:rFonts w:eastAsia="Times New Roman" w:cstheme="minorHAnsi"/>
          <w:sz w:val="24"/>
          <w:szCs w:val="24"/>
        </w:rPr>
      </w:pPr>
      <w:r w:rsidRPr="00E31804">
        <w:rPr>
          <w:rFonts w:eastAsia="Times New Roman" w:cstheme="minorHAnsi"/>
          <w:sz w:val="24"/>
          <w:szCs w:val="24"/>
        </w:rPr>
        <w:t>There is also a significant variation in the average cost of pre-letting repairs from €1,266.57 in Cavan to €35,012.51 in Cork city</w:t>
      </w:r>
      <w:r>
        <w:rPr>
          <w:rFonts w:eastAsia="Times New Roman" w:cstheme="minorHAnsi"/>
          <w:sz w:val="24"/>
          <w:szCs w:val="24"/>
        </w:rPr>
        <w:t>,</w:t>
      </w:r>
      <w:r w:rsidRPr="00E31804">
        <w:rPr>
          <w:rFonts w:eastAsia="Times New Roman" w:cstheme="minorHAnsi"/>
          <w:sz w:val="24"/>
          <w:szCs w:val="24"/>
        </w:rPr>
        <w:t xml:space="preserve"> with a median cost of €8,375. Explanations that were provided for the variation</w:t>
      </w:r>
      <w:r>
        <w:rPr>
          <w:rFonts w:eastAsia="Times New Roman" w:cstheme="minorHAnsi"/>
          <w:sz w:val="24"/>
          <w:szCs w:val="24"/>
        </w:rPr>
        <w:t>s</w:t>
      </w:r>
      <w:r w:rsidRPr="00E31804">
        <w:rPr>
          <w:rFonts w:eastAsia="Times New Roman" w:cstheme="minorHAnsi"/>
          <w:sz w:val="24"/>
          <w:szCs w:val="24"/>
        </w:rPr>
        <w:t xml:space="preserve"> include costs associated with the age of the property, the extent of the work required and the impact of hard to let properties. </w:t>
      </w:r>
      <w:r>
        <w:rPr>
          <w:rFonts w:eastAsia="Times New Roman" w:cstheme="minorHAnsi"/>
          <w:sz w:val="24"/>
          <w:szCs w:val="24"/>
        </w:rPr>
        <w:t xml:space="preserve"> </w:t>
      </w:r>
      <w:r w:rsidRPr="00E31804">
        <w:rPr>
          <w:rFonts w:eastAsia="Times New Roman" w:cstheme="minorHAnsi"/>
          <w:sz w:val="24"/>
          <w:szCs w:val="24"/>
        </w:rPr>
        <w:t xml:space="preserve">Average maintenance costs </w:t>
      </w:r>
      <w:r w:rsidRPr="00E31804">
        <w:rPr>
          <w:rFonts w:eastAsia="Times New Roman" w:cstheme="minorHAnsi"/>
          <w:sz w:val="24"/>
          <w:szCs w:val="24"/>
        </w:rPr>
        <w:lastRenderedPageBreak/>
        <w:t xml:space="preserve">relating to existing tenancies varied from €256.40 in Carlow to €4,075.28 in Westmeath with a median of €758.29 so, for this indicator also, deviations from the median were quite significant.  Again, authorities, particularly those that are outliers, should review comparative costs of works needed to their housing stock to ensure that value for money is being achieved.  </w:t>
      </w:r>
    </w:p>
    <w:p w:rsidR="00BA21B1" w:rsidRPr="00E31804" w:rsidRDefault="00BA21B1" w:rsidP="00BA21B1">
      <w:pPr>
        <w:jc w:val="both"/>
        <w:rPr>
          <w:rFonts w:cstheme="minorHAnsi"/>
          <w:bCs/>
          <w:sz w:val="24"/>
          <w:szCs w:val="24"/>
        </w:rPr>
      </w:pPr>
      <w:r w:rsidRPr="00E31804">
        <w:rPr>
          <w:rFonts w:cstheme="minorHAnsi"/>
          <w:bCs/>
          <w:sz w:val="24"/>
          <w:szCs w:val="24"/>
        </w:rPr>
        <w:t>NOAC is currently carrying out a thematic study of the maintenance and management of local authority housing</w:t>
      </w:r>
      <w:r>
        <w:rPr>
          <w:rFonts w:cstheme="minorHAnsi"/>
          <w:bCs/>
          <w:sz w:val="24"/>
          <w:szCs w:val="24"/>
        </w:rPr>
        <w:t>;</w:t>
      </w:r>
      <w:r w:rsidRPr="00E31804">
        <w:rPr>
          <w:rFonts w:cstheme="minorHAnsi"/>
          <w:bCs/>
          <w:sz w:val="24"/>
          <w:szCs w:val="24"/>
        </w:rPr>
        <w:t xml:space="preserve"> the areas being examined include the level of vacancies, re-letting practices and maintenance expenditure.  The outcome of this study will enable NOAC to decide if these indicators should be retained as they are or if they require amendment to ensure that they are a more meaningful measurement </w:t>
      </w:r>
      <w:r>
        <w:rPr>
          <w:rFonts w:cstheme="minorHAnsi"/>
          <w:bCs/>
          <w:sz w:val="24"/>
          <w:szCs w:val="24"/>
        </w:rPr>
        <w:t xml:space="preserve">of performance </w:t>
      </w:r>
      <w:r w:rsidRPr="00E31804">
        <w:rPr>
          <w:rFonts w:cstheme="minorHAnsi"/>
          <w:bCs/>
          <w:sz w:val="24"/>
          <w:szCs w:val="24"/>
        </w:rPr>
        <w:t>in future years.</w:t>
      </w:r>
    </w:p>
    <w:p w:rsidR="00BA21B1" w:rsidRPr="00E31804" w:rsidRDefault="00BA21B1" w:rsidP="00BA21B1">
      <w:pPr>
        <w:jc w:val="both"/>
        <w:rPr>
          <w:rFonts w:cstheme="minorHAnsi"/>
          <w:bCs/>
          <w:sz w:val="24"/>
          <w:szCs w:val="24"/>
        </w:rPr>
      </w:pPr>
      <w:r w:rsidRPr="00E31804">
        <w:rPr>
          <w:rFonts w:cstheme="minorHAnsi"/>
          <w:bCs/>
          <w:sz w:val="24"/>
          <w:szCs w:val="24"/>
        </w:rPr>
        <w:t xml:space="preserve">The other housing study that NOAC is conducting at present relates to the local authority function of implementing the private rented sector regulations.  Table </w:t>
      </w:r>
      <w:r>
        <w:rPr>
          <w:rFonts w:cstheme="minorHAnsi"/>
          <w:bCs/>
          <w:sz w:val="24"/>
          <w:szCs w:val="24"/>
        </w:rPr>
        <w:t>4</w:t>
      </w:r>
      <w:r w:rsidRPr="00E31804">
        <w:rPr>
          <w:rFonts w:cstheme="minorHAnsi"/>
          <w:bCs/>
          <w:sz w:val="24"/>
          <w:szCs w:val="24"/>
        </w:rPr>
        <w:t xml:space="preserve"> shows that local authorities carried out a total of 18,553 inspections of private rented dwellings in 2014.  This compares with 21,218 inspections in 2013 and 19,921 in 2012.  Given the escalating number of households in the private rented sector, any reduction of activity in this area is an unwelcome development.  The number of inspections as a percentage of the tenancies registered with the Private Residential Tenancies Board was at least 30% in the case of Cavan, South Dublin and Roscommon County Councils and NOAC acknowledges the high level of performance by Cavan County Council who have maintained an inspection rate equating to more than 30% of tenancies every year since this indicator was introduced in respect of 2008 activity.  At the other end of the spectrum, inspections in Louth, consistent with its 2013 performance, amounted to less than 0.5% of registered tenancies.  </w:t>
      </w:r>
      <w:r>
        <w:rPr>
          <w:rFonts w:cstheme="minorHAnsi"/>
          <w:bCs/>
          <w:sz w:val="24"/>
          <w:szCs w:val="24"/>
        </w:rPr>
        <w:t>The level of inspections</w:t>
      </w:r>
      <w:r w:rsidRPr="00E31804">
        <w:rPr>
          <w:rFonts w:cstheme="minorHAnsi"/>
          <w:bCs/>
          <w:sz w:val="24"/>
          <w:szCs w:val="24"/>
        </w:rPr>
        <w:t xml:space="preserve"> by authorities in the urban areas accounting for the location of 56% of the tenancies was mixed, varying from South Dublin’s commendable inspection rate of 34% to 11.7% in Waterford city and county, 7.6% in Cork city, 4.6% in </w:t>
      </w:r>
      <w:proofErr w:type="spellStart"/>
      <w:r w:rsidRPr="00E31804">
        <w:rPr>
          <w:rFonts w:cstheme="minorHAnsi"/>
          <w:bCs/>
          <w:sz w:val="24"/>
          <w:szCs w:val="24"/>
        </w:rPr>
        <w:t>Dún</w:t>
      </w:r>
      <w:proofErr w:type="spellEnd"/>
      <w:r w:rsidRPr="00E31804">
        <w:rPr>
          <w:rFonts w:cstheme="minorHAnsi"/>
          <w:bCs/>
          <w:sz w:val="24"/>
          <w:szCs w:val="24"/>
        </w:rPr>
        <w:t xml:space="preserve"> Laoghaire-</w:t>
      </w:r>
      <w:proofErr w:type="spellStart"/>
      <w:r w:rsidRPr="00E31804">
        <w:rPr>
          <w:rFonts w:cstheme="minorHAnsi"/>
          <w:bCs/>
          <w:sz w:val="24"/>
          <w:szCs w:val="24"/>
        </w:rPr>
        <w:t>Rathdown</w:t>
      </w:r>
      <w:proofErr w:type="spellEnd"/>
      <w:r w:rsidRPr="00E31804">
        <w:rPr>
          <w:rFonts w:cstheme="minorHAnsi"/>
          <w:bCs/>
          <w:sz w:val="24"/>
          <w:szCs w:val="24"/>
        </w:rPr>
        <w:t xml:space="preserve">, 3.6% in Dublin city, 3.3% in Limerick city and county, 2% in </w:t>
      </w:r>
      <w:proofErr w:type="spellStart"/>
      <w:r w:rsidRPr="00E31804">
        <w:rPr>
          <w:rFonts w:cstheme="minorHAnsi"/>
          <w:bCs/>
          <w:sz w:val="24"/>
          <w:szCs w:val="24"/>
        </w:rPr>
        <w:t>Fingal</w:t>
      </w:r>
      <w:proofErr w:type="spellEnd"/>
      <w:r w:rsidRPr="00E31804">
        <w:rPr>
          <w:rFonts w:cstheme="minorHAnsi"/>
          <w:bCs/>
          <w:sz w:val="24"/>
          <w:szCs w:val="24"/>
        </w:rPr>
        <w:t xml:space="preserve"> and 1.1% in Galway city.  Performance in enforcing the private rented sector regulations will be considered further by NOAC in the study it is currently undertaking of this function.</w:t>
      </w:r>
    </w:p>
    <w:p w:rsidR="00BA21B1" w:rsidRDefault="00BA21B1" w:rsidP="00BA21B1">
      <w:pPr>
        <w:pStyle w:val="Default"/>
        <w:spacing w:line="276" w:lineRule="auto"/>
        <w:jc w:val="both"/>
        <w:rPr>
          <w:rFonts w:asciiTheme="minorHAnsi" w:hAnsiTheme="minorHAnsi" w:cstheme="minorHAnsi"/>
          <w:bCs/>
          <w:color w:val="auto"/>
        </w:rPr>
      </w:pPr>
      <w:r w:rsidRPr="00E31804">
        <w:rPr>
          <w:rFonts w:asciiTheme="minorHAnsi" w:hAnsiTheme="minorHAnsi" w:cstheme="minorHAnsi"/>
          <w:bCs/>
          <w:color w:val="auto"/>
        </w:rPr>
        <w:t>There were 2,649 homeless adult individuals in emergency accommodation at 31</w:t>
      </w:r>
      <w:r>
        <w:rPr>
          <w:rFonts w:asciiTheme="minorHAnsi" w:hAnsiTheme="minorHAnsi" w:cstheme="minorHAnsi"/>
          <w:bCs/>
          <w:color w:val="auto"/>
        </w:rPr>
        <w:t xml:space="preserve"> December </w:t>
      </w:r>
      <w:r w:rsidRPr="00E31804">
        <w:rPr>
          <w:rFonts w:asciiTheme="minorHAnsi" w:hAnsiTheme="minorHAnsi" w:cstheme="minorHAnsi"/>
          <w:bCs/>
          <w:color w:val="auto"/>
        </w:rPr>
        <w:t>2014, of which 64% were in the Dublin area</w:t>
      </w:r>
      <w:r>
        <w:rPr>
          <w:rFonts w:asciiTheme="minorHAnsi" w:hAnsiTheme="minorHAnsi" w:cstheme="minorHAnsi"/>
          <w:bCs/>
          <w:color w:val="auto"/>
        </w:rPr>
        <w:t xml:space="preserve"> (Table 4)</w:t>
      </w:r>
      <w:r w:rsidRPr="00E31804">
        <w:rPr>
          <w:rFonts w:asciiTheme="minorHAnsi" w:hAnsiTheme="minorHAnsi" w:cstheme="minorHAnsi"/>
          <w:bCs/>
          <w:color w:val="auto"/>
        </w:rPr>
        <w:t>.  Although there may be no direct relationship between local authority performance and the number of persons who were homeless at any particular date, the proportion of those homeless on the day of the count who have been in emergency accommodation for more than 6 months out of the previous 12 months is a reflection of the success of local authority actions to address homelessness.   The new homeless adults indicator shows that in the case of Dublin city (on behalf of the 4 Dublin authorities), Kildare, Sligo, Tipperary and Waterford Councils, more than half of the individuals in emergency accommodation at 31</w:t>
      </w:r>
      <w:r>
        <w:rPr>
          <w:rFonts w:asciiTheme="minorHAnsi" w:hAnsiTheme="minorHAnsi" w:cstheme="minorHAnsi"/>
          <w:bCs/>
          <w:color w:val="auto"/>
        </w:rPr>
        <w:t xml:space="preserve"> December </w:t>
      </w:r>
      <w:r w:rsidRPr="00E31804">
        <w:rPr>
          <w:rFonts w:asciiTheme="minorHAnsi" w:hAnsiTheme="minorHAnsi" w:cstheme="minorHAnsi"/>
          <w:bCs/>
          <w:color w:val="auto"/>
        </w:rPr>
        <w:t xml:space="preserve">2014 had spent more than 6 months in such accommodation.  </w:t>
      </w:r>
    </w:p>
    <w:p w:rsidR="00BA21B1" w:rsidRDefault="00BA21B1" w:rsidP="00BA21B1">
      <w:pPr>
        <w:pStyle w:val="Default"/>
        <w:spacing w:line="276" w:lineRule="auto"/>
        <w:jc w:val="both"/>
        <w:rPr>
          <w:rFonts w:asciiTheme="minorHAnsi" w:hAnsiTheme="minorHAnsi" w:cstheme="minorHAnsi"/>
          <w:bCs/>
          <w:color w:val="auto"/>
        </w:rPr>
      </w:pPr>
    </w:p>
    <w:p w:rsidR="00BA21B1" w:rsidRPr="00E31804" w:rsidRDefault="00BA21B1" w:rsidP="00BA21B1">
      <w:pPr>
        <w:pStyle w:val="Default"/>
        <w:spacing w:line="276" w:lineRule="auto"/>
        <w:jc w:val="both"/>
        <w:rPr>
          <w:rFonts w:asciiTheme="minorHAnsi" w:hAnsiTheme="minorHAnsi" w:cstheme="minorHAnsi"/>
          <w:color w:val="auto"/>
        </w:rPr>
      </w:pPr>
      <w:r w:rsidRPr="00E31804">
        <w:rPr>
          <w:rFonts w:asciiTheme="minorHAnsi" w:hAnsiTheme="minorHAnsi" w:cstheme="minorHAnsi"/>
          <w:bCs/>
          <w:color w:val="auto"/>
        </w:rPr>
        <w:lastRenderedPageBreak/>
        <w:t xml:space="preserve">The Implementation Plan on the State’s Response to Homelessness was in operation for more than half of that year and Action 20 of this instructed local authorities to </w:t>
      </w:r>
      <w:r w:rsidRPr="00E31804">
        <w:rPr>
          <w:rFonts w:asciiTheme="minorHAnsi" w:hAnsiTheme="minorHAnsi" w:cstheme="minorHAnsi"/>
          <w:color w:val="auto"/>
        </w:rPr>
        <w:t xml:space="preserve">operate their Allocation Schemes so as to ensure that homeless households (families and individuals) and other vulnerable groups are allocated housing in accordance with the appropriate priority.  Ministerial directions issued in August 2015 under the </w:t>
      </w:r>
      <w:r>
        <w:rPr>
          <w:rFonts w:asciiTheme="minorHAnsi" w:hAnsiTheme="minorHAnsi" w:cstheme="minorHAnsi"/>
          <w:color w:val="auto"/>
        </w:rPr>
        <w:t xml:space="preserve">Housing (Miscellaneous Provisions) Act </w:t>
      </w:r>
      <w:r w:rsidRPr="00E31804">
        <w:rPr>
          <w:rFonts w:asciiTheme="minorHAnsi" w:hAnsiTheme="minorHAnsi" w:cstheme="minorHAnsi"/>
          <w:color w:val="auto"/>
        </w:rPr>
        <w:t xml:space="preserve">2009 that make it mandatory for 50% of housing allocations by the Dublin authorities and 30% of allocations by the other urban authorities to be made to households that on 1 June 2015 were either </w:t>
      </w:r>
      <w:r>
        <w:rPr>
          <w:rFonts w:asciiTheme="minorHAnsi" w:hAnsiTheme="minorHAnsi" w:cstheme="minorHAnsi"/>
          <w:color w:val="auto"/>
        </w:rPr>
        <w:t xml:space="preserve">(a) </w:t>
      </w:r>
      <w:r w:rsidRPr="00E31804">
        <w:rPr>
          <w:rFonts w:asciiTheme="minorHAnsi" w:hAnsiTheme="minorHAnsi" w:cstheme="minorHAnsi"/>
          <w:color w:val="auto"/>
        </w:rPr>
        <w:t xml:space="preserve">in emergency accommodation, </w:t>
      </w:r>
      <w:r>
        <w:rPr>
          <w:rFonts w:asciiTheme="minorHAnsi" w:hAnsiTheme="minorHAnsi" w:cstheme="minorHAnsi"/>
          <w:color w:val="auto"/>
        </w:rPr>
        <w:t xml:space="preserve">(b) </w:t>
      </w:r>
      <w:r w:rsidRPr="00E31804">
        <w:rPr>
          <w:rFonts w:asciiTheme="minorHAnsi" w:hAnsiTheme="minorHAnsi" w:cstheme="minorHAnsi"/>
          <w:color w:val="auto"/>
        </w:rPr>
        <w:t xml:space="preserve">had an accommodation requirement arising from a disability or </w:t>
      </w:r>
      <w:r>
        <w:rPr>
          <w:rFonts w:asciiTheme="minorHAnsi" w:hAnsiTheme="minorHAnsi" w:cstheme="minorHAnsi"/>
          <w:color w:val="auto"/>
        </w:rPr>
        <w:t xml:space="preserve">(c) </w:t>
      </w:r>
      <w:r w:rsidRPr="00E31804">
        <w:rPr>
          <w:rFonts w:asciiTheme="minorHAnsi" w:hAnsiTheme="minorHAnsi" w:cstheme="minorHAnsi"/>
          <w:color w:val="auto"/>
        </w:rPr>
        <w:t>qualified on exceptional medical or compassionate grounds, should begin to impact positively on the second part of this indicator in 2015.</w:t>
      </w:r>
    </w:p>
    <w:p w:rsidR="00BA21B1" w:rsidRDefault="00BA21B1" w:rsidP="00BA21B1">
      <w:pPr>
        <w:spacing w:after="0"/>
        <w:ind w:left="720"/>
        <w:jc w:val="both"/>
        <w:rPr>
          <w:rFonts w:eastAsia="Times New Roman" w:cstheme="minorHAnsi"/>
          <w:b/>
          <w:sz w:val="24"/>
          <w:szCs w:val="24"/>
        </w:rPr>
      </w:pPr>
    </w:p>
    <w:p w:rsidR="00BA21B1" w:rsidRPr="00E31804" w:rsidRDefault="00BA21B1" w:rsidP="00BA21B1">
      <w:pPr>
        <w:spacing w:after="0"/>
        <w:jc w:val="both"/>
        <w:rPr>
          <w:rFonts w:eastAsia="Times New Roman" w:cstheme="minorHAnsi"/>
          <w:b/>
          <w:sz w:val="24"/>
          <w:szCs w:val="24"/>
        </w:rPr>
      </w:pPr>
      <w:r w:rsidRPr="00E31804">
        <w:rPr>
          <w:rFonts w:eastAsia="Times New Roman" w:cstheme="minorHAnsi"/>
          <w:b/>
          <w:sz w:val="24"/>
          <w:szCs w:val="24"/>
        </w:rPr>
        <w:t xml:space="preserve">Roads </w:t>
      </w:r>
    </w:p>
    <w:p w:rsidR="00BA21B1" w:rsidRPr="00E31804" w:rsidRDefault="00BA21B1" w:rsidP="00BA21B1">
      <w:pPr>
        <w:spacing w:after="0"/>
        <w:jc w:val="both"/>
        <w:rPr>
          <w:rFonts w:eastAsia="Times New Roman" w:cstheme="minorHAnsi"/>
          <w:sz w:val="24"/>
          <w:szCs w:val="24"/>
        </w:rPr>
      </w:pPr>
      <w:r w:rsidRPr="00E31804">
        <w:rPr>
          <w:rFonts w:eastAsia="Times New Roman" w:cstheme="minorHAnsi"/>
          <w:sz w:val="24"/>
          <w:szCs w:val="24"/>
        </w:rPr>
        <w:t>A new indicator has been introduced to provide information in relation to the quality of the non-national road network</w:t>
      </w:r>
      <w:r>
        <w:rPr>
          <w:rFonts w:eastAsia="Times New Roman" w:cstheme="minorHAnsi"/>
          <w:sz w:val="24"/>
          <w:szCs w:val="24"/>
        </w:rPr>
        <w:t xml:space="preserve"> at Tables 6 to 9</w:t>
      </w:r>
      <w:r w:rsidRPr="00E31804">
        <w:rPr>
          <w:rFonts w:eastAsia="Times New Roman" w:cstheme="minorHAnsi"/>
          <w:sz w:val="24"/>
          <w:szCs w:val="24"/>
        </w:rPr>
        <w:t>. The maintenance and improvement of roads is a key service provided by local authorities and impacts on the economic and social lives of the entire population.  While only 5 councils had fully surveyed all their roads by the end of 2014</w:t>
      </w:r>
      <w:r>
        <w:rPr>
          <w:rFonts w:eastAsia="Times New Roman" w:cstheme="minorHAnsi"/>
          <w:sz w:val="24"/>
          <w:szCs w:val="24"/>
        </w:rPr>
        <w:t xml:space="preserve"> (Table 5)</w:t>
      </w:r>
      <w:r w:rsidRPr="00E31804">
        <w:rPr>
          <w:rFonts w:eastAsia="Times New Roman" w:cstheme="minorHAnsi"/>
          <w:sz w:val="24"/>
          <w:szCs w:val="24"/>
        </w:rPr>
        <w:t xml:space="preserve">, the majority of councils had completed at least some of the necessary survey work for this indicator.  As the indicator is new, comparison with previous years is not possible.  However, some key messages emerge.  Looking at the median values, the survey results indicate that 5% of regional roads, which carry large traffic volumes, display structural distress and 19% have moderate to significant pavement defects.  The comparable figures for the local primary roads are 8% and 27%.  15% of local secondary roads display structural distress, with 35% displaying pavement defects.  The comparable figures for local tertiary roads are 28% and 27% respectively.  This data will be useful in future years when comparative figures are available to assess trends in road quality and </w:t>
      </w:r>
      <w:r>
        <w:rPr>
          <w:rFonts w:eastAsia="Times New Roman" w:cstheme="minorHAnsi"/>
          <w:sz w:val="24"/>
          <w:szCs w:val="24"/>
        </w:rPr>
        <w:t xml:space="preserve">permit the </w:t>
      </w:r>
      <w:r w:rsidRPr="00E31804">
        <w:rPr>
          <w:rFonts w:eastAsia="Times New Roman" w:cstheme="minorHAnsi"/>
          <w:sz w:val="24"/>
          <w:szCs w:val="24"/>
        </w:rPr>
        <w:t>target</w:t>
      </w:r>
      <w:r>
        <w:rPr>
          <w:rFonts w:eastAsia="Times New Roman" w:cstheme="minorHAnsi"/>
          <w:sz w:val="24"/>
          <w:szCs w:val="24"/>
        </w:rPr>
        <w:t>ing of</w:t>
      </w:r>
      <w:r w:rsidRPr="00E31804">
        <w:rPr>
          <w:rFonts w:eastAsia="Times New Roman" w:cstheme="minorHAnsi"/>
          <w:sz w:val="24"/>
          <w:szCs w:val="24"/>
        </w:rPr>
        <w:t xml:space="preserve"> resources to areas most in need. </w:t>
      </w:r>
    </w:p>
    <w:p w:rsidR="00BA21B1" w:rsidRDefault="00BA21B1" w:rsidP="00BA21B1">
      <w:pPr>
        <w:spacing w:after="0"/>
        <w:jc w:val="both"/>
        <w:rPr>
          <w:rFonts w:eastAsia="Times New Roman" w:cstheme="minorHAnsi"/>
          <w:b/>
          <w:sz w:val="24"/>
          <w:szCs w:val="24"/>
        </w:rPr>
      </w:pPr>
    </w:p>
    <w:p w:rsidR="00BA21B1" w:rsidRPr="00E31804" w:rsidRDefault="00BA21B1" w:rsidP="00BA21B1">
      <w:pPr>
        <w:spacing w:after="0"/>
        <w:jc w:val="both"/>
        <w:rPr>
          <w:rFonts w:eastAsia="Times New Roman" w:cstheme="minorHAnsi"/>
          <w:b/>
          <w:sz w:val="24"/>
          <w:szCs w:val="24"/>
        </w:rPr>
      </w:pPr>
      <w:r w:rsidRPr="00E31804">
        <w:rPr>
          <w:rFonts w:eastAsia="Times New Roman" w:cstheme="minorHAnsi"/>
          <w:b/>
          <w:sz w:val="24"/>
          <w:szCs w:val="24"/>
        </w:rPr>
        <w:t>Water Services</w:t>
      </w:r>
    </w:p>
    <w:p w:rsidR="00BA21B1" w:rsidRPr="00E31804" w:rsidRDefault="00BA21B1" w:rsidP="00BA21B1">
      <w:pPr>
        <w:spacing w:after="0"/>
        <w:jc w:val="both"/>
        <w:rPr>
          <w:rFonts w:cs="Calibri"/>
          <w:bCs/>
          <w:sz w:val="24"/>
          <w:szCs w:val="24"/>
        </w:rPr>
      </w:pPr>
      <w:r w:rsidRPr="00E31804">
        <w:rPr>
          <w:rFonts w:cs="Calibri"/>
          <w:bCs/>
          <w:sz w:val="24"/>
          <w:szCs w:val="24"/>
        </w:rPr>
        <w:t xml:space="preserve">The Unaccounted for Water </w:t>
      </w:r>
      <w:r>
        <w:rPr>
          <w:rFonts w:cs="Calibri"/>
          <w:bCs/>
          <w:sz w:val="24"/>
          <w:szCs w:val="24"/>
        </w:rPr>
        <w:t xml:space="preserve">(UFW) </w:t>
      </w:r>
      <w:r w:rsidRPr="00E31804">
        <w:rPr>
          <w:rFonts w:cs="Calibri"/>
          <w:bCs/>
          <w:sz w:val="24"/>
          <w:szCs w:val="24"/>
        </w:rPr>
        <w:t xml:space="preserve">figures published in Table </w:t>
      </w:r>
      <w:r>
        <w:rPr>
          <w:rFonts w:cs="Calibri"/>
          <w:bCs/>
          <w:sz w:val="24"/>
          <w:szCs w:val="24"/>
        </w:rPr>
        <w:t>11</w:t>
      </w:r>
      <w:r w:rsidRPr="00E31804">
        <w:rPr>
          <w:rFonts w:cs="Calibri"/>
          <w:bCs/>
          <w:sz w:val="24"/>
          <w:szCs w:val="24"/>
        </w:rPr>
        <w:t xml:space="preserve"> were supplied by Irish Water and were derived from data provided to it by local authorities </w:t>
      </w:r>
      <w:r w:rsidR="00ED32B0" w:rsidRPr="00E31804">
        <w:rPr>
          <w:rFonts w:cs="Calibri"/>
          <w:bCs/>
          <w:sz w:val="24"/>
          <w:szCs w:val="24"/>
        </w:rPr>
        <w:t xml:space="preserve">under a Service Level Agreement (SLA) </w:t>
      </w:r>
      <w:r w:rsidRPr="00E31804">
        <w:rPr>
          <w:rFonts w:cs="Calibri"/>
          <w:bCs/>
          <w:sz w:val="24"/>
          <w:szCs w:val="24"/>
        </w:rPr>
        <w:t xml:space="preserve">in </w:t>
      </w:r>
      <w:r>
        <w:rPr>
          <w:rFonts w:cs="Calibri"/>
          <w:bCs/>
          <w:sz w:val="24"/>
          <w:szCs w:val="24"/>
        </w:rPr>
        <w:t xml:space="preserve">respect of January – June </w:t>
      </w:r>
      <w:r w:rsidRPr="00E31804">
        <w:rPr>
          <w:rFonts w:cs="Calibri"/>
          <w:bCs/>
          <w:sz w:val="24"/>
          <w:szCs w:val="24"/>
        </w:rPr>
        <w:t xml:space="preserve">2015, as this was the most reliable data available.  The </w:t>
      </w:r>
      <w:r>
        <w:rPr>
          <w:rFonts w:cs="Calibri"/>
          <w:bCs/>
          <w:sz w:val="24"/>
          <w:szCs w:val="24"/>
        </w:rPr>
        <w:t xml:space="preserve">mean UFW </w:t>
      </w:r>
      <w:r w:rsidRPr="00E31804">
        <w:rPr>
          <w:rFonts w:cs="Calibri"/>
          <w:bCs/>
          <w:sz w:val="24"/>
          <w:szCs w:val="24"/>
        </w:rPr>
        <w:t>outcome for the country as a whole of 46.7% is an increase over the 2013 figure, which was 39</w:t>
      </w:r>
      <w:r>
        <w:rPr>
          <w:rFonts w:cs="Calibri"/>
          <w:bCs/>
          <w:sz w:val="24"/>
          <w:szCs w:val="24"/>
        </w:rPr>
        <w:t>.5</w:t>
      </w:r>
      <w:r w:rsidRPr="00E31804">
        <w:rPr>
          <w:rFonts w:cs="Calibri"/>
          <w:bCs/>
          <w:sz w:val="24"/>
          <w:szCs w:val="24"/>
        </w:rPr>
        <w:t xml:space="preserve">%.  The explanation for this variation is more likely to be the fact that up to now the calculation was based on a combination of metered commercial water usage and estimated domestic consumption (as residential usage was not metered hitherto), than that the level of leakage has increased between 2013 and 2015.  The </w:t>
      </w:r>
      <w:r>
        <w:rPr>
          <w:rFonts w:cs="Calibri"/>
          <w:bCs/>
          <w:sz w:val="24"/>
          <w:szCs w:val="24"/>
        </w:rPr>
        <w:t xml:space="preserve">UFW </w:t>
      </w:r>
      <w:r w:rsidRPr="00E31804">
        <w:rPr>
          <w:rFonts w:cs="Calibri"/>
          <w:bCs/>
          <w:sz w:val="24"/>
          <w:szCs w:val="24"/>
        </w:rPr>
        <w:t xml:space="preserve">level varied considerably between local authorities </w:t>
      </w:r>
      <w:r>
        <w:rPr>
          <w:rFonts w:cs="Calibri"/>
          <w:bCs/>
          <w:sz w:val="24"/>
          <w:szCs w:val="24"/>
        </w:rPr>
        <w:t xml:space="preserve">– </w:t>
      </w:r>
      <w:r w:rsidRPr="00E31804">
        <w:rPr>
          <w:rFonts w:cs="Calibri"/>
          <w:bCs/>
          <w:sz w:val="24"/>
          <w:szCs w:val="24"/>
        </w:rPr>
        <w:t xml:space="preserve">from 68% in Roscommon to 32% in Monaghan.  The only other authorities with </w:t>
      </w:r>
      <w:r>
        <w:rPr>
          <w:rFonts w:cs="Calibri"/>
          <w:bCs/>
          <w:sz w:val="24"/>
          <w:szCs w:val="24"/>
        </w:rPr>
        <w:t>UFW</w:t>
      </w:r>
      <w:r w:rsidRPr="00E31804">
        <w:rPr>
          <w:rFonts w:cs="Calibri"/>
          <w:bCs/>
          <w:sz w:val="24"/>
          <w:szCs w:val="24"/>
        </w:rPr>
        <w:t xml:space="preserve"> rates of less than 40% were Cavan (33%), Clare (37%), Kildare (35%), Laois (36%), South Dublin (34%) and Wicklow (37%).  The figure for Roscommon is somewhat of an outlier with the next highest rate being 58% in </w:t>
      </w:r>
      <w:proofErr w:type="spellStart"/>
      <w:r w:rsidRPr="00E31804">
        <w:rPr>
          <w:rFonts w:cs="Calibri"/>
          <w:bCs/>
          <w:sz w:val="24"/>
          <w:szCs w:val="24"/>
        </w:rPr>
        <w:t>Mayo</w:t>
      </w:r>
      <w:proofErr w:type="spellEnd"/>
      <w:r w:rsidRPr="00E31804">
        <w:rPr>
          <w:rFonts w:cs="Calibri"/>
          <w:bCs/>
          <w:sz w:val="24"/>
          <w:szCs w:val="24"/>
        </w:rPr>
        <w:t xml:space="preserve">.  </w:t>
      </w:r>
    </w:p>
    <w:p w:rsidR="007F4808" w:rsidRDefault="007F4808" w:rsidP="00BA21B1">
      <w:pPr>
        <w:spacing w:after="0"/>
        <w:jc w:val="both"/>
        <w:rPr>
          <w:rFonts w:cs="Calibri"/>
          <w:bCs/>
          <w:sz w:val="24"/>
          <w:szCs w:val="24"/>
        </w:rPr>
        <w:sectPr w:rsidR="007F4808" w:rsidSect="00BA21B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pPr>
    </w:p>
    <w:p w:rsidR="00BA21B1" w:rsidRPr="00E31804" w:rsidRDefault="00BA21B1" w:rsidP="00BA21B1">
      <w:pPr>
        <w:spacing w:after="0"/>
        <w:jc w:val="both"/>
        <w:rPr>
          <w:rFonts w:cs="Calibri"/>
          <w:bCs/>
          <w:sz w:val="24"/>
          <w:szCs w:val="24"/>
        </w:rPr>
      </w:pPr>
      <w:r w:rsidRPr="00E31804">
        <w:rPr>
          <w:rFonts w:cs="Calibri"/>
          <w:bCs/>
          <w:sz w:val="24"/>
          <w:szCs w:val="24"/>
        </w:rPr>
        <w:lastRenderedPageBreak/>
        <w:t>The Drinking Water quality data supplied by the Environmental Protection Agency relates to 2013.  The me</w:t>
      </w:r>
      <w:r>
        <w:rPr>
          <w:rFonts w:cs="Calibri"/>
          <w:bCs/>
          <w:sz w:val="24"/>
          <w:szCs w:val="24"/>
        </w:rPr>
        <w:t xml:space="preserve">dian </w:t>
      </w:r>
      <w:r w:rsidRPr="00E31804">
        <w:rPr>
          <w:rFonts w:cs="Calibri"/>
          <w:bCs/>
          <w:sz w:val="24"/>
          <w:szCs w:val="24"/>
        </w:rPr>
        <w:t>compliance rate for both microbiol</w:t>
      </w:r>
      <w:r>
        <w:rPr>
          <w:rFonts w:cs="Calibri"/>
          <w:bCs/>
          <w:sz w:val="24"/>
          <w:szCs w:val="24"/>
        </w:rPr>
        <w:t>ogical and chemical analysis of</w:t>
      </w:r>
      <w:r w:rsidRPr="00E31804">
        <w:rPr>
          <w:rFonts w:cs="Calibri"/>
          <w:bCs/>
          <w:sz w:val="24"/>
          <w:szCs w:val="24"/>
        </w:rPr>
        <w:t xml:space="preserve"> public water supplies provided under a</w:t>
      </w:r>
      <w:r w:rsidR="00ED32B0">
        <w:rPr>
          <w:rFonts w:cs="Calibri"/>
          <w:bCs/>
          <w:sz w:val="24"/>
          <w:szCs w:val="24"/>
        </w:rPr>
        <w:t xml:space="preserve">n </w:t>
      </w:r>
      <w:r w:rsidRPr="00E31804">
        <w:rPr>
          <w:rFonts w:cs="Calibri"/>
          <w:bCs/>
          <w:sz w:val="24"/>
          <w:szCs w:val="24"/>
        </w:rPr>
        <w:t xml:space="preserve">SLA </w:t>
      </w:r>
      <w:r>
        <w:rPr>
          <w:rFonts w:cs="Calibri"/>
          <w:bCs/>
          <w:sz w:val="24"/>
          <w:szCs w:val="24"/>
        </w:rPr>
        <w:t xml:space="preserve">with Irish Water </w:t>
      </w:r>
      <w:r w:rsidRPr="00E31804">
        <w:rPr>
          <w:rFonts w:cs="Calibri"/>
          <w:bCs/>
          <w:sz w:val="24"/>
          <w:szCs w:val="24"/>
        </w:rPr>
        <w:t xml:space="preserve">is </w:t>
      </w:r>
      <w:r>
        <w:rPr>
          <w:rFonts w:cs="Calibri"/>
          <w:bCs/>
          <w:sz w:val="24"/>
          <w:szCs w:val="24"/>
        </w:rPr>
        <w:t xml:space="preserve">99.4%. </w:t>
      </w:r>
      <w:r w:rsidRPr="00E31804">
        <w:rPr>
          <w:rFonts w:cs="Calibri"/>
          <w:bCs/>
          <w:sz w:val="24"/>
          <w:szCs w:val="24"/>
        </w:rPr>
        <w:t>Three local authorities achieved perfect 100% scores – Galway City and Longford and Louth County Councils.  The median compliance rate for private water supplies was 97.9%.  The drinking water quality compliance indicator</w:t>
      </w:r>
      <w:r>
        <w:rPr>
          <w:rFonts w:cs="Calibri"/>
          <w:bCs/>
          <w:sz w:val="24"/>
          <w:szCs w:val="24"/>
        </w:rPr>
        <w:t xml:space="preserve"> data </w:t>
      </w:r>
      <w:r w:rsidRPr="00E31804">
        <w:rPr>
          <w:rFonts w:cs="Calibri"/>
          <w:bCs/>
          <w:sz w:val="24"/>
          <w:szCs w:val="24"/>
        </w:rPr>
        <w:t>w</w:t>
      </w:r>
      <w:r>
        <w:rPr>
          <w:rFonts w:cs="Calibri"/>
          <w:bCs/>
          <w:sz w:val="24"/>
          <w:szCs w:val="24"/>
        </w:rPr>
        <w:t xml:space="preserve">as </w:t>
      </w:r>
      <w:r w:rsidRPr="00E31804">
        <w:rPr>
          <w:rFonts w:cs="Calibri"/>
          <w:bCs/>
          <w:sz w:val="24"/>
          <w:szCs w:val="24"/>
        </w:rPr>
        <w:t>n</w:t>
      </w:r>
      <w:r>
        <w:rPr>
          <w:rFonts w:cs="Calibri"/>
          <w:bCs/>
          <w:sz w:val="24"/>
          <w:szCs w:val="24"/>
        </w:rPr>
        <w:t>o</w:t>
      </w:r>
      <w:r w:rsidRPr="00E31804">
        <w:rPr>
          <w:rFonts w:cs="Calibri"/>
          <w:bCs/>
          <w:sz w:val="24"/>
          <w:szCs w:val="24"/>
        </w:rPr>
        <w:t xml:space="preserve">t included in </w:t>
      </w:r>
      <w:r>
        <w:rPr>
          <w:rFonts w:cs="Calibri"/>
          <w:bCs/>
          <w:sz w:val="24"/>
          <w:szCs w:val="24"/>
        </w:rPr>
        <w:t xml:space="preserve">recent </w:t>
      </w:r>
      <w:r w:rsidRPr="00E31804">
        <w:rPr>
          <w:rFonts w:cs="Calibri"/>
          <w:bCs/>
          <w:sz w:val="24"/>
          <w:szCs w:val="24"/>
        </w:rPr>
        <w:t>Service Indicator Reports.</w:t>
      </w:r>
    </w:p>
    <w:p w:rsidR="00BA21B1" w:rsidRDefault="00BA21B1" w:rsidP="00BA21B1">
      <w:pPr>
        <w:spacing w:after="0"/>
        <w:jc w:val="both"/>
        <w:rPr>
          <w:rFonts w:eastAsia="Times New Roman" w:cstheme="minorHAnsi"/>
          <w:b/>
          <w:sz w:val="24"/>
          <w:szCs w:val="24"/>
        </w:rPr>
      </w:pPr>
    </w:p>
    <w:p w:rsidR="00BA21B1" w:rsidRPr="00E31804" w:rsidRDefault="00BA21B1" w:rsidP="00BA21B1">
      <w:pPr>
        <w:spacing w:after="0"/>
        <w:jc w:val="both"/>
        <w:rPr>
          <w:rFonts w:eastAsia="Times New Roman" w:cstheme="minorHAnsi"/>
          <w:b/>
          <w:sz w:val="24"/>
          <w:szCs w:val="24"/>
        </w:rPr>
      </w:pPr>
      <w:r w:rsidRPr="00E31804">
        <w:rPr>
          <w:rFonts w:eastAsia="Times New Roman" w:cstheme="minorHAnsi"/>
          <w:b/>
          <w:sz w:val="24"/>
          <w:szCs w:val="24"/>
        </w:rPr>
        <w:t xml:space="preserve">Waste </w:t>
      </w:r>
      <w:r>
        <w:rPr>
          <w:rFonts w:eastAsia="Times New Roman" w:cstheme="minorHAnsi"/>
          <w:b/>
          <w:sz w:val="24"/>
          <w:szCs w:val="24"/>
        </w:rPr>
        <w:t>Service</w:t>
      </w:r>
    </w:p>
    <w:p w:rsidR="00BA21B1" w:rsidRDefault="00BA21B1" w:rsidP="00BA21B1">
      <w:pPr>
        <w:spacing w:after="0"/>
        <w:jc w:val="both"/>
      </w:pPr>
      <w:r w:rsidRPr="00E31804">
        <w:rPr>
          <w:rFonts w:eastAsia="Times New Roman" w:cstheme="minorHAnsi"/>
          <w:sz w:val="24"/>
          <w:szCs w:val="24"/>
        </w:rPr>
        <w:t xml:space="preserve">The </w:t>
      </w:r>
      <w:r>
        <w:rPr>
          <w:rFonts w:eastAsia="Times New Roman" w:cstheme="minorHAnsi"/>
          <w:sz w:val="24"/>
          <w:szCs w:val="24"/>
        </w:rPr>
        <w:t xml:space="preserve">July 2014 </w:t>
      </w:r>
      <w:r w:rsidRPr="00E31804">
        <w:rPr>
          <w:rFonts w:eastAsia="Times New Roman" w:cstheme="minorHAnsi"/>
          <w:sz w:val="24"/>
          <w:szCs w:val="24"/>
        </w:rPr>
        <w:t xml:space="preserve">national target for household access to a 3 bin refuse collection service </w:t>
      </w:r>
      <w:r>
        <w:rPr>
          <w:rFonts w:eastAsia="Times New Roman" w:cstheme="minorHAnsi"/>
          <w:sz w:val="24"/>
          <w:szCs w:val="24"/>
        </w:rPr>
        <w:t>wa</w:t>
      </w:r>
      <w:r w:rsidRPr="00E31804">
        <w:rPr>
          <w:rFonts w:eastAsia="Times New Roman" w:cstheme="minorHAnsi"/>
          <w:sz w:val="24"/>
          <w:szCs w:val="24"/>
        </w:rPr>
        <w:t xml:space="preserve">s 50%. </w:t>
      </w:r>
      <w:r>
        <w:rPr>
          <w:rFonts w:eastAsia="Times New Roman" w:cstheme="minorHAnsi"/>
          <w:sz w:val="24"/>
          <w:szCs w:val="24"/>
        </w:rPr>
        <w:t xml:space="preserve"> Table 12</w:t>
      </w:r>
      <w:r w:rsidRPr="00E31804">
        <w:rPr>
          <w:rFonts w:eastAsia="Times New Roman" w:cstheme="minorHAnsi"/>
          <w:sz w:val="24"/>
          <w:szCs w:val="24"/>
        </w:rPr>
        <w:t xml:space="preserve"> suggest</w:t>
      </w:r>
      <w:r>
        <w:rPr>
          <w:rFonts w:eastAsia="Times New Roman" w:cstheme="minorHAnsi"/>
          <w:sz w:val="24"/>
          <w:szCs w:val="24"/>
        </w:rPr>
        <w:t>s</w:t>
      </w:r>
      <w:r w:rsidRPr="00E31804">
        <w:rPr>
          <w:rFonts w:eastAsia="Times New Roman" w:cstheme="minorHAnsi"/>
          <w:sz w:val="24"/>
          <w:szCs w:val="24"/>
        </w:rPr>
        <w:t xml:space="preserve"> that this target is being exceeded in the majority of large urban centres, with the highest penetration in the </w:t>
      </w:r>
      <w:proofErr w:type="spellStart"/>
      <w:r w:rsidRPr="00E31804">
        <w:rPr>
          <w:rFonts w:eastAsia="Times New Roman" w:cstheme="minorHAnsi"/>
          <w:sz w:val="24"/>
          <w:szCs w:val="24"/>
        </w:rPr>
        <w:t>Fingal</w:t>
      </w:r>
      <w:proofErr w:type="spellEnd"/>
      <w:r w:rsidRPr="00E31804">
        <w:rPr>
          <w:rFonts w:eastAsia="Times New Roman" w:cstheme="minorHAnsi"/>
          <w:sz w:val="24"/>
          <w:szCs w:val="24"/>
        </w:rPr>
        <w:t xml:space="preserve"> area</w:t>
      </w:r>
      <w:r>
        <w:rPr>
          <w:rFonts w:eastAsia="Times New Roman" w:cstheme="minorHAnsi"/>
          <w:sz w:val="24"/>
          <w:szCs w:val="24"/>
        </w:rPr>
        <w:t xml:space="preserve"> at 77.87%</w:t>
      </w:r>
      <w:r w:rsidRPr="00E31804">
        <w:rPr>
          <w:rFonts w:eastAsia="Times New Roman" w:cstheme="minorHAnsi"/>
          <w:sz w:val="24"/>
          <w:szCs w:val="24"/>
        </w:rPr>
        <w:t xml:space="preserve">. </w:t>
      </w:r>
      <w:r>
        <w:rPr>
          <w:rFonts w:eastAsia="Times New Roman" w:cstheme="minorHAnsi"/>
          <w:sz w:val="24"/>
          <w:szCs w:val="24"/>
        </w:rPr>
        <w:t xml:space="preserve">The lowest level of penetration is Donegal at just 0.1% or 60 households and the median value is 22.09%.  </w:t>
      </w:r>
      <w:r w:rsidRPr="0061325D">
        <w:rPr>
          <w:rFonts w:eastAsia="Times New Roman" w:cstheme="minorHAnsi"/>
          <w:sz w:val="24"/>
          <w:szCs w:val="24"/>
        </w:rPr>
        <w:t>The indicators suggest that the achievement of this target is more pro</w:t>
      </w:r>
      <w:r w:rsidRPr="00E31804">
        <w:rPr>
          <w:rFonts w:eastAsia="Times New Roman" w:cstheme="minorHAnsi"/>
          <w:sz w:val="24"/>
          <w:szCs w:val="24"/>
        </w:rPr>
        <w:t>blematic in rural counties with poor outcomes of less than 10% in a number of c</w:t>
      </w:r>
      <w:r>
        <w:rPr>
          <w:rFonts w:eastAsia="Times New Roman" w:cstheme="minorHAnsi"/>
          <w:sz w:val="24"/>
          <w:szCs w:val="24"/>
        </w:rPr>
        <w:t>ases</w:t>
      </w:r>
      <w:r w:rsidRPr="00E31804">
        <w:rPr>
          <w:rFonts w:eastAsia="Times New Roman" w:cstheme="minorHAnsi"/>
          <w:sz w:val="24"/>
          <w:szCs w:val="24"/>
        </w:rPr>
        <w:t>.</w:t>
      </w:r>
      <w:r>
        <w:rPr>
          <w:rFonts w:eastAsia="Times New Roman" w:cstheme="minorHAnsi"/>
          <w:sz w:val="24"/>
          <w:szCs w:val="24"/>
        </w:rPr>
        <w:t xml:space="preserve">  The data was obtained by the National Waste Collection Permit Office from the waste collectors.  </w:t>
      </w:r>
      <w:r w:rsidRPr="00661034">
        <w:rPr>
          <w:rFonts w:eastAsia="Times New Roman" w:cstheme="minorHAnsi"/>
          <w:sz w:val="24"/>
          <w:szCs w:val="24"/>
        </w:rPr>
        <w:t xml:space="preserve">However, comparison of the total number of households with access to a 3-bin service of 522,141 with the 2013 Service Indicators report percentage of households receiving a waste collection service being provided with segregated collection for organics, which totalled 580,655 households, indicates some doubt over the </w:t>
      </w:r>
      <w:r>
        <w:rPr>
          <w:rFonts w:eastAsia="Times New Roman" w:cstheme="minorHAnsi"/>
          <w:sz w:val="24"/>
          <w:szCs w:val="24"/>
        </w:rPr>
        <w:t xml:space="preserve">reliability of </w:t>
      </w:r>
      <w:r w:rsidRPr="00661034">
        <w:rPr>
          <w:rFonts w:eastAsia="Times New Roman" w:cstheme="minorHAnsi"/>
          <w:sz w:val="24"/>
          <w:szCs w:val="24"/>
        </w:rPr>
        <w:t>data supplied in one or both years.</w:t>
      </w:r>
      <w:r>
        <w:rPr>
          <w:rFonts w:eastAsia="Times New Roman" w:cstheme="minorHAnsi"/>
          <w:sz w:val="24"/>
          <w:szCs w:val="24"/>
        </w:rPr>
        <w:t xml:space="preserve">  </w:t>
      </w:r>
    </w:p>
    <w:p w:rsidR="00BA21B1" w:rsidRDefault="00BA21B1" w:rsidP="00BA21B1">
      <w:pPr>
        <w:spacing w:after="0"/>
        <w:jc w:val="both"/>
        <w:rPr>
          <w:rFonts w:eastAsia="Times New Roman" w:cstheme="minorHAnsi"/>
          <w:b/>
          <w:sz w:val="24"/>
          <w:szCs w:val="24"/>
        </w:rPr>
      </w:pPr>
    </w:p>
    <w:p w:rsidR="00BA21B1" w:rsidRDefault="00BA21B1" w:rsidP="00BA21B1">
      <w:pPr>
        <w:spacing w:after="0"/>
        <w:jc w:val="both"/>
        <w:rPr>
          <w:rFonts w:eastAsia="Times New Roman" w:cstheme="minorHAnsi"/>
          <w:b/>
          <w:sz w:val="24"/>
          <w:szCs w:val="24"/>
        </w:rPr>
      </w:pPr>
      <w:r>
        <w:rPr>
          <w:rFonts w:eastAsia="Times New Roman" w:cstheme="minorHAnsi"/>
          <w:b/>
          <w:sz w:val="24"/>
          <w:szCs w:val="24"/>
        </w:rPr>
        <w:t>Planning Service</w:t>
      </w:r>
    </w:p>
    <w:p w:rsidR="00BA21B1" w:rsidRPr="007F4808" w:rsidRDefault="00BA21B1" w:rsidP="00BA21B1">
      <w:pPr>
        <w:autoSpaceDE w:val="0"/>
        <w:autoSpaceDN w:val="0"/>
        <w:adjustRightInd w:val="0"/>
        <w:spacing w:after="0"/>
        <w:jc w:val="both"/>
        <w:rPr>
          <w:rFonts w:cstheme="minorHAnsi"/>
          <w:bCs/>
          <w:sz w:val="24"/>
          <w:szCs w:val="24"/>
        </w:rPr>
      </w:pPr>
      <w:r w:rsidRPr="00225C77">
        <w:rPr>
          <w:rFonts w:cs="Calibri"/>
          <w:bCs/>
          <w:sz w:val="24"/>
          <w:szCs w:val="24"/>
        </w:rPr>
        <w:t xml:space="preserve">It is disappointing to note </w:t>
      </w:r>
      <w:r>
        <w:rPr>
          <w:rFonts w:cs="Calibri"/>
          <w:bCs/>
          <w:sz w:val="24"/>
          <w:szCs w:val="24"/>
        </w:rPr>
        <w:t xml:space="preserve">from Table 15 </w:t>
      </w:r>
      <w:r w:rsidRPr="00225C77">
        <w:rPr>
          <w:rFonts w:cs="Calibri"/>
          <w:bCs/>
          <w:sz w:val="24"/>
          <w:szCs w:val="24"/>
        </w:rPr>
        <w:t xml:space="preserve">that the buildings inspected as a percentage of new buildings whose commencement was notified to the authorities in 2014 was a reduction on the percentage inspected in 2013 in the case of the majority of authorities.  The exceptions to this were </w:t>
      </w:r>
      <w:r>
        <w:rPr>
          <w:rFonts w:cs="Calibri"/>
          <w:bCs/>
          <w:sz w:val="24"/>
          <w:szCs w:val="24"/>
        </w:rPr>
        <w:t xml:space="preserve">Kerry, </w:t>
      </w:r>
      <w:r w:rsidRPr="00225C77">
        <w:rPr>
          <w:rFonts w:cs="Calibri"/>
          <w:bCs/>
          <w:sz w:val="24"/>
          <w:szCs w:val="24"/>
        </w:rPr>
        <w:t xml:space="preserve">Kilkenny, Leitrim, Mayo, Monaghan, Carlow, Longford, Meath, </w:t>
      </w:r>
      <w:r>
        <w:rPr>
          <w:rFonts w:cs="Calibri"/>
          <w:bCs/>
          <w:sz w:val="24"/>
          <w:szCs w:val="24"/>
        </w:rPr>
        <w:t xml:space="preserve">Roscommon, </w:t>
      </w:r>
      <w:r w:rsidRPr="00225C77">
        <w:rPr>
          <w:rFonts w:cs="Calibri"/>
          <w:bCs/>
          <w:sz w:val="24"/>
          <w:szCs w:val="24"/>
        </w:rPr>
        <w:t xml:space="preserve">Sligo and Waterford and, in the case of the latter </w:t>
      </w:r>
      <w:r>
        <w:rPr>
          <w:rFonts w:cs="Calibri"/>
          <w:bCs/>
          <w:sz w:val="24"/>
          <w:szCs w:val="24"/>
        </w:rPr>
        <w:t>6</w:t>
      </w:r>
      <w:r w:rsidRPr="00225C77">
        <w:rPr>
          <w:rFonts w:cs="Calibri"/>
          <w:bCs/>
          <w:sz w:val="24"/>
          <w:szCs w:val="24"/>
        </w:rPr>
        <w:t xml:space="preserve"> authorities, the </w:t>
      </w:r>
      <w:r w:rsidR="00DD3BE7">
        <w:rPr>
          <w:rFonts w:cs="Calibri"/>
          <w:bCs/>
          <w:sz w:val="24"/>
          <w:szCs w:val="24"/>
        </w:rPr>
        <w:t>percentage</w:t>
      </w:r>
      <w:r w:rsidRPr="00225C77">
        <w:rPr>
          <w:rFonts w:cs="Calibri"/>
          <w:bCs/>
          <w:sz w:val="24"/>
          <w:szCs w:val="24"/>
        </w:rPr>
        <w:t xml:space="preserve"> improvement was between 35% and 8</w:t>
      </w:r>
      <w:r>
        <w:rPr>
          <w:rFonts w:cs="Calibri"/>
          <w:bCs/>
          <w:sz w:val="24"/>
          <w:szCs w:val="24"/>
        </w:rPr>
        <w:t>6</w:t>
      </w:r>
      <w:r w:rsidRPr="00225C77">
        <w:rPr>
          <w:rFonts w:cs="Calibri"/>
          <w:bCs/>
          <w:sz w:val="24"/>
          <w:szCs w:val="24"/>
        </w:rPr>
        <w:t xml:space="preserve">%.  The proportion of buildings inspected ranged </w:t>
      </w:r>
      <w:r w:rsidRPr="000D542B">
        <w:rPr>
          <w:rFonts w:cstheme="minorHAnsi"/>
          <w:bCs/>
          <w:sz w:val="24"/>
          <w:szCs w:val="24"/>
        </w:rPr>
        <w:t xml:space="preserve">from </w:t>
      </w:r>
      <w:r w:rsidRPr="00E76D82">
        <w:rPr>
          <w:rFonts w:cstheme="minorHAnsi"/>
          <w:bCs/>
          <w:sz w:val="24"/>
          <w:szCs w:val="24"/>
        </w:rPr>
        <w:t xml:space="preserve">11.02% in </w:t>
      </w:r>
      <w:proofErr w:type="spellStart"/>
      <w:r w:rsidRPr="00E76D82">
        <w:rPr>
          <w:rFonts w:cstheme="minorHAnsi"/>
          <w:bCs/>
          <w:sz w:val="24"/>
          <w:szCs w:val="24"/>
        </w:rPr>
        <w:t>Fingal</w:t>
      </w:r>
      <w:proofErr w:type="spellEnd"/>
      <w:r w:rsidRPr="00E76D82">
        <w:rPr>
          <w:rFonts w:cstheme="minorHAnsi"/>
          <w:bCs/>
          <w:sz w:val="24"/>
          <w:szCs w:val="24"/>
        </w:rPr>
        <w:t xml:space="preserve"> to 58.93% in Carlow and the median rate was 17.71%.  However, on a more positive note, only 3 authorities</w:t>
      </w:r>
      <w:r w:rsidRPr="000D542B">
        <w:rPr>
          <w:rFonts w:cstheme="minorHAnsi"/>
          <w:bCs/>
          <w:sz w:val="24"/>
          <w:szCs w:val="24"/>
        </w:rPr>
        <w:t xml:space="preserve"> (</w:t>
      </w:r>
      <w:proofErr w:type="spellStart"/>
      <w:r w:rsidRPr="000D542B">
        <w:rPr>
          <w:rFonts w:cstheme="minorHAnsi"/>
          <w:bCs/>
          <w:sz w:val="24"/>
          <w:szCs w:val="24"/>
        </w:rPr>
        <w:t>Fingal</w:t>
      </w:r>
      <w:proofErr w:type="spellEnd"/>
      <w:r w:rsidRPr="000D542B">
        <w:rPr>
          <w:rFonts w:cstheme="minorHAnsi"/>
          <w:bCs/>
          <w:sz w:val="24"/>
          <w:szCs w:val="24"/>
        </w:rPr>
        <w:t xml:space="preserve">, South Dublin and Tipperary) had an inspection rate lower than the minimum 12% to 15% requirement specified in the </w:t>
      </w:r>
      <w:r>
        <w:rPr>
          <w:rFonts w:cstheme="minorHAnsi"/>
          <w:bCs/>
          <w:sz w:val="24"/>
          <w:szCs w:val="24"/>
        </w:rPr>
        <w:t>February 2014</w:t>
      </w:r>
      <w:r w:rsidR="007F4808">
        <w:rPr>
          <w:rFonts w:cstheme="minorHAnsi"/>
          <w:bCs/>
          <w:sz w:val="24"/>
          <w:szCs w:val="24"/>
        </w:rPr>
        <w:t xml:space="preserve"> Code of Practice for Inspecting and Certifying Buildings and Works.</w:t>
      </w:r>
      <w:r>
        <w:rPr>
          <w:rFonts w:cstheme="minorHAnsi"/>
          <w:bCs/>
          <w:sz w:val="24"/>
          <w:szCs w:val="24"/>
        </w:rPr>
        <w:t xml:space="preserve"> </w:t>
      </w:r>
      <w:r w:rsidRPr="00D31D88">
        <w:rPr>
          <w:rFonts w:cstheme="minorHAnsi"/>
          <w:bCs/>
          <w:color w:val="FFFFFF"/>
          <w:sz w:val="24"/>
          <w:szCs w:val="24"/>
        </w:rPr>
        <w:t xml:space="preserve"> of Practice</w:t>
      </w:r>
      <w:r>
        <w:rPr>
          <w:rFonts w:cstheme="minorHAnsi"/>
          <w:bCs/>
          <w:color w:val="FFFFFF"/>
          <w:sz w:val="24"/>
          <w:szCs w:val="24"/>
        </w:rPr>
        <w:t xml:space="preserve"> f</w:t>
      </w:r>
      <w:r w:rsidRPr="00D31D88">
        <w:rPr>
          <w:rFonts w:cstheme="minorHAnsi"/>
          <w:bCs/>
          <w:color w:val="FFFFFF"/>
          <w:sz w:val="24"/>
          <w:szCs w:val="24"/>
        </w:rPr>
        <w:t>or</w:t>
      </w:r>
      <w:r>
        <w:rPr>
          <w:rFonts w:cstheme="minorHAnsi"/>
          <w:bCs/>
          <w:color w:val="FFFFFF"/>
          <w:sz w:val="24"/>
          <w:szCs w:val="24"/>
        </w:rPr>
        <w:t xml:space="preserve"> </w:t>
      </w:r>
      <w:r w:rsidRPr="00D31D88">
        <w:rPr>
          <w:rFonts w:cstheme="minorHAnsi"/>
          <w:bCs/>
          <w:color w:val="FFFFFF"/>
          <w:sz w:val="24"/>
          <w:szCs w:val="24"/>
        </w:rPr>
        <w:t>Inspecting and Certifying</w:t>
      </w:r>
      <w:r>
        <w:rPr>
          <w:rFonts w:cstheme="minorHAnsi"/>
          <w:bCs/>
          <w:color w:val="FFFFFF"/>
          <w:sz w:val="24"/>
          <w:szCs w:val="24"/>
        </w:rPr>
        <w:t xml:space="preserve"> </w:t>
      </w:r>
      <w:r w:rsidRPr="00D31D88">
        <w:rPr>
          <w:rFonts w:cstheme="minorHAnsi"/>
          <w:bCs/>
          <w:color w:val="FFFFFF"/>
          <w:sz w:val="24"/>
          <w:szCs w:val="24"/>
        </w:rPr>
        <w:t>Buildings and Works</w:t>
      </w:r>
      <w:r>
        <w:rPr>
          <w:rFonts w:cstheme="minorHAnsi"/>
          <w:bCs/>
          <w:color w:val="FFFFFF"/>
          <w:sz w:val="24"/>
          <w:szCs w:val="24"/>
        </w:rPr>
        <w:t xml:space="preserve">.  </w:t>
      </w:r>
    </w:p>
    <w:p w:rsidR="00BA21B1" w:rsidRDefault="00BA21B1" w:rsidP="00BA21B1">
      <w:pPr>
        <w:jc w:val="both"/>
        <w:rPr>
          <w:rFonts w:cs="Calibri"/>
          <w:bCs/>
          <w:sz w:val="24"/>
          <w:szCs w:val="24"/>
        </w:rPr>
      </w:pPr>
      <w:r>
        <w:rPr>
          <w:rFonts w:cs="Calibri"/>
          <w:bCs/>
          <w:sz w:val="24"/>
          <w:szCs w:val="24"/>
        </w:rPr>
        <w:t xml:space="preserve">The new per capita planning service cost indicator showed a variation </w:t>
      </w:r>
      <w:r w:rsidRPr="00225C77">
        <w:rPr>
          <w:rFonts w:cs="Calibri"/>
          <w:bCs/>
          <w:sz w:val="24"/>
          <w:szCs w:val="24"/>
        </w:rPr>
        <w:t xml:space="preserve">from €12.66 in </w:t>
      </w:r>
      <w:r>
        <w:rPr>
          <w:rFonts w:cs="Calibri"/>
          <w:bCs/>
          <w:sz w:val="24"/>
          <w:szCs w:val="24"/>
        </w:rPr>
        <w:t>Cork c</w:t>
      </w:r>
      <w:r w:rsidRPr="00225C77">
        <w:rPr>
          <w:rFonts w:cs="Calibri"/>
          <w:bCs/>
          <w:sz w:val="24"/>
          <w:szCs w:val="24"/>
        </w:rPr>
        <w:t xml:space="preserve">ounty </w:t>
      </w:r>
      <w:r>
        <w:rPr>
          <w:rFonts w:cs="Calibri"/>
          <w:bCs/>
          <w:sz w:val="24"/>
          <w:szCs w:val="24"/>
        </w:rPr>
        <w:t>t</w:t>
      </w:r>
      <w:r w:rsidRPr="00225C77">
        <w:rPr>
          <w:rFonts w:cs="Calibri"/>
          <w:bCs/>
          <w:sz w:val="24"/>
          <w:szCs w:val="24"/>
        </w:rPr>
        <w:t xml:space="preserve">o €53.19 </w:t>
      </w:r>
      <w:r>
        <w:rPr>
          <w:rFonts w:cs="Calibri"/>
          <w:bCs/>
          <w:sz w:val="24"/>
          <w:szCs w:val="24"/>
        </w:rPr>
        <w:t xml:space="preserve">per head </w:t>
      </w:r>
      <w:r w:rsidRPr="00225C77">
        <w:rPr>
          <w:rFonts w:cs="Calibri"/>
          <w:bCs/>
          <w:sz w:val="24"/>
          <w:szCs w:val="24"/>
        </w:rPr>
        <w:t>in Roscommon</w:t>
      </w:r>
      <w:r>
        <w:rPr>
          <w:rFonts w:cs="Calibri"/>
          <w:bCs/>
          <w:sz w:val="24"/>
          <w:szCs w:val="24"/>
        </w:rPr>
        <w:t>,</w:t>
      </w:r>
      <w:r w:rsidRPr="00225C77">
        <w:rPr>
          <w:rFonts w:cs="Calibri"/>
          <w:bCs/>
          <w:sz w:val="24"/>
          <w:szCs w:val="24"/>
        </w:rPr>
        <w:t xml:space="preserve"> with a mean of €28.04 </w:t>
      </w:r>
      <w:r>
        <w:rPr>
          <w:rFonts w:cs="Calibri"/>
          <w:bCs/>
          <w:sz w:val="24"/>
          <w:szCs w:val="24"/>
        </w:rPr>
        <w:t xml:space="preserve">from which </w:t>
      </w:r>
      <w:r w:rsidRPr="00225C77">
        <w:rPr>
          <w:rFonts w:cs="Calibri"/>
          <w:bCs/>
          <w:sz w:val="24"/>
          <w:szCs w:val="24"/>
        </w:rPr>
        <w:t xml:space="preserve">only 10 authorities </w:t>
      </w:r>
      <w:r>
        <w:rPr>
          <w:rFonts w:cs="Calibri"/>
          <w:bCs/>
          <w:sz w:val="24"/>
          <w:szCs w:val="24"/>
        </w:rPr>
        <w:t>deviated</w:t>
      </w:r>
      <w:r w:rsidRPr="00225C77">
        <w:rPr>
          <w:rFonts w:cs="Calibri"/>
          <w:bCs/>
          <w:sz w:val="24"/>
          <w:szCs w:val="24"/>
        </w:rPr>
        <w:t xml:space="preserve"> by more than 20%. </w:t>
      </w:r>
      <w:r>
        <w:rPr>
          <w:rFonts w:cs="Calibri"/>
          <w:bCs/>
          <w:sz w:val="24"/>
          <w:szCs w:val="24"/>
        </w:rPr>
        <w:t xml:space="preserve"> As referred to on page 9, the assessment of this indicator highlighted that </w:t>
      </w:r>
      <w:r w:rsidRPr="00225C77">
        <w:rPr>
          <w:rFonts w:cs="Calibri"/>
          <w:bCs/>
          <w:sz w:val="24"/>
          <w:szCs w:val="24"/>
        </w:rPr>
        <w:t xml:space="preserve">the timing and treatment of the costs associated with the </w:t>
      </w:r>
      <w:r>
        <w:rPr>
          <w:rFonts w:cs="Calibri"/>
          <w:bCs/>
          <w:sz w:val="24"/>
          <w:szCs w:val="24"/>
        </w:rPr>
        <w:t>six</w:t>
      </w:r>
      <w:r w:rsidRPr="00225C77">
        <w:rPr>
          <w:rFonts w:cs="Calibri"/>
          <w:bCs/>
          <w:sz w:val="24"/>
          <w:szCs w:val="24"/>
        </w:rPr>
        <w:t xml:space="preserve"> yearly </w:t>
      </w:r>
      <w:r>
        <w:rPr>
          <w:rFonts w:cs="Calibri"/>
          <w:bCs/>
          <w:sz w:val="24"/>
          <w:szCs w:val="24"/>
        </w:rPr>
        <w:t>Development P</w:t>
      </w:r>
      <w:r w:rsidRPr="00225C77">
        <w:rPr>
          <w:rFonts w:cs="Calibri"/>
          <w:bCs/>
          <w:sz w:val="24"/>
          <w:szCs w:val="24"/>
        </w:rPr>
        <w:t xml:space="preserve">lan </w:t>
      </w:r>
      <w:proofErr w:type="gramStart"/>
      <w:r w:rsidRPr="00225C77">
        <w:rPr>
          <w:rFonts w:cs="Calibri"/>
          <w:bCs/>
          <w:sz w:val="24"/>
          <w:szCs w:val="24"/>
        </w:rPr>
        <w:t>preparation</w:t>
      </w:r>
      <w:proofErr w:type="gramEnd"/>
      <w:r w:rsidRPr="00225C77">
        <w:rPr>
          <w:rFonts w:cs="Calibri"/>
          <w:bCs/>
          <w:sz w:val="24"/>
          <w:szCs w:val="24"/>
        </w:rPr>
        <w:t xml:space="preserve"> can impact on the </w:t>
      </w:r>
      <w:r>
        <w:rPr>
          <w:rFonts w:cs="Calibri"/>
          <w:bCs/>
          <w:sz w:val="24"/>
          <w:szCs w:val="24"/>
        </w:rPr>
        <w:t>outcome.</w:t>
      </w:r>
      <w:r w:rsidRPr="00225C77">
        <w:rPr>
          <w:rFonts w:cs="Calibri"/>
          <w:bCs/>
          <w:sz w:val="24"/>
          <w:szCs w:val="24"/>
        </w:rPr>
        <w:t xml:space="preserve"> </w:t>
      </w:r>
    </w:p>
    <w:p w:rsidR="007F4808" w:rsidRDefault="00BA21B1" w:rsidP="00BA21B1">
      <w:pPr>
        <w:spacing w:after="0"/>
        <w:jc w:val="both"/>
        <w:rPr>
          <w:rFonts w:cs="Calibri"/>
          <w:bCs/>
          <w:sz w:val="24"/>
          <w:szCs w:val="24"/>
        </w:rPr>
        <w:sectPr w:rsidR="007F4808" w:rsidSect="004A0DD7">
          <w:pgSz w:w="11906" w:h="16838"/>
          <w:pgMar w:top="1440" w:right="1440" w:bottom="1304" w:left="1440" w:header="709" w:footer="709" w:gutter="0"/>
          <w:cols w:space="708"/>
          <w:titlePg/>
          <w:docGrid w:linePitch="360"/>
        </w:sectPr>
      </w:pPr>
      <w:r w:rsidRPr="00225C77">
        <w:rPr>
          <w:rFonts w:cs="Calibri"/>
          <w:bCs/>
          <w:sz w:val="24"/>
          <w:szCs w:val="24"/>
        </w:rPr>
        <w:t>In 2014 a total of 6,428 planning enforcement cases were referred to local authorities and 5,539 cases were closed that year</w:t>
      </w:r>
      <w:r>
        <w:rPr>
          <w:rFonts w:cs="Calibri"/>
          <w:bCs/>
          <w:sz w:val="24"/>
          <w:szCs w:val="24"/>
        </w:rPr>
        <w:t xml:space="preserve"> (Table 16)</w:t>
      </w:r>
      <w:r w:rsidRPr="00225C77">
        <w:rPr>
          <w:rFonts w:cs="Calibri"/>
          <w:bCs/>
          <w:sz w:val="24"/>
          <w:szCs w:val="24"/>
        </w:rPr>
        <w:t>.  The number of cases being investigated at the end of the year was 15,951</w:t>
      </w:r>
      <w:r>
        <w:rPr>
          <w:rFonts w:cs="Calibri"/>
          <w:bCs/>
          <w:sz w:val="24"/>
          <w:szCs w:val="24"/>
        </w:rPr>
        <w:t>, with a median per authority of 218</w:t>
      </w:r>
      <w:r w:rsidRPr="00225C77">
        <w:rPr>
          <w:rFonts w:cs="Calibri"/>
          <w:bCs/>
          <w:sz w:val="24"/>
          <w:szCs w:val="24"/>
        </w:rPr>
        <w:t>.  Carlow, Clare,</w:t>
      </w:r>
      <w:r>
        <w:rPr>
          <w:rFonts w:cs="Calibri"/>
          <w:bCs/>
          <w:sz w:val="24"/>
          <w:szCs w:val="24"/>
        </w:rPr>
        <w:t xml:space="preserve"> </w:t>
      </w:r>
      <w:proofErr w:type="spellStart"/>
      <w:r>
        <w:rPr>
          <w:rFonts w:cs="Calibri"/>
          <w:bCs/>
          <w:sz w:val="24"/>
          <w:szCs w:val="24"/>
        </w:rPr>
        <w:t>Dú</w:t>
      </w:r>
      <w:r w:rsidRPr="00225C77">
        <w:rPr>
          <w:rFonts w:cs="Calibri"/>
          <w:bCs/>
          <w:sz w:val="24"/>
          <w:szCs w:val="24"/>
        </w:rPr>
        <w:t>n</w:t>
      </w:r>
      <w:proofErr w:type="spellEnd"/>
      <w:r w:rsidRPr="00225C77">
        <w:rPr>
          <w:rFonts w:cs="Calibri"/>
          <w:bCs/>
          <w:sz w:val="24"/>
          <w:szCs w:val="24"/>
        </w:rPr>
        <w:t xml:space="preserve"> Laoghaire-</w:t>
      </w:r>
      <w:proofErr w:type="spellStart"/>
      <w:r w:rsidRPr="00225C77">
        <w:rPr>
          <w:rFonts w:cs="Calibri"/>
          <w:bCs/>
          <w:sz w:val="24"/>
          <w:szCs w:val="24"/>
        </w:rPr>
        <w:t>Rathdown</w:t>
      </w:r>
      <w:proofErr w:type="spellEnd"/>
      <w:r w:rsidRPr="00225C77">
        <w:rPr>
          <w:rFonts w:cs="Calibri"/>
          <w:bCs/>
          <w:sz w:val="24"/>
          <w:szCs w:val="24"/>
        </w:rPr>
        <w:t xml:space="preserve">, Galway City, Kerry, Kildare, Kilkenny, Limerick, South Dublin, Wexford </w:t>
      </w:r>
    </w:p>
    <w:p w:rsidR="00BA21B1" w:rsidRPr="00D85995" w:rsidRDefault="00BA21B1" w:rsidP="00BA21B1">
      <w:pPr>
        <w:spacing w:after="0"/>
        <w:jc w:val="both"/>
        <w:rPr>
          <w:sz w:val="24"/>
          <w:szCs w:val="24"/>
        </w:rPr>
      </w:pPr>
      <w:proofErr w:type="gramStart"/>
      <w:r w:rsidRPr="00225C77">
        <w:rPr>
          <w:rFonts w:cs="Calibri"/>
          <w:bCs/>
          <w:sz w:val="24"/>
          <w:szCs w:val="24"/>
        </w:rPr>
        <w:lastRenderedPageBreak/>
        <w:t>and</w:t>
      </w:r>
      <w:proofErr w:type="gramEnd"/>
      <w:r w:rsidRPr="00225C77">
        <w:rPr>
          <w:rFonts w:cs="Calibri"/>
          <w:bCs/>
          <w:sz w:val="24"/>
          <w:szCs w:val="24"/>
        </w:rPr>
        <w:t xml:space="preserve"> Wicklow all succeeded in closing more cases than were referred/initiated during the year.  </w:t>
      </w:r>
      <w:r w:rsidRPr="00661034">
        <w:rPr>
          <w:rFonts w:cs="Calibri"/>
          <w:bCs/>
          <w:sz w:val="24"/>
          <w:szCs w:val="24"/>
          <w:lang w:eastAsia="en-IE"/>
        </w:rPr>
        <w:t>However, it should be noted that when asked to break down the cases closed in 2014 between those that were dismissed, those that required the authority to undertake statutory enforcement proceedings under the Planning and Development Act 2000 and those that were resolved to the authority’s satisfaction through negotiations, the percentages do not total 100 in the case of 5 of the above-mentioned authorities (</w:t>
      </w:r>
      <w:proofErr w:type="spellStart"/>
      <w:r w:rsidRPr="00661034">
        <w:rPr>
          <w:rFonts w:cs="Calibri"/>
          <w:bCs/>
          <w:sz w:val="24"/>
          <w:szCs w:val="24"/>
          <w:lang w:eastAsia="en-IE"/>
        </w:rPr>
        <w:t>Dún</w:t>
      </w:r>
      <w:proofErr w:type="spellEnd"/>
      <w:r w:rsidRPr="00661034">
        <w:rPr>
          <w:rFonts w:cs="Calibri"/>
          <w:bCs/>
          <w:sz w:val="24"/>
          <w:szCs w:val="24"/>
          <w:lang w:eastAsia="en-IE"/>
        </w:rPr>
        <w:t xml:space="preserve"> Laoghaire-</w:t>
      </w:r>
      <w:proofErr w:type="spellStart"/>
      <w:r w:rsidRPr="00661034">
        <w:rPr>
          <w:rFonts w:cs="Calibri"/>
          <w:bCs/>
          <w:sz w:val="24"/>
          <w:szCs w:val="24"/>
          <w:lang w:eastAsia="en-IE"/>
        </w:rPr>
        <w:t>Rathdown</w:t>
      </w:r>
      <w:proofErr w:type="spellEnd"/>
      <w:r w:rsidRPr="00661034">
        <w:rPr>
          <w:rFonts w:cs="Calibri"/>
          <w:bCs/>
          <w:sz w:val="24"/>
          <w:szCs w:val="24"/>
          <w:lang w:eastAsia="en-IE"/>
        </w:rPr>
        <w:t>, Kerry, Kildare, Limerick and Wicklow) together with Cork and Galway counties, Laois and Mayo.  When queried, the explanation given for this was that the foregoing categories did not include ‘</w:t>
      </w:r>
      <w:r w:rsidRPr="00661034">
        <w:rPr>
          <w:sz w:val="24"/>
          <w:szCs w:val="24"/>
        </w:rPr>
        <w:t>civic cases’, unauthorised developments and instances where there was insufficient information to process the case.</w:t>
      </w:r>
    </w:p>
    <w:p w:rsidR="00BA21B1" w:rsidRDefault="00BA21B1" w:rsidP="00BA21B1">
      <w:pPr>
        <w:spacing w:after="0"/>
        <w:jc w:val="both"/>
        <w:rPr>
          <w:rFonts w:eastAsia="Times New Roman" w:cstheme="minorHAnsi"/>
          <w:b/>
          <w:sz w:val="24"/>
          <w:szCs w:val="24"/>
        </w:rPr>
      </w:pPr>
    </w:p>
    <w:p w:rsidR="00BA21B1" w:rsidRPr="00E31804" w:rsidRDefault="00BA21B1" w:rsidP="00BA21B1">
      <w:pPr>
        <w:spacing w:after="0"/>
        <w:jc w:val="both"/>
        <w:rPr>
          <w:rFonts w:eastAsia="Times New Roman" w:cstheme="minorHAnsi"/>
          <w:b/>
          <w:sz w:val="24"/>
          <w:szCs w:val="24"/>
        </w:rPr>
      </w:pPr>
      <w:r w:rsidRPr="00E31804">
        <w:rPr>
          <w:rFonts w:eastAsia="Times New Roman" w:cstheme="minorHAnsi"/>
          <w:b/>
          <w:sz w:val="24"/>
          <w:szCs w:val="24"/>
        </w:rPr>
        <w:t>Fire</w:t>
      </w:r>
      <w:r>
        <w:rPr>
          <w:rFonts w:eastAsia="Times New Roman" w:cstheme="minorHAnsi"/>
          <w:b/>
          <w:sz w:val="24"/>
          <w:szCs w:val="24"/>
        </w:rPr>
        <w:t xml:space="preserve"> Services</w:t>
      </w:r>
    </w:p>
    <w:p w:rsidR="00BA21B1" w:rsidRDefault="00BA21B1" w:rsidP="00BA21B1">
      <w:pPr>
        <w:spacing w:after="0"/>
        <w:jc w:val="both"/>
        <w:rPr>
          <w:rFonts w:eastAsia="Times New Roman" w:cstheme="minorHAnsi"/>
          <w:sz w:val="24"/>
          <w:szCs w:val="24"/>
        </w:rPr>
      </w:pPr>
      <w:r w:rsidRPr="00E31804">
        <w:rPr>
          <w:rFonts w:eastAsia="Times New Roman" w:cstheme="minorHAnsi"/>
          <w:sz w:val="24"/>
          <w:szCs w:val="24"/>
        </w:rPr>
        <w:t>Local authority fire and emergency services respond to fire and non-fire incidents throughout the country.</w:t>
      </w:r>
      <w:r>
        <w:rPr>
          <w:rFonts w:eastAsia="Times New Roman" w:cstheme="minorHAnsi"/>
          <w:sz w:val="24"/>
          <w:szCs w:val="24"/>
        </w:rPr>
        <w:t xml:space="preserve"> </w:t>
      </w:r>
      <w:r w:rsidRPr="00E31804">
        <w:rPr>
          <w:rFonts w:eastAsia="Times New Roman" w:cstheme="minorHAnsi"/>
          <w:sz w:val="24"/>
          <w:szCs w:val="24"/>
        </w:rPr>
        <w:t xml:space="preserve"> Attendance at the scene is a key performance target for both full and part-time services</w:t>
      </w:r>
      <w:r>
        <w:rPr>
          <w:rFonts w:eastAsia="Times New Roman" w:cstheme="minorHAnsi"/>
          <w:sz w:val="24"/>
          <w:szCs w:val="24"/>
        </w:rPr>
        <w:t xml:space="preserve"> and attendance response times are reported on in Table 18</w:t>
      </w:r>
      <w:r w:rsidRPr="00E31804">
        <w:rPr>
          <w:rFonts w:eastAsia="Times New Roman" w:cstheme="minorHAnsi"/>
          <w:sz w:val="24"/>
          <w:szCs w:val="24"/>
        </w:rPr>
        <w:t xml:space="preserve">. </w:t>
      </w:r>
      <w:r>
        <w:rPr>
          <w:rFonts w:eastAsia="Times New Roman" w:cstheme="minorHAnsi"/>
          <w:sz w:val="24"/>
          <w:szCs w:val="24"/>
        </w:rPr>
        <w:t xml:space="preserve"> Fire brigades were called out to attend over 21,700 fires and more than 9,000 other incidents in 2014 and attended the scene in less than 10 minutes in the case of 58% of these fires and 52% of the other incidents. </w:t>
      </w:r>
      <w:r w:rsidRPr="00E31804">
        <w:rPr>
          <w:rFonts w:eastAsia="Times New Roman" w:cstheme="minorHAnsi"/>
          <w:sz w:val="24"/>
          <w:szCs w:val="24"/>
        </w:rPr>
        <w:t xml:space="preserve">The </w:t>
      </w:r>
      <w:r>
        <w:rPr>
          <w:rFonts w:eastAsia="Times New Roman" w:cstheme="minorHAnsi"/>
          <w:sz w:val="24"/>
          <w:szCs w:val="24"/>
        </w:rPr>
        <w:t xml:space="preserve">2014 mean value for </w:t>
      </w:r>
      <w:r w:rsidRPr="00E31804">
        <w:rPr>
          <w:rFonts w:eastAsia="Times New Roman" w:cstheme="minorHAnsi"/>
          <w:sz w:val="24"/>
          <w:szCs w:val="24"/>
        </w:rPr>
        <w:t xml:space="preserve">attendance at </w:t>
      </w:r>
      <w:r>
        <w:rPr>
          <w:rFonts w:eastAsia="Times New Roman" w:cstheme="minorHAnsi"/>
          <w:sz w:val="24"/>
          <w:szCs w:val="24"/>
        </w:rPr>
        <w:t>fire</w:t>
      </w:r>
      <w:r w:rsidRPr="00E31804">
        <w:rPr>
          <w:rFonts w:eastAsia="Times New Roman" w:cstheme="minorHAnsi"/>
          <w:sz w:val="24"/>
          <w:szCs w:val="24"/>
        </w:rPr>
        <w:t xml:space="preserve"> scene</w:t>
      </w:r>
      <w:r>
        <w:rPr>
          <w:rFonts w:eastAsia="Times New Roman" w:cstheme="minorHAnsi"/>
          <w:sz w:val="24"/>
          <w:szCs w:val="24"/>
        </w:rPr>
        <w:t>s</w:t>
      </w:r>
      <w:r w:rsidRPr="00E31804">
        <w:rPr>
          <w:rFonts w:eastAsia="Times New Roman" w:cstheme="minorHAnsi"/>
          <w:sz w:val="24"/>
          <w:szCs w:val="24"/>
        </w:rPr>
        <w:t xml:space="preserve"> within 10 minutes was 45.02%, an improvement on the 2013 figure of 44.08%.  There is a considerable variation in attendance patterns between fulltime and part time fire authorities.</w:t>
      </w:r>
      <w:r>
        <w:rPr>
          <w:rFonts w:eastAsia="Times New Roman" w:cstheme="minorHAnsi"/>
          <w:sz w:val="24"/>
          <w:szCs w:val="24"/>
        </w:rPr>
        <w:t xml:space="preserve"> </w:t>
      </w:r>
      <w:r w:rsidRPr="00E31804">
        <w:rPr>
          <w:rFonts w:eastAsia="Times New Roman" w:cstheme="minorHAnsi"/>
          <w:sz w:val="24"/>
          <w:szCs w:val="24"/>
        </w:rPr>
        <w:t xml:space="preserve"> Perhaps not surprisingly, the full time fire services in the larger urban areas have a quicker response time with Cork city achieving a 10 minute attendance at 89.42% of fire incidents.  The percentage of incidents where attendance was greater than 20 minutes varied from a low of 1.22% in Cork city to a high of 27.09% in Galway</w:t>
      </w:r>
      <w:r>
        <w:rPr>
          <w:rFonts w:eastAsia="Times New Roman" w:cstheme="minorHAnsi"/>
          <w:sz w:val="24"/>
          <w:szCs w:val="24"/>
        </w:rPr>
        <w:t xml:space="preserve"> County</w:t>
      </w:r>
      <w:r w:rsidRPr="00E31804">
        <w:rPr>
          <w:rFonts w:eastAsia="Times New Roman" w:cstheme="minorHAnsi"/>
          <w:sz w:val="24"/>
          <w:szCs w:val="24"/>
        </w:rPr>
        <w:t>.</w:t>
      </w:r>
    </w:p>
    <w:p w:rsidR="00BA21B1" w:rsidRPr="00E31804" w:rsidRDefault="00BA21B1" w:rsidP="00BA21B1">
      <w:pPr>
        <w:spacing w:after="0"/>
        <w:jc w:val="both"/>
        <w:rPr>
          <w:rFonts w:eastAsia="Times New Roman" w:cstheme="minorHAnsi"/>
          <w:sz w:val="24"/>
          <w:szCs w:val="24"/>
        </w:rPr>
      </w:pPr>
    </w:p>
    <w:p w:rsidR="00BA21B1" w:rsidRPr="00E31804" w:rsidRDefault="00BA21B1" w:rsidP="00BA21B1">
      <w:pPr>
        <w:spacing w:after="0"/>
        <w:jc w:val="both"/>
        <w:rPr>
          <w:rFonts w:eastAsia="Times New Roman" w:cstheme="minorHAnsi"/>
          <w:sz w:val="24"/>
          <w:szCs w:val="24"/>
        </w:rPr>
      </w:pPr>
      <w:r>
        <w:rPr>
          <w:rFonts w:eastAsia="Times New Roman" w:cstheme="minorHAnsi"/>
          <w:sz w:val="24"/>
          <w:szCs w:val="24"/>
        </w:rPr>
        <w:t xml:space="preserve">Table 17 contains a </w:t>
      </w:r>
      <w:r w:rsidRPr="00E31804">
        <w:rPr>
          <w:rFonts w:eastAsia="Times New Roman" w:cstheme="minorHAnsi"/>
          <w:sz w:val="24"/>
          <w:szCs w:val="24"/>
        </w:rPr>
        <w:t xml:space="preserve">new indicator </w:t>
      </w:r>
      <w:r>
        <w:rPr>
          <w:rFonts w:eastAsia="Times New Roman" w:cstheme="minorHAnsi"/>
          <w:sz w:val="24"/>
          <w:szCs w:val="24"/>
        </w:rPr>
        <w:t xml:space="preserve">introduced to measure the </w:t>
      </w:r>
      <w:r w:rsidRPr="00E31804">
        <w:rPr>
          <w:rFonts w:eastAsia="Times New Roman" w:cstheme="minorHAnsi"/>
          <w:sz w:val="24"/>
          <w:szCs w:val="24"/>
        </w:rPr>
        <w:t>cost of the fire service</w:t>
      </w:r>
      <w:r>
        <w:rPr>
          <w:rFonts w:eastAsia="Times New Roman" w:cstheme="minorHAnsi"/>
          <w:sz w:val="24"/>
          <w:szCs w:val="24"/>
        </w:rPr>
        <w:t xml:space="preserve"> per head of population served</w:t>
      </w:r>
      <w:r w:rsidRPr="00E31804">
        <w:rPr>
          <w:rFonts w:eastAsia="Times New Roman" w:cstheme="minorHAnsi"/>
          <w:sz w:val="24"/>
          <w:szCs w:val="24"/>
        </w:rPr>
        <w:t>.  This indicator highlights the variation in cost for full-time brigades and part-time services.</w:t>
      </w:r>
      <w:r>
        <w:rPr>
          <w:rFonts w:eastAsia="Times New Roman" w:cstheme="minorHAnsi"/>
          <w:sz w:val="24"/>
          <w:szCs w:val="24"/>
        </w:rPr>
        <w:t xml:space="preserve"> </w:t>
      </w:r>
      <w:r w:rsidRPr="00E31804">
        <w:rPr>
          <w:rFonts w:eastAsia="Times New Roman" w:cstheme="minorHAnsi"/>
          <w:sz w:val="24"/>
          <w:szCs w:val="24"/>
        </w:rPr>
        <w:t xml:space="preserve"> The highest per capita cost s</w:t>
      </w:r>
      <w:r>
        <w:rPr>
          <w:rFonts w:eastAsia="Times New Roman" w:cstheme="minorHAnsi"/>
          <w:sz w:val="24"/>
          <w:szCs w:val="24"/>
        </w:rPr>
        <w:t>tood at €93.13 in C</w:t>
      </w:r>
      <w:r w:rsidRPr="00E31804">
        <w:rPr>
          <w:rFonts w:eastAsia="Times New Roman" w:cstheme="minorHAnsi"/>
          <w:sz w:val="24"/>
          <w:szCs w:val="24"/>
        </w:rPr>
        <w:t>ork city</w:t>
      </w:r>
      <w:r>
        <w:rPr>
          <w:rFonts w:eastAsia="Times New Roman" w:cstheme="minorHAnsi"/>
          <w:sz w:val="24"/>
          <w:szCs w:val="24"/>
        </w:rPr>
        <w:t xml:space="preserve"> and this service consists of full-time fire fighters only.  It also achieved</w:t>
      </w:r>
      <w:r w:rsidRPr="00E31804">
        <w:rPr>
          <w:rFonts w:eastAsia="Times New Roman" w:cstheme="minorHAnsi"/>
          <w:sz w:val="24"/>
          <w:szCs w:val="24"/>
        </w:rPr>
        <w:t xml:space="preserve"> the best response times to incidents.</w:t>
      </w:r>
      <w:r>
        <w:rPr>
          <w:rFonts w:eastAsia="Times New Roman" w:cstheme="minorHAnsi"/>
          <w:sz w:val="24"/>
          <w:szCs w:val="24"/>
        </w:rPr>
        <w:t xml:space="preserve"> </w:t>
      </w:r>
      <w:r w:rsidRPr="00E31804">
        <w:rPr>
          <w:rFonts w:eastAsia="Times New Roman" w:cstheme="minorHAnsi"/>
          <w:sz w:val="24"/>
          <w:szCs w:val="24"/>
        </w:rPr>
        <w:t xml:space="preserve"> The costs associated with the part</w:t>
      </w:r>
      <w:r>
        <w:rPr>
          <w:rFonts w:eastAsia="Times New Roman" w:cstheme="minorHAnsi"/>
          <w:sz w:val="24"/>
          <w:szCs w:val="24"/>
        </w:rPr>
        <w:t>-</w:t>
      </w:r>
      <w:r w:rsidRPr="00E31804">
        <w:rPr>
          <w:rFonts w:eastAsia="Times New Roman" w:cstheme="minorHAnsi"/>
          <w:sz w:val="24"/>
          <w:szCs w:val="24"/>
        </w:rPr>
        <w:t xml:space="preserve">time services were generally lower, with the per capita cost in Kildare and Wexford coming in at less than €30. </w:t>
      </w:r>
      <w:r>
        <w:rPr>
          <w:rFonts w:eastAsia="Times New Roman" w:cstheme="minorHAnsi"/>
          <w:sz w:val="24"/>
          <w:szCs w:val="24"/>
        </w:rPr>
        <w:t xml:space="preserve"> </w:t>
      </w:r>
      <w:r w:rsidRPr="00E31804">
        <w:rPr>
          <w:rFonts w:eastAsia="Times New Roman" w:cstheme="minorHAnsi"/>
          <w:sz w:val="24"/>
          <w:szCs w:val="24"/>
        </w:rPr>
        <w:t xml:space="preserve">However, the figure for the part time service in Leitrim is €70.  </w:t>
      </w:r>
      <w:r>
        <w:rPr>
          <w:rFonts w:eastAsia="Times New Roman" w:cstheme="minorHAnsi"/>
          <w:sz w:val="24"/>
          <w:szCs w:val="24"/>
        </w:rPr>
        <w:t xml:space="preserve">The median per capita cost for part-time brigades was €43.17.  </w:t>
      </w:r>
      <w:r w:rsidRPr="00E31804">
        <w:rPr>
          <w:rFonts w:eastAsia="Times New Roman" w:cstheme="minorHAnsi"/>
          <w:sz w:val="24"/>
          <w:szCs w:val="24"/>
        </w:rPr>
        <w:t>Further exploration of the cost indicators from comparable counties may facilitate the sharing of good practice and efficiency measures.</w:t>
      </w:r>
    </w:p>
    <w:p w:rsidR="00BA21B1" w:rsidRDefault="00BA21B1" w:rsidP="00BA21B1">
      <w:pPr>
        <w:spacing w:after="0"/>
        <w:jc w:val="both"/>
        <w:rPr>
          <w:rFonts w:eastAsia="Times New Roman" w:cstheme="minorHAnsi"/>
          <w:b/>
          <w:sz w:val="24"/>
          <w:szCs w:val="24"/>
        </w:rPr>
      </w:pPr>
    </w:p>
    <w:p w:rsidR="00BA21B1" w:rsidRPr="00E31804" w:rsidRDefault="00BA21B1" w:rsidP="00BA21B1">
      <w:pPr>
        <w:spacing w:after="0"/>
        <w:jc w:val="both"/>
        <w:rPr>
          <w:rFonts w:eastAsia="Times New Roman" w:cstheme="minorHAnsi"/>
          <w:b/>
          <w:sz w:val="24"/>
          <w:szCs w:val="24"/>
        </w:rPr>
      </w:pPr>
      <w:r w:rsidRPr="00E31804">
        <w:rPr>
          <w:rFonts w:eastAsia="Times New Roman" w:cstheme="minorHAnsi"/>
          <w:b/>
          <w:sz w:val="24"/>
          <w:szCs w:val="24"/>
        </w:rPr>
        <w:t>Library Services</w:t>
      </w:r>
    </w:p>
    <w:p w:rsidR="00BA21B1" w:rsidRDefault="00BA21B1" w:rsidP="00BA21B1">
      <w:pPr>
        <w:spacing w:after="0"/>
        <w:jc w:val="both"/>
        <w:rPr>
          <w:rFonts w:eastAsia="Times New Roman" w:cstheme="minorHAnsi"/>
          <w:sz w:val="24"/>
          <w:szCs w:val="24"/>
        </w:rPr>
      </w:pPr>
      <w:r w:rsidRPr="00E31804">
        <w:rPr>
          <w:rFonts w:eastAsia="Times New Roman" w:cstheme="minorHAnsi"/>
          <w:sz w:val="24"/>
          <w:szCs w:val="24"/>
        </w:rPr>
        <w:t>The number of library visits per 1</w:t>
      </w:r>
      <w:r>
        <w:rPr>
          <w:rFonts w:eastAsia="Times New Roman" w:cstheme="minorHAnsi"/>
          <w:sz w:val="24"/>
          <w:szCs w:val="24"/>
        </w:rPr>
        <w:t>,</w:t>
      </w:r>
      <w:r w:rsidRPr="00E31804">
        <w:rPr>
          <w:rFonts w:eastAsia="Times New Roman" w:cstheme="minorHAnsi"/>
          <w:sz w:val="24"/>
          <w:szCs w:val="24"/>
        </w:rPr>
        <w:t xml:space="preserve">000 </w:t>
      </w:r>
      <w:proofErr w:type="gramStart"/>
      <w:r w:rsidRPr="00E31804">
        <w:rPr>
          <w:rFonts w:eastAsia="Times New Roman" w:cstheme="minorHAnsi"/>
          <w:sz w:val="24"/>
          <w:szCs w:val="24"/>
        </w:rPr>
        <w:t>population</w:t>
      </w:r>
      <w:proofErr w:type="gramEnd"/>
      <w:r w:rsidRPr="00E31804">
        <w:rPr>
          <w:rFonts w:eastAsia="Times New Roman" w:cstheme="minorHAnsi"/>
          <w:sz w:val="24"/>
          <w:szCs w:val="24"/>
        </w:rPr>
        <w:t xml:space="preserve"> </w:t>
      </w:r>
      <w:r>
        <w:rPr>
          <w:rFonts w:eastAsia="Times New Roman" w:cstheme="minorHAnsi"/>
          <w:sz w:val="24"/>
          <w:szCs w:val="24"/>
        </w:rPr>
        <w:t xml:space="preserve">(Table 19) </w:t>
      </w:r>
      <w:r w:rsidRPr="00E31804">
        <w:rPr>
          <w:rFonts w:eastAsia="Times New Roman" w:cstheme="minorHAnsi"/>
          <w:sz w:val="24"/>
          <w:szCs w:val="24"/>
        </w:rPr>
        <w:t xml:space="preserve">shows a significant increase </w:t>
      </w:r>
      <w:r>
        <w:rPr>
          <w:rFonts w:eastAsia="Times New Roman" w:cstheme="minorHAnsi"/>
          <w:sz w:val="24"/>
          <w:szCs w:val="24"/>
        </w:rPr>
        <w:t xml:space="preserve">of 14% </w:t>
      </w:r>
      <w:r w:rsidRPr="00E31804">
        <w:rPr>
          <w:rFonts w:eastAsia="Times New Roman" w:cstheme="minorHAnsi"/>
          <w:sz w:val="24"/>
          <w:szCs w:val="24"/>
        </w:rPr>
        <w:t>in 2014 over 2013</w:t>
      </w:r>
      <w:r>
        <w:rPr>
          <w:rFonts w:eastAsia="Times New Roman" w:cstheme="minorHAnsi"/>
          <w:sz w:val="24"/>
          <w:szCs w:val="24"/>
        </w:rPr>
        <w:t xml:space="preserve">.  </w:t>
      </w:r>
      <w:r w:rsidRPr="00E31804">
        <w:rPr>
          <w:rFonts w:eastAsia="Times New Roman" w:cstheme="minorHAnsi"/>
          <w:sz w:val="24"/>
          <w:szCs w:val="24"/>
        </w:rPr>
        <w:t xml:space="preserve">A new indicator of the cost </w:t>
      </w:r>
      <w:r w:rsidR="0012130F">
        <w:rPr>
          <w:rFonts w:eastAsia="Times New Roman" w:cstheme="minorHAnsi"/>
          <w:sz w:val="24"/>
          <w:szCs w:val="24"/>
        </w:rPr>
        <w:t xml:space="preserve">per 1,000 population </w:t>
      </w:r>
      <w:r w:rsidRPr="00E31804">
        <w:rPr>
          <w:rFonts w:eastAsia="Times New Roman" w:cstheme="minorHAnsi"/>
          <w:sz w:val="24"/>
          <w:szCs w:val="24"/>
        </w:rPr>
        <w:t xml:space="preserve">of operating the library service </w:t>
      </w:r>
      <w:r>
        <w:rPr>
          <w:rFonts w:eastAsia="Times New Roman" w:cstheme="minorHAnsi"/>
          <w:sz w:val="24"/>
          <w:szCs w:val="24"/>
        </w:rPr>
        <w:t xml:space="preserve">shows </w:t>
      </w:r>
      <w:r w:rsidRPr="00E31804">
        <w:rPr>
          <w:rFonts w:eastAsia="Times New Roman" w:cstheme="minorHAnsi"/>
          <w:sz w:val="24"/>
          <w:szCs w:val="24"/>
        </w:rPr>
        <w:t xml:space="preserve">a wide variation from a high of €60,158.82 in Cork city, with </w:t>
      </w:r>
      <w:r>
        <w:rPr>
          <w:rFonts w:eastAsia="Times New Roman" w:cstheme="minorHAnsi"/>
          <w:sz w:val="24"/>
          <w:szCs w:val="24"/>
        </w:rPr>
        <w:t>four</w:t>
      </w:r>
      <w:r w:rsidRPr="00E31804">
        <w:rPr>
          <w:rFonts w:eastAsia="Times New Roman" w:cstheme="minorHAnsi"/>
          <w:sz w:val="24"/>
          <w:szCs w:val="24"/>
        </w:rPr>
        <w:t xml:space="preserve"> counties spending less than €20,000 per 1</w:t>
      </w:r>
      <w:r>
        <w:rPr>
          <w:rFonts w:eastAsia="Times New Roman" w:cstheme="minorHAnsi"/>
          <w:sz w:val="24"/>
          <w:szCs w:val="24"/>
        </w:rPr>
        <w:t>,</w:t>
      </w:r>
      <w:r w:rsidRPr="00E31804">
        <w:rPr>
          <w:rFonts w:eastAsia="Times New Roman" w:cstheme="minorHAnsi"/>
          <w:sz w:val="24"/>
          <w:szCs w:val="24"/>
        </w:rPr>
        <w:t xml:space="preserve">000 </w:t>
      </w:r>
      <w:proofErr w:type="gramStart"/>
      <w:r w:rsidRPr="00E31804">
        <w:rPr>
          <w:rFonts w:eastAsia="Times New Roman" w:cstheme="minorHAnsi"/>
          <w:sz w:val="24"/>
          <w:szCs w:val="24"/>
        </w:rPr>
        <w:t>population</w:t>
      </w:r>
      <w:proofErr w:type="gramEnd"/>
      <w:r>
        <w:rPr>
          <w:rFonts w:eastAsia="Times New Roman" w:cstheme="minorHAnsi"/>
          <w:sz w:val="24"/>
          <w:szCs w:val="24"/>
        </w:rPr>
        <w:t xml:space="preserve"> – the median is €27,089</w:t>
      </w:r>
      <w:r w:rsidRPr="00E31804">
        <w:rPr>
          <w:rFonts w:eastAsia="Times New Roman" w:cstheme="minorHAnsi"/>
          <w:sz w:val="24"/>
          <w:szCs w:val="24"/>
        </w:rPr>
        <w:t xml:space="preserve">.  </w:t>
      </w:r>
      <w:r>
        <w:rPr>
          <w:rFonts w:eastAsia="Times New Roman" w:cstheme="minorHAnsi"/>
          <w:sz w:val="24"/>
          <w:szCs w:val="24"/>
        </w:rPr>
        <w:t xml:space="preserve">While Cork city also had the greatest number of library visits per head of population, the cost/visit </w:t>
      </w:r>
      <w:r>
        <w:rPr>
          <w:rFonts w:eastAsia="Times New Roman" w:cstheme="minorHAnsi"/>
          <w:sz w:val="24"/>
          <w:szCs w:val="24"/>
        </w:rPr>
        <w:lastRenderedPageBreak/>
        <w:t xml:space="preserve">ratio ranged from a low of 4.95 in Tipperary to a high of 13.46 in Sligo.  </w:t>
      </w:r>
      <w:r w:rsidRPr="00E31804">
        <w:rPr>
          <w:rFonts w:eastAsia="Times New Roman" w:cstheme="minorHAnsi"/>
          <w:sz w:val="24"/>
          <w:szCs w:val="24"/>
        </w:rPr>
        <w:t>Further analysis by comparable authorities may assist in understanding the factors which underlie the significant variation</w:t>
      </w:r>
      <w:r>
        <w:rPr>
          <w:rFonts w:eastAsia="Times New Roman" w:cstheme="minorHAnsi"/>
          <w:sz w:val="24"/>
          <w:szCs w:val="24"/>
        </w:rPr>
        <w:t>s</w:t>
      </w:r>
      <w:r w:rsidRPr="00E31804">
        <w:rPr>
          <w:rFonts w:eastAsia="Times New Roman" w:cstheme="minorHAnsi"/>
          <w:sz w:val="24"/>
          <w:szCs w:val="24"/>
        </w:rPr>
        <w:t xml:space="preserve"> in </w:t>
      </w:r>
      <w:r>
        <w:rPr>
          <w:rFonts w:eastAsia="Times New Roman" w:cstheme="minorHAnsi"/>
          <w:sz w:val="24"/>
          <w:szCs w:val="24"/>
        </w:rPr>
        <w:t xml:space="preserve">the </w:t>
      </w:r>
      <w:r w:rsidRPr="00E31804">
        <w:rPr>
          <w:rFonts w:eastAsia="Times New Roman" w:cstheme="minorHAnsi"/>
          <w:sz w:val="24"/>
          <w:szCs w:val="24"/>
        </w:rPr>
        <w:t xml:space="preserve">cost of </w:t>
      </w:r>
      <w:r>
        <w:rPr>
          <w:rFonts w:eastAsia="Times New Roman" w:cstheme="minorHAnsi"/>
          <w:sz w:val="24"/>
          <w:szCs w:val="24"/>
        </w:rPr>
        <w:t xml:space="preserve">the </w:t>
      </w:r>
      <w:r w:rsidRPr="00E31804">
        <w:rPr>
          <w:rFonts w:eastAsia="Times New Roman" w:cstheme="minorHAnsi"/>
          <w:sz w:val="24"/>
          <w:szCs w:val="24"/>
        </w:rPr>
        <w:t>service provision.</w:t>
      </w:r>
    </w:p>
    <w:p w:rsidR="00BA21B1" w:rsidRDefault="00BA21B1" w:rsidP="00BA21B1">
      <w:pPr>
        <w:spacing w:after="0"/>
        <w:jc w:val="both"/>
        <w:rPr>
          <w:rFonts w:eastAsia="Times New Roman" w:cstheme="minorHAnsi"/>
          <w:b/>
          <w:sz w:val="24"/>
          <w:szCs w:val="24"/>
        </w:rPr>
      </w:pPr>
    </w:p>
    <w:p w:rsidR="00BA21B1" w:rsidRPr="00E31804" w:rsidRDefault="00BA21B1" w:rsidP="00BA21B1">
      <w:pPr>
        <w:spacing w:after="0"/>
        <w:jc w:val="both"/>
        <w:rPr>
          <w:rFonts w:eastAsia="Times New Roman" w:cstheme="minorHAnsi"/>
          <w:b/>
          <w:sz w:val="24"/>
          <w:szCs w:val="24"/>
        </w:rPr>
      </w:pPr>
      <w:r w:rsidRPr="00E31804">
        <w:rPr>
          <w:rFonts w:eastAsia="Times New Roman" w:cstheme="minorHAnsi"/>
          <w:b/>
          <w:sz w:val="24"/>
          <w:szCs w:val="24"/>
        </w:rPr>
        <w:t>Economic and Community Development and Job Creation</w:t>
      </w:r>
    </w:p>
    <w:p w:rsidR="00BA21B1" w:rsidRDefault="00BA21B1" w:rsidP="00BA21B1">
      <w:pPr>
        <w:spacing w:after="0"/>
        <w:jc w:val="both"/>
        <w:rPr>
          <w:rFonts w:eastAsia="Times New Roman" w:cstheme="minorHAnsi"/>
          <w:sz w:val="24"/>
          <w:szCs w:val="24"/>
        </w:rPr>
      </w:pPr>
      <w:r w:rsidRPr="00E31804">
        <w:rPr>
          <w:rFonts w:eastAsia="Times New Roman" w:cstheme="minorHAnsi"/>
          <w:sz w:val="24"/>
          <w:szCs w:val="24"/>
        </w:rPr>
        <w:t>The Local Government Reform Act 2014 has expanded the remit of local authorities in the area of economic and community development and a number of</w:t>
      </w:r>
      <w:r>
        <w:rPr>
          <w:rFonts w:eastAsia="Times New Roman" w:cstheme="minorHAnsi"/>
          <w:sz w:val="24"/>
          <w:szCs w:val="24"/>
        </w:rPr>
        <w:t xml:space="preserve"> indicators reflect this change, but in some cases there was an issue regarding the availability of 2014 data.</w:t>
      </w:r>
    </w:p>
    <w:p w:rsidR="00BA21B1" w:rsidRPr="00E31804" w:rsidRDefault="00BA21B1" w:rsidP="00BA21B1">
      <w:pPr>
        <w:spacing w:after="0"/>
        <w:jc w:val="both"/>
        <w:rPr>
          <w:rFonts w:eastAsia="Times New Roman" w:cstheme="minorHAnsi"/>
          <w:sz w:val="24"/>
          <w:szCs w:val="24"/>
        </w:rPr>
      </w:pPr>
    </w:p>
    <w:p w:rsidR="00BA21B1" w:rsidRPr="00E31804" w:rsidRDefault="00BA21B1" w:rsidP="00BA21B1">
      <w:pPr>
        <w:spacing w:after="0"/>
        <w:jc w:val="both"/>
        <w:rPr>
          <w:rFonts w:eastAsia="Times New Roman" w:cstheme="minorHAnsi"/>
          <w:sz w:val="24"/>
          <w:szCs w:val="24"/>
        </w:rPr>
      </w:pPr>
      <w:r w:rsidRPr="00E31804">
        <w:rPr>
          <w:rFonts w:eastAsia="Times New Roman" w:cstheme="minorHAnsi"/>
          <w:sz w:val="24"/>
          <w:szCs w:val="24"/>
        </w:rPr>
        <w:t xml:space="preserve">In 2014, the transfer of the functions of the former County </w:t>
      </w:r>
      <w:r>
        <w:rPr>
          <w:rFonts w:eastAsia="Times New Roman" w:cstheme="minorHAnsi"/>
          <w:sz w:val="24"/>
          <w:szCs w:val="24"/>
        </w:rPr>
        <w:t xml:space="preserve">and City </w:t>
      </w:r>
      <w:r w:rsidRPr="00E31804">
        <w:rPr>
          <w:rFonts w:eastAsia="Times New Roman" w:cstheme="minorHAnsi"/>
          <w:sz w:val="24"/>
          <w:szCs w:val="24"/>
        </w:rPr>
        <w:t xml:space="preserve">Enterprise Boards to the Local Enterprise Offices </w:t>
      </w:r>
      <w:r>
        <w:rPr>
          <w:rFonts w:eastAsia="Times New Roman" w:cstheme="minorHAnsi"/>
          <w:sz w:val="24"/>
          <w:szCs w:val="24"/>
        </w:rPr>
        <w:t xml:space="preserve">(LEOs) </w:t>
      </w:r>
      <w:r w:rsidRPr="00E31804">
        <w:rPr>
          <w:rFonts w:eastAsia="Times New Roman" w:cstheme="minorHAnsi"/>
          <w:sz w:val="24"/>
          <w:szCs w:val="24"/>
        </w:rPr>
        <w:t xml:space="preserve">was completed. </w:t>
      </w:r>
      <w:r>
        <w:rPr>
          <w:rFonts w:eastAsia="Times New Roman" w:cstheme="minorHAnsi"/>
          <w:sz w:val="24"/>
          <w:szCs w:val="24"/>
        </w:rPr>
        <w:t xml:space="preserve"> Table 26 shows t</w:t>
      </w:r>
      <w:r w:rsidRPr="00E31804">
        <w:rPr>
          <w:rFonts w:eastAsia="Times New Roman" w:cstheme="minorHAnsi"/>
          <w:sz w:val="24"/>
          <w:szCs w:val="24"/>
        </w:rPr>
        <w:t>he number of jobs created with assistance from the LEOs in 2014 amount</w:t>
      </w:r>
      <w:r>
        <w:rPr>
          <w:rFonts w:eastAsia="Times New Roman" w:cstheme="minorHAnsi"/>
          <w:sz w:val="24"/>
          <w:szCs w:val="24"/>
        </w:rPr>
        <w:t>ed</w:t>
      </w:r>
      <w:r w:rsidRPr="00E31804">
        <w:rPr>
          <w:rFonts w:eastAsia="Times New Roman" w:cstheme="minorHAnsi"/>
          <w:sz w:val="24"/>
          <w:szCs w:val="24"/>
        </w:rPr>
        <w:t xml:space="preserve"> to 3</w:t>
      </w:r>
      <w:r>
        <w:rPr>
          <w:rFonts w:eastAsia="Times New Roman" w:cstheme="minorHAnsi"/>
          <w:sz w:val="24"/>
          <w:szCs w:val="24"/>
        </w:rPr>
        <w:t>,</w:t>
      </w:r>
      <w:r w:rsidRPr="00E31804">
        <w:rPr>
          <w:rFonts w:eastAsia="Times New Roman" w:cstheme="minorHAnsi"/>
          <w:sz w:val="24"/>
          <w:szCs w:val="24"/>
        </w:rPr>
        <w:t xml:space="preserve">478.5. </w:t>
      </w:r>
      <w:r>
        <w:rPr>
          <w:rFonts w:eastAsia="Times New Roman" w:cstheme="minorHAnsi"/>
          <w:sz w:val="24"/>
          <w:szCs w:val="24"/>
        </w:rPr>
        <w:t xml:space="preserve"> </w:t>
      </w:r>
      <w:r w:rsidRPr="00E31804">
        <w:rPr>
          <w:rFonts w:eastAsia="Times New Roman" w:cstheme="minorHAnsi"/>
          <w:sz w:val="24"/>
          <w:szCs w:val="24"/>
        </w:rPr>
        <w:t>Progress was made in delivering on the target for participants in the Gateway programme</w:t>
      </w:r>
      <w:r>
        <w:rPr>
          <w:rFonts w:eastAsia="Times New Roman" w:cstheme="minorHAnsi"/>
          <w:sz w:val="24"/>
          <w:szCs w:val="24"/>
        </w:rPr>
        <w:t xml:space="preserve"> (Table 20)</w:t>
      </w:r>
      <w:r w:rsidRPr="00E31804">
        <w:rPr>
          <w:rFonts w:eastAsia="Times New Roman" w:cstheme="minorHAnsi"/>
          <w:sz w:val="24"/>
          <w:szCs w:val="24"/>
        </w:rPr>
        <w:t xml:space="preserve">, with a median average of </w:t>
      </w:r>
      <w:r>
        <w:rPr>
          <w:rFonts w:eastAsia="Times New Roman" w:cstheme="minorHAnsi"/>
          <w:sz w:val="24"/>
          <w:szCs w:val="24"/>
        </w:rPr>
        <w:t xml:space="preserve">64.19% </w:t>
      </w:r>
      <w:r w:rsidRPr="00E31804">
        <w:rPr>
          <w:rFonts w:eastAsia="Times New Roman" w:cstheme="minorHAnsi"/>
          <w:sz w:val="24"/>
          <w:szCs w:val="24"/>
        </w:rPr>
        <w:t xml:space="preserve">success in the first year of the programme, </w:t>
      </w:r>
      <w:r>
        <w:rPr>
          <w:rFonts w:eastAsia="Times New Roman" w:cstheme="minorHAnsi"/>
          <w:sz w:val="24"/>
          <w:szCs w:val="24"/>
        </w:rPr>
        <w:t>and</w:t>
      </w:r>
      <w:r w:rsidRPr="00E31804">
        <w:rPr>
          <w:rFonts w:eastAsia="Times New Roman" w:cstheme="minorHAnsi"/>
          <w:sz w:val="24"/>
          <w:szCs w:val="24"/>
        </w:rPr>
        <w:t xml:space="preserve"> some authorities </w:t>
      </w:r>
      <w:r>
        <w:rPr>
          <w:rFonts w:eastAsia="Times New Roman" w:cstheme="minorHAnsi"/>
          <w:sz w:val="24"/>
          <w:szCs w:val="24"/>
        </w:rPr>
        <w:t xml:space="preserve">(Limerick, Louth, Mayo and Wicklow) even </w:t>
      </w:r>
      <w:r w:rsidRPr="00E31804">
        <w:rPr>
          <w:rFonts w:eastAsia="Times New Roman" w:cstheme="minorHAnsi"/>
          <w:sz w:val="24"/>
          <w:szCs w:val="24"/>
        </w:rPr>
        <w:t>exceeding the target.</w:t>
      </w:r>
    </w:p>
    <w:p w:rsidR="00BA21B1" w:rsidRPr="00E31804" w:rsidRDefault="00BA21B1" w:rsidP="00BA21B1">
      <w:pPr>
        <w:spacing w:after="0"/>
        <w:jc w:val="both"/>
        <w:rPr>
          <w:rFonts w:eastAsia="Times New Roman" w:cstheme="minorHAnsi"/>
          <w:sz w:val="24"/>
          <w:szCs w:val="24"/>
        </w:rPr>
      </w:pPr>
      <w:r w:rsidRPr="00E31804">
        <w:rPr>
          <w:rFonts w:eastAsia="Times New Roman" w:cstheme="minorHAnsi"/>
          <w:sz w:val="24"/>
          <w:szCs w:val="24"/>
        </w:rPr>
        <w:t xml:space="preserve"> </w:t>
      </w:r>
    </w:p>
    <w:p w:rsidR="00BA21B1" w:rsidRPr="00E31804" w:rsidRDefault="00BA21B1" w:rsidP="00BA21B1">
      <w:pPr>
        <w:spacing w:after="0"/>
        <w:jc w:val="both"/>
        <w:rPr>
          <w:rFonts w:eastAsia="Times New Roman" w:cstheme="minorHAnsi"/>
          <w:sz w:val="24"/>
          <w:szCs w:val="24"/>
        </w:rPr>
      </w:pPr>
      <w:r w:rsidRPr="00E31804">
        <w:rPr>
          <w:rFonts w:eastAsia="Times New Roman" w:cstheme="minorHAnsi"/>
          <w:b/>
          <w:sz w:val="24"/>
          <w:szCs w:val="24"/>
        </w:rPr>
        <w:t>Corporate Services</w:t>
      </w:r>
    </w:p>
    <w:p w:rsidR="00BA21B1" w:rsidRDefault="00BA21B1" w:rsidP="00BA21B1">
      <w:pPr>
        <w:spacing w:after="0"/>
        <w:jc w:val="both"/>
        <w:rPr>
          <w:rFonts w:eastAsia="Times New Roman" w:cstheme="minorHAnsi"/>
          <w:sz w:val="24"/>
          <w:szCs w:val="24"/>
        </w:rPr>
      </w:pPr>
      <w:r w:rsidRPr="00E31804">
        <w:rPr>
          <w:rFonts w:eastAsia="Times New Roman" w:cstheme="minorHAnsi"/>
          <w:sz w:val="24"/>
          <w:szCs w:val="24"/>
        </w:rPr>
        <w:t xml:space="preserve">The Local Government Efficiency Review </w:t>
      </w:r>
      <w:r>
        <w:rPr>
          <w:rFonts w:eastAsia="Times New Roman" w:cstheme="minorHAnsi"/>
          <w:sz w:val="24"/>
          <w:szCs w:val="24"/>
        </w:rPr>
        <w:t xml:space="preserve">Group (2010) </w:t>
      </w:r>
      <w:r w:rsidRPr="00E31804">
        <w:rPr>
          <w:rFonts w:eastAsia="Times New Roman" w:cstheme="minorHAnsi"/>
          <w:sz w:val="24"/>
          <w:szCs w:val="24"/>
        </w:rPr>
        <w:t>identified the need to reduce employment levels in local authorities in light of reducing resources and the need to deliver efficiencies.  There has been a decrease of 2.6</w:t>
      </w:r>
      <w:r w:rsidR="00B97FBB">
        <w:rPr>
          <w:rFonts w:eastAsia="Times New Roman" w:cstheme="minorHAnsi"/>
          <w:sz w:val="24"/>
          <w:szCs w:val="24"/>
        </w:rPr>
        <w:t>7</w:t>
      </w:r>
      <w:r w:rsidRPr="00E31804">
        <w:rPr>
          <w:rFonts w:eastAsia="Times New Roman" w:cstheme="minorHAnsi"/>
          <w:sz w:val="24"/>
          <w:szCs w:val="24"/>
        </w:rPr>
        <w:t>% in staff numbers in 2014</w:t>
      </w:r>
      <w:r w:rsidR="0012130F">
        <w:rPr>
          <w:rFonts w:eastAsia="Times New Roman" w:cstheme="minorHAnsi"/>
          <w:sz w:val="24"/>
          <w:szCs w:val="24"/>
        </w:rPr>
        <w:t xml:space="preserve"> (Table 21)</w:t>
      </w:r>
      <w:r w:rsidRPr="00E31804">
        <w:rPr>
          <w:rFonts w:eastAsia="Times New Roman" w:cstheme="minorHAnsi"/>
          <w:sz w:val="24"/>
          <w:szCs w:val="24"/>
        </w:rPr>
        <w:t>, bringing the total reduction since 2008 from 35</w:t>
      </w:r>
      <w:r>
        <w:rPr>
          <w:rFonts w:eastAsia="Times New Roman" w:cstheme="minorHAnsi"/>
          <w:sz w:val="24"/>
          <w:szCs w:val="24"/>
        </w:rPr>
        <w:t>,</w:t>
      </w:r>
      <w:r w:rsidRPr="00E31804">
        <w:rPr>
          <w:rFonts w:eastAsia="Times New Roman" w:cstheme="minorHAnsi"/>
          <w:sz w:val="24"/>
          <w:szCs w:val="24"/>
        </w:rPr>
        <w:t>007 to 26,80</w:t>
      </w:r>
      <w:r w:rsidR="004E1F6C">
        <w:rPr>
          <w:rFonts w:eastAsia="Times New Roman" w:cstheme="minorHAnsi"/>
          <w:sz w:val="24"/>
          <w:szCs w:val="24"/>
        </w:rPr>
        <w:t>7</w:t>
      </w:r>
      <w:r w:rsidRPr="00E31804">
        <w:rPr>
          <w:rFonts w:eastAsia="Times New Roman" w:cstheme="minorHAnsi"/>
          <w:sz w:val="24"/>
          <w:szCs w:val="24"/>
        </w:rPr>
        <w:t xml:space="preserve"> whole-time equivalent </w:t>
      </w:r>
      <w:r>
        <w:rPr>
          <w:rFonts w:eastAsia="Times New Roman" w:cstheme="minorHAnsi"/>
          <w:sz w:val="24"/>
          <w:szCs w:val="24"/>
        </w:rPr>
        <w:t xml:space="preserve">(WTE) </w:t>
      </w:r>
      <w:r w:rsidRPr="00E31804">
        <w:rPr>
          <w:rFonts w:eastAsia="Times New Roman" w:cstheme="minorHAnsi"/>
          <w:sz w:val="24"/>
          <w:szCs w:val="24"/>
        </w:rPr>
        <w:t>employees</w:t>
      </w:r>
      <w:r w:rsidR="0012130F">
        <w:rPr>
          <w:rFonts w:eastAsia="Times New Roman" w:cstheme="minorHAnsi"/>
          <w:sz w:val="24"/>
          <w:szCs w:val="24"/>
        </w:rPr>
        <w:t>, or 23.4%</w:t>
      </w:r>
      <w:r w:rsidRPr="00E31804">
        <w:rPr>
          <w:rFonts w:eastAsia="Times New Roman" w:cstheme="minorHAnsi"/>
          <w:sz w:val="24"/>
          <w:szCs w:val="24"/>
        </w:rPr>
        <w:t xml:space="preserve">. </w:t>
      </w:r>
    </w:p>
    <w:p w:rsidR="00BA21B1" w:rsidRPr="00E31804" w:rsidRDefault="00BA21B1" w:rsidP="00BA21B1">
      <w:pPr>
        <w:spacing w:after="0"/>
        <w:jc w:val="both"/>
        <w:rPr>
          <w:rFonts w:eastAsia="Times New Roman" w:cstheme="minorHAnsi"/>
          <w:sz w:val="24"/>
          <w:szCs w:val="24"/>
        </w:rPr>
      </w:pPr>
    </w:p>
    <w:p w:rsidR="00BA21B1" w:rsidRPr="00E31804" w:rsidRDefault="00BA21B1" w:rsidP="00BA21B1">
      <w:pPr>
        <w:jc w:val="both"/>
        <w:rPr>
          <w:rFonts w:eastAsia="Times New Roman" w:cstheme="minorHAnsi"/>
          <w:sz w:val="24"/>
          <w:szCs w:val="24"/>
        </w:rPr>
      </w:pPr>
      <w:r w:rsidRPr="00E31804">
        <w:rPr>
          <w:rFonts w:eastAsia="Times New Roman" w:cstheme="minorHAnsi"/>
          <w:sz w:val="24"/>
          <w:szCs w:val="24"/>
        </w:rPr>
        <w:t>There has been a</w:t>
      </w:r>
      <w:r>
        <w:rPr>
          <w:rFonts w:eastAsia="Times New Roman" w:cstheme="minorHAnsi"/>
          <w:sz w:val="24"/>
          <w:szCs w:val="24"/>
        </w:rPr>
        <w:t xml:space="preserve"> reduction</w:t>
      </w:r>
      <w:r w:rsidRPr="00E31804">
        <w:rPr>
          <w:rFonts w:eastAsia="Times New Roman" w:cstheme="minorHAnsi"/>
          <w:sz w:val="24"/>
          <w:szCs w:val="24"/>
        </w:rPr>
        <w:t xml:space="preserve"> in the level of certified sickness absence, with the</w:t>
      </w:r>
      <w:r>
        <w:rPr>
          <w:rFonts w:eastAsia="Times New Roman" w:cstheme="minorHAnsi"/>
          <w:sz w:val="24"/>
          <w:szCs w:val="24"/>
        </w:rPr>
        <w:t xml:space="preserve"> overall</w:t>
      </w:r>
      <w:r w:rsidRPr="00E31804">
        <w:rPr>
          <w:rFonts w:eastAsia="Times New Roman" w:cstheme="minorHAnsi"/>
          <w:sz w:val="24"/>
          <w:szCs w:val="24"/>
        </w:rPr>
        <w:t xml:space="preserve"> mean average decreasing by </w:t>
      </w:r>
      <w:r>
        <w:rPr>
          <w:rFonts w:eastAsia="Times New Roman" w:cstheme="minorHAnsi"/>
          <w:sz w:val="24"/>
          <w:szCs w:val="24"/>
        </w:rPr>
        <w:t xml:space="preserve">8.27%.  When unpaid sick leave is excluded as per the figures in Table 21, the mean average reduction in certified sick leave is </w:t>
      </w:r>
      <w:r w:rsidR="00C66A6D">
        <w:rPr>
          <w:rFonts w:eastAsia="Times New Roman" w:cstheme="minorHAnsi"/>
          <w:sz w:val="24"/>
          <w:szCs w:val="24"/>
        </w:rPr>
        <w:t>20.33</w:t>
      </w:r>
      <w:r w:rsidRPr="00E31804">
        <w:rPr>
          <w:rFonts w:eastAsia="Times New Roman" w:cstheme="minorHAnsi"/>
          <w:sz w:val="24"/>
          <w:szCs w:val="24"/>
        </w:rPr>
        <w:t xml:space="preserve">%.  The percentage of working days lost due to certified </w:t>
      </w:r>
      <w:r>
        <w:rPr>
          <w:rFonts w:eastAsia="Times New Roman" w:cstheme="minorHAnsi"/>
          <w:sz w:val="24"/>
          <w:szCs w:val="24"/>
        </w:rPr>
        <w:t xml:space="preserve">paid </w:t>
      </w:r>
      <w:r w:rsidRPr="00E31804">
        <w:rPr>
          <w:rFonts w:eastAsia="Times New Roman" w:cstheme="minorHAnsi"/>
          <w:sz w:val="24"/>
          <w:szCs w:val="24"/>
        </w:rPr>
        <w:t>sick</w:t>
      </w:r>
      <w:r>
        <w:rPr>
          <w:rFonts w:eastAsia="Times New Roman" w:cstheme="minorHAnsi"/>
          <w:sz w:val="24"/>
          <w:szCs w:val="24"/>
        </w:rPr>
        <w:t xml:space="preserve"> leave</w:t>
      </w:r>
      <w:r w:rsidRPr="00E31804">
        <w:rPr>
          <w:rFonts w:eastAsia="Times New Roman" w:cstheme="minorHAnsi"/>
          <w:sz w:val="24"/>
          <w:szCs w:val="24"/>
        </w:rPr>
        <w:t xml:space="preserve"> varie</w:t>
      </w:r>
      <w:r>
        <w:rPr>
          <w:rFonts w:eastAsia="Times New Roman" w:cstheme="minorHAnsi"/>
          <w:sz w:val="24"/>
          <w:szCs w:val="24"/>
        </w:rPr>
        <w:t>d</w:t>
      </w:r>
      <w:r w:rsidRPr="00E31804">
        <w:rPr>
          <w:rFonts w:eastAsia="Times New Roman" w:cstheme="minorHAnsi"/>
          <w:sz w:val="24"/>
          <w:szCs w:val="24"/>
        </w:rPr>
        <w:t xml:space="preserve"> from 2.37% in Wicklow to 4.47% in Galway city</w:t>
      </w:r>
      <w:r>
        <w:rPr>
          <w:rFonts w:eastAsia="Times New Roman" w:cstheme="minorHAnsi"/>
          <w:sz w:val="24"/>
          <w:szCs w:val="24"/>
        </w:rPr>
        <w:t>.  The median was 3.53% and in total only 6 local authorities deviated from this median by more than 20%</w:t>
      </w:r>
      <w:r w:rsidRPr="00E31804">
        <w:rPr>
          <w:rFonts w:eastAsia="Times New Roman" w:cstheme="minorHAnsi"/>
          <w:sz w:val="24"/>
          <w:szCs w:val="24"/>
        </w:rPr>
        <w:t xml:space="preserve">. </w:t>
      </w:r>
    </w:p>
    <w:p w:rsidR="00BA21B1" w:rsidRDefault="00BA21B1" w:rsidP="00BA21B1">
      <w:pPr>
        <w:jc w:val="both"/>
        <w:rPr>
          <w:rFonts w:eastAsia="Times New Roman" w:cstheme="minorHAnsi"/>
          <w:sz w:val="24"/>
          <w:szCs w:val="24"/>
        </w:rPr>
      </w:pPr>
      <w:r w:rsidRPr="00E31804">
        <w:rPr>
          <w:rFonts w:eastAsia="Times New Roman" w:cstheme="minorHAnsi"/>
          <w:sz w:val="24"/>
          <w:szCs w:val="24"/>
        </w:rPr>
        <w:t>A new indicator has been introduced which focuses on the cost of the ICT service within local authorit</w:t>
      </w:r>
      <w:r>
        <w:rPr>
          <w:rFonts w:eastAsia="Times New Roman" w:cstheme="minorHAnsi"/>
          <w:sz w:val="24"/>
          <w:szCs w:val="24"/>
        </w:rPr>
        <w:t xml:space="preserve">ies, but, as it </w:t>
      </w:r>
      <w:r w:rsidRPr="00E31804">
        <w:rPr>
          <w:rFonts w:eastAsia="Times New Roman" w:cstheme="minorHAnsi"/>
          <w:sz w:val="24"/>
          <w:szCs w:val="24"/>
        </w:rPr>
        <w:t xml:space="preserve">is </w:t>
      </w:r>
      <w:proofErr w:type="gramStart"/>
      <w:r w:rsidRPr="00E31804">
        <w:rPr>
          <w:rFonts w:eastAsia="Times New Roman" w:cstheme="minorHAnsi"/>
          <w:sz w:val="24"/>
          <w:szCs w:val="24"/>
        </w:rPr>
        <w:t>new</w:t>
      </w:r>
      <w:r>
        <w:rPr>
          <w:rFonts w:eastAsia="Times New Roman" w:cstheme="minorHAnsi"/>
          <w:sz w:val="24"/>
          <w:szCs w:val="24"/>
        </w:rPr>
        <w:t>,</w:t>
      </w:r>
      <w:proofErr w:type="gramEnd"/>
      <w:r w:rsidRPr="00E31804">
        <w:rPr>
          <w:rFonts w:eastAsia="Times New Roman" w:cstheme="minorHAnsi"/>
          <w:sz w:val="24"/>
          <w:szCs w:val="24"/>
        </w:rPr>
        <w:t xml:space="preserve"> there is no comparator from previous years.</w:t>
      </w:r>
      <w:r>
        <w:rPr>
          <w:rFonts w:eastAsia="Times New Roman" w:cstheme="minorHAnsi"/>
          <w:sz w:val="24"/>
          <w:szCs w:val="24"/>
        </w:rPr>
        <w:t xml:space="preserve"> </w:t>
      </w:r>
      <w:r w:rsidRPr="00E31804">
        <w:rPr>
          <w:rFonts w:eastAsia="Times New Roman" w:cstheme="minorHAnsi"/>
          <w:sz w:val="24"/>
          <w:szCs w:val="24"/>
        </w:rPr>
        <w:t xml:space="preserve"> However</w:t>
      </w:r>
      <w:r>
        <w:rPr>
          <w:rFonts w:eastAsia="Times New Roman" w:cstheme="minorHAnsi"/>
          <w:sz w:val="24"/>
          <w:szCs w:val="24"/>
        </w:rPr>
        <w:t>,</w:t>
      </w:r>
      <w:r w:rsidRPr="00E31804">
        <w:rPr>
          <w:rFonts w:eastAsia="Times New Roman" w:cstheme="minorHAnsi"/>
          <w:sz w:val="24"/>
          <w:szCs w:val="24"/>
        </w:rPr>
        <w:t xml:space="preserve"> the inter-authority comparisons indicate significant variation, from </w:t>
      </w:r>
      <w:r>
        <w:rPr>
          <w:rFonts w:eastAsia="Times New Roman" w:cstheme="minorHAnsi"/>
          <w:sz w:val="24"/>
          <w:szCs w:val="24"/>
        </w:rPr>
        <w:t>less than €2,000 p</w:t>
      </w:r>
      <w:r w:rsidRPr="00E31804">
        <w:rPr>
          <w:rFonts w:eastAsia="Times New Roman" w:cstheme="minorHAnsi"/>
          <w:sz w:val="24"/>
          <w:szCs w:val="24"/>
        </w:rPr>
        <w:t xml:space="preserve">er </w:t>
      </w:r>
      <w:r>
        <w:rPr>
          <w:rFonts w:eastAsia="Times New Roman" w:cstheme="minorHAnsi"/>
          <w:sz w:val="24"/>
          <w:szCs w:val="24"/>
        </w:rPr>
        <w:t>WTE</w:t>
      </w:r>
      <w:r w:rsidRPr="00E31804">
        <w:rPr>
          <w:rFonts w:eastAsia="Times New Roman" w:cstheme="minorHAnsi"/>
          <w:sz w:val="24"/>
          <w:szCs w:val="24"/>
        </w:rPr>
        <w:t xml:space="preserve"> in Cork </w:t>
      </w:r>
      <w:proofErr w:type="gramStart"/>
      <w:r w:rsidRPr="00E31804">
        <w:rPr>
          <w:rFonts w:eastAsia="Times New Roman" w:cstheme="minorHAnsi"/>
          <w:sz w:val="24"/>
          <w:szCs w:val="24"/>
        </w:rPr>
        <w:t>county</w:t>
      </w:r>
      <w:proofErr w:type="gramEnd"/>
      <w:r w:rsidRPr="00E31804">
        <w:rPr>
          <w:rFonts w:eastAsia="Times New Roman" w:cstheme="minorHAnsi"/>
          <w:sz w:val="24"/>
          <w:szCs w:val="24"/>
        </w:rPr>
        <w:t xml:space="preserve"> to more than €4</w:t>
      </w:r>
      <w:r>
        <w:rPr>
          <w:rFonts w:eastAsia="Times New Roman" w:cstheme="minorHAnsi"/>
          <w:sz w:val="24"/>
          <w:szCs w:val="24"/>
        </w:rPr>
        <w:t>,</w:t>
      </w:r>
      <w:r w:rsidRPr="00E31804">
        <w:rPr>
          <w:rFonts w:eastAsia="Times New Roman" w:cstheme="minorHAnsi"/>
          <w:sz w:val="24"/>
          <w:szCs w:val="24"/>
        </w:rPr>
        <w:t xml:space="preserve">000 in Leitrim. </w:t>
      </w:r>
      <w:r>
        <w:rPr>
          <w:rFonts w:eastAsia="Times New Roman" w:cstheme="minorHAnsi"/>
          <w:sz w:val="24"/>
          <w:szCs w:val="24"/>
        </w:rPr>
        <w:t xml:space="preserve"> The median expenditure was €2,913.  </w:t>
      </w:r>
      <w:r w:rsidRPr="00E31804">
        <w:rPr>
          <w:rFonts w:eastAsia="Times New Roman" w:cstheme="minorHAnsi"/>
          <w:sz w:val="24"/>
          <w:szCs w:val="24"/>
        </w:rPr>
        <w:t xml:space="preserve">Further analysis of comparable authorities may identify scope for learning to increase efficiency. </w:t>
      </w:r>
      <w:r>
        <w:rPr>
          <w:rFonts w:eastAsia="Times New Roman" w:cstheme="minorHAnsi"/>
          <w:sz w:val="24"/>
          <w:szCs w:val="24"/>
        </w:rPr>
        <w:t xml:space="preserve"> </w:t>
      </w:r>
    </w:p>
    <w:p w:rsidR="00BA21B1" w:rsidRDefault="00BA21B1" w:rsidP="00BA21B1">
      <w:pPr>
        <w:spacing w:after="0"/>
        <w:jc w:val="both"/>
        <w:rPr>
          <w:rFonts w:cs="Calibri"/>
          <w:bCs/>
          <w:sz w:val="24"/>
          <w:szCs w:val="24"/>
        </w:rPr>
      </w:pPr>
      <w:r>
        <w:rPr>
          <w:rFonts w:eastAsia="Times New Roman" w:cstheme="minorHAnsi"/>
          <w:sz w:val="24"/>
          <w:szCs w:val="24"/>
        </w:rPr>
        <w:t>Another new indicator for 2014 was the</w:t>
      </w:r>
      <w:r w:rsidRPr="00225C77">
        <w:rPr>
          <w:rFonts w:cs="Calibri"/>
          <w:bCs/>
          <w:sz w:val="24"/>
          <w:szCs w:val="24"/>
        </w:rPr>
        <w:t xml:space="preserve"> number of page visits to the local authority website </w:t>
      </w:r>
      <w:r>
        <w:rPr>
          <w:rFonts w:cs="Calibri"/>
          <w:bCs/>
          <w:sz w:val="24"/>
          <w:szCs w:val="24"/>
        </w:rPr>
        <w:t>an</w:t>
      </w:r>
      <w:r w:rsidRPr="00225C77">
        <w:rPr>
          <w:rFonts w:cs="Calibri"/>
          <w:bCs/>
          <w:sz w:val="24"/>
          <w:szCs w:val="24"/>
        </w:rPr>
        <w:t>d it transpired that not all local authority websites were accessing a web site analytics service last year</w:t>
      </w:r>
      <w:r>
        <w:rPr>
          <w:rFonts w:cs="Calibri"/>
          <w:bCs/>
          <w:sz w:val="24"/>
          <w:szCs w:val="24"/>
        </w:rPr>
        <w:t>,</w:t>
      </w:r>
      <w:r w:rsidRPr="00225C77">
        <w:rPr>
          <w:rFonts w:cs="Calibri"/>
          <w:bCs/>
          <w:sz w:val="24"/>
          <w:szCs w:val="24"/>
        </w:rPr>
        <w:t xml:space="preserve"> so the information was incomplete or absent in respect of  5 authorities.</w:t>
      </w:r>
      <w:r>
        <w:rPr>
          <w:rFonts w:cs="Calibri"/>
          <w:bCs/>
          <w:sz w:val="24"/>
          <w:szCs w:val="24"/>
        </w:rPr>
        <w:t xml:space="preserve">  Given the scope to improve customer service and efficiency through greater use of the internet, it would be desirable that this data is gathered to assess trends in the future.</w:t>
      </w:r>
    </w:p>
    <w:p w:rsidR="00BA21B1" w:rsidRPr="00E31804" w:rsidRDefault="00BA21B1" w:rsidP="00BA21B1">
      <w:pPr>
        <w:spacing w:after="0"/>
        <w:jc w:val="both"/>
        <w:rPr>
          <w:rFonts w:eastAsia="Times New Roman" w:cstheme="minorHAnsi"/>
          <w:b/>
          <w:sz w:val="24"/>
          <w:szCs w:val="24"/>
        </w:rPr>
      </w:pPr>
      <w:r w:rsidRPr="00E31804">
        <w:rPr>
          <w:rFonts w:eastAsia="Times New Roman" w:cstheme="minorHAnsi"/>
          <w:b/>
          <w:sz w:val="24"/>
          <w:szCs w:val="24"/>
        </w:rPr>
        <w:lastRenderedPageBreak/>
        <w:t xml:space="preserve">Financial </w:t>
      </w:r>
      <w:r w:rsidR="00D07CC8">
        <w:rPr>
          <w:rFonts w:eastAsia="Times New Roman" w:cstheme="minorHAnsi"/>
          <w:b/>
          <w:sz w:val="24"/>
          <w:szCs w:val="24"/>
        </w:rPr>
        <w:t>P</w:t>
      </w:r>
      <w:r w:rsidRPr="00E31804">
        <w:rPr>
          <w:rFonts w:eastAsia="Times New Roman" w:cstheme="minorHAnsi"/>
          <w:b/>
          <w:sz w:val="24"/>
          <w:szCs w:val="24"/>
        </w:rPr>
        <w:t>erformance</w:t>
      </w:r>
    </w:p>
    <w:p w:rsidR="00BA21B1" w:rsidRPr="00E31804" w:rsidRDefault="00BA21B1" w:rsidP="00BA21B1">
      <w:pPr>
        <w:spacing w:after="0"/>
        <w:jc w:val="both"/>
        <w:rPr>
          <w:rFonts w:eastAsia="Times New Roman" w:cstheme="minorHAnsi"/>
          <w:sz w:val="24"/>
          <w:szCs w:val="24"/>
        </w:rPr>
      </w:pPr>
      <w:r w:rsidRPr="00E31804">
        <w:rPr>
          <w:rFonts w:eastAsia="Times New Roman" w:cstheme="minorHAnsi"/>
          <w:sz w:val="24"/>
          <w:szCs w:val="24"/>
        </w:rPr>
        <w:t xml:space="preserve">A new set of indicators of the </w:t>
      </w:r>
      <w:r>
        <w:rPr>
          <w:rFonts w:eastAsia="Times New Roman" w:cstheme="minorHAnsi"/>
          <w:sz w:val="24"/>
          <w:szCs w:val="24"/>
        </w:rPr>
        <w:t>r</w:t>
      </w:r>
      <w:r w:rsidRPr="00E31804">
        <w:rPr>
          <w:rFonts w:eastAsia="Times New Roman" w:cstheme="minorHAnsi"/>
          <w:sz w:val="24"/>
          <w:szCs w:val="24"/>
        </w:rPr>
        <w:t xml:space="preserve">evenue </w:t>
      </w:r>
      <w:r>
        <w:rPr>
          <w:rFonts w:eastAsia="Times New Roman" w:cstheme="minorHAnsi"/>
          <w:sz w:val="24"/>
          <w:szCs w:val="24"/>
        </w:rPr>
        <w:t>a</w:t>
      </w:r>
      <w:r w:rsidRPr="00E31804">
        <w:rPr>
          <w:rFonts w:eastAsia="Times New Roman" w:cstheme="minorHAnsi"/>
          <w:sz w:val="24"/>
          <w:szCs w:val="24"/>
        </w:rPr>
        <w:t>ccount balances of local authorities</w:t>
      </w:r>
      <w:r>
        <w:rPr>
          <w:rFonts w:eastAsia="Times New Roman" w:cstheme="minorHAnsi"/>
          <w:sz w:val="24"/>
          <w:szCs w:val="24"/>
        </w:rPr>
        <w:t xml:space="preserve">, </w:t>
      </w:r>
      <w:r>
        <w:rPr>
          <w:rFonts w:cs="Calibri"/>
          <w:bCs/>
          <w:sz w:val="24"/>
          <w:szCs w:val="24"/>
        </w:rPr>
        <w:t>adjusted to include the figures relating to the abolished rating town and borough councils (relevant to 21 of the authorities),</w:t>
      </w:r>
      <w:r w:rsidRPr="00E31804">
        <w:rPr>
          <w:rFonts w:eastAsia="Times New Roman" w:cstheme="minorHAnsi"/>
          <w:sz w:val="24"/>
          <w:szCs w:val="24"/>
        </w:rPr>
        <w:t xml:space="preserve"> provides information </w:t>
      </w:r>
      <w:r>
        <w:rPr>
          <w:rFonts w:eastAsia="Times New Roman" w:cstheme="minorHAnsi"/>
          <w:sz w:val="24"/>
          <w:szCs w:val="24"/>
        </w:rPr>
        <w:t xml:space="preserve">at Table 22 </w:t>
      </w:r>
      <w:r w:rsidRPr="00E31804">
        <w:rPr>
          <w:rFonts w:eastAsia="Times New Roman" w:cstheme="minorHAnsi"/>
          <w:sz w:val="24"/>
          <w:szCs w:val="24"/>
        </w:rPr>
        <w:t>on the trends in the balances over the five years from 2010 to 2014, a challenging period for local government and the broader public service.</w:t>
      </w:r>
      <w:r>
        <w:rPr>
          <w:rFonts w:eastAsia="Times New Roman" w:cstheme="minorHAnsi"/>
          <w:sz w:val="24"/>
          <w:szCs w:val="24"/>
        </w:rPr>
        <w:t xml:space="preserve"> </w:t>
      </w:r>
      <w:r w:rsidRPr="00E31804">
        <w:rPr>
          <w:rFonts w:eastAsia="Times New Roman" w:cstheme="minorHAnsi"/>
          <w:sz w:val="24"/>
          <w:szCs w:val="24"/>
        </w:rPr>
        <w:t xml:space="preserve"> The overall revenue account </w:t>
      </w:r>
      <w:r>
        <w:rPr>
          <w:rFonts w:eastAsia="Times New Roman" w:cstheme="minorHAnsi"/>
          <w:sz w:val="24"/>
          <w:szCs w:val="24"/>
        </w:rPr>
        <w:t xml:space="preserve">credit </w:t>
      </w:r>
      <w:r w:rsidRPr="00E31804">
        <w:rPr>
          <w:rFonts w:eastAsia="Times New Roman" w:cstheme="minorHAnsi"/>
          <w:sz w:val="24"/>
          <w:szCs w:val="24"/>
        </w:rPr>
        <w:t>balance for the sector is €</w:t>
      </w:r>
      <w:r>
        <w:rPr>
          <w:rFonts w:eastAsia="Times New Roman" w:cstheme="minorHAnsi"/>
          <w:sz w:val="24"/>
          <w:szCs w:val="24"/>
        </w:rPr>
        <w:t>3,361,659</w:t>
      </w:r>
      <w:r w:rsidRPr="00E31804">
        <w:rPr>
          <w:rFonts w:eastAsia="Times New Roman" w:cstheme="minorHAnsi"/>
          <w:sz w:val="24"/>
          <w:szCs w:val="24"/>
        </w:rPr>
        <w:t xml:space="preserve">, showing </w:t>
      </w:r>
      <w:proofErr w:type="gramStart"/>
      <w:r w:rsidRPr="00E31804">
        <w:rPr>
          <w:rFonts w:eastAsia="Times New Roman" w:cstheme="minorHAnsi"/>
          <w:sz w:val="24"/>
          <w:szCs w:val="24"/>
        </w:rPr>
        <w:t>a deterioration</w:t>
      </w:r>
      <w:proofErr w:type="gramEnd"/>
      <w:r w:rsidRPr="00E31804">
        <w:rPr>
          <w:rFonts w:eastAsia="Times New Roman" w:cstheme="minorHAnsi"/>
          <w:sz w:val="24"/>
          <w:szCs w:val="24"/>
        </w:rPr>
        <w:t xml:space="preserve"> from 2010 of €</w:t>
      </w:r>
      <w:r>
        <w:rPr>
          <w:rFonts w:eastAsia="Times New Roman" w:cstheme="minorHAnsi"/>
          <w:sz w:val="24"/>
          <w:szCs w:val="24"/>
        </w:rPr>
        <w:t>30,928,280</w:t>
      </w:r>
      <w:r w:rsidRPr="00E31804">
        <w:rPr>
          <w:rFonts w:eastAsia="Times New Roman" w:cstheme="minorHAnsi"/>
          <w:sz w:val="24"/>
          <w:szCs w:val="24"/>
        </w:rPr>
        <w:t xml:space="preserve">. </w:t>
      </w:r>
      <w:r>
        <w:rPr>
          <w:rFonts w:eastAsia="Times New Roman" w:cstheme="minorHAnsi"/>
          <w:sz w:val="24"/>
          <w:szCs w:val="24"/>
        </w:rPr>
        <w:t xml:space="preserve"> </w:t>
      </w:r>
      <w:r w:rsidRPr="00E31804">
        <w:rPr>
          <w:rFonts w:eastAsia="Times New Roman" w:cstheme="minorHAnsi"/>
          <w:sz w:val="24"/>
          <w:szCs w:val="24"/>
        </w:rPr>
        <w:t>A total of 1</w:t>
      </w:r>
      <w:r>
        <w:rPr>
          <w:rFonts w:eastAsia="Times New Roman" w:cstheme="minorHAnsi"/>
          <w:sz w:val="24"/>
          <w:szCs w:val="24"/>
        </w:rPr>
        <w:t>4</w:t>
      </w:r>
      <w:r w:rsidRPr="00E31804">
        <w:rPr>
          <w:rFonts w:eastAsia="Times New Roman" w:cstheme="minorHAnsi"/>
          <w:sz w:val="24"/>
          <w:szCs w:val="24"/>
        </w:rPr>
        <w:t xml:space="preserve"> authorities show a surplus and 17 are in a deficit situation. </w:t>
      </w:r>
      <w:r>
        <w:rPr>
          <w:rFonts w:eastAsia="Times New Roman" w:cstheme="minorHAnsi"/>
          <w:sz w:val="24"/>
          <w:szCs w:val="24"/>
        </w:rPr>
        <w:t>The deterioration is significant in the case of a</w:t>
      </w:r>
      <w:r w:rsidRPr="00E31804">
        <w:rPr>
          <w:rFonts w:eastAsia="Times New Roman" w:cstheme="minorHAnsi"/>
          <w:sz w:val="24"/>
          <w:szCs w:val="24"/>
        </w:rPr>
        <w:t xml:space="preserve"> small number of authorities</w:t>
      </w:r>
      <w:r>
        <w:rPr>
          <w:rFonts w:eastAsia="Times New Roman" w:cstheme="minorHAnsi"/>
          <w:sz w:val="24"/>
          <w:szCs w:val="24"/>
        </w:rPr>
        <w:t xml:space="preserve"> and the 5 authorities with the most adverse balances (exceeding €5m) are Donegal, Mayo, Sligo, Waterford and Wexford, of which Sligo has the most negative balance of -€26m</w:t>
      </w:r>
      <w:r w:rsidRPr="00E31804">
        <w:rPr>
          <w:rFonts w:eastAsia="Times New Roman" w:cstheme="minorHAnsi"/>
          <w:sz w:val="24"/>
          <w:szCs w:val="24"/>
        </w:rPr>
        <w:t>.</w:t>
      </w:r>
      <w:r>
        <w:rPr>
          <w:rFonts w:eastAsia="Times New Roman" w:cstheme="minorHAnsi"/>
          <w:sz w:val="24"/>
          <w:szCs w:val="24"/>
        </w:rPr>
        <w:t xml:space="preserve"> </w:t>
      </w:r>
      <w:r w:rsidRPr="00E31804">
        <w:rPr>
          <w:rFonts w:eastAsia="Times New Roman" w:cstheme="minorHAnsi"/>
          <w:sz w:val="24"/>
          <w:szCs w:val="24"/>
        </w:rPr>
        <w:t xml:space="preserve"> While some </w:t>
      </w:r>
      <w:r>
        <w:rPr>
          <w:rFonts w:eastAsia="Times New Roman" w:cstheme="minorHAnsi"/>
          <w:sz w:val="24"/>
          <w:szCs w:val="24"/>
        </w:rPr>
        <w:t xml:space="preserve">of these </w:t>
      </w:r>
      <w:r w:rsidRPr="00E31804">
        <w:rPr>
          <w:rFonts w:eastAsia="Times New Roman" w:cstheme="minorHAnsi"/>
          <w:sz w:val="24"/>
          <w:szCs w:val="24"/>
        </w:rPr>
        <w:t xml:space="preserve">authorities have made progress on arresting the worsening situation, a small number continue to be a cause of concern.  </w:t>
      </w:r>
      <w:r>
        <w:rPr>
          <w:rFonts w:eastAsia="Times New Roman" w:cstheme="minorHAnsi"/>
          <w:sz w:val="24"/>
          <w:szCs w:val="24"/>
        </w:rPr>
        <w:t xml:space="preserve">In contrast, Dublin City’s surplus increased by 71% from 2013 to its 2014 level of €28.35m.  </w:t>
      </w:r>
      <w:proofErr w:type="spellStart"/>
      <w:r>
        <w:rPr>
          <w:rFonts w:eastAsia="Times New Roman" w:cstheme="minorHAnsi"/>
          <w:sz w:val="24"/>
          <w:szCs w:val="24"/>
        </w:rPr>
        <w:t>Fingal</w:t>
      </w:r>
      <w:proofErr w:type="spellEnd"/>
      <w:r>
        <w:rPr>
          <w:rFonts w:eastAsia="Times New Roman" w:cstheme="minorHAnsi"/>
          <w:sz w:val="24"/>
          <w:szCs w:val="24"/>
        </w:rPr>
        <w:t xml:space="preserve">, South Dublin and Cork </w:t>
      </w:r>
      <w:r w:rsidR="00A01E92">
        <w:rPr>
          <w:rFonts w:eastAsia="Times New Roman" w:cstheme="minorHAnsi"/>
          <w:sz w:val="24"/>
          <w:szCs w:val="24"/>
        </w:rPr>
        <w:t>C</w:t>
      </w:r>
      <w:r>
        <w:rPr>
          <w:rFonts w:eastAsia="Times New Roman" w:cstheme="minorHAnsi"/>
          <w:sz w:val="24"/>
          <w:szCs w:val="24"/>
        </w:rPr>
        <w:t xml:space="preserve">ounty also showed a surplus of more than €10m at the end of 2014.  </w:t>
      </w:r>
      <w:r>
        <w:rPr>
          <w:rFonts w:cs="Calibri"/>
          <w:bCs/>
          <w:sz w:val="24"/>
          <w:szCs w:val="24"/>
        </w:rPr>
        <w:t>Westmeath moved from a deficit of around €1m per annum to a small surplus in 2014 and Clare, Kilkenny and Longford all significantly reduced their deficits in 2014.</w:t>
      </w:r>
      <w:r>
        <w:rPr>
          <w:rFonts w:eastAsia="Times New Roman" w:cstheme="minorHAnsi"/>
          <w:sz w:val="24"/>
          <w:szCs w:val="24"/>
        </w:rPr>
        <w:t xml:space="preserve"> </w:t>
      </w:r>
      <w:r w:rsidRPr="00E31804">
        <w:rPr>
          <w:rFonts w:eastAsia="Times New Roman" w:cstheme="minorHAnsi"/>
          <w:sz w:val="24"/>
          <w:szCs w:val="24"/>
        </w:rPr>
        <w:t xml:space="preserve">NOAC </w:t>
      </w:r>
      <w:r>
        <w:rPr>
          <w:rFonts w:eastAsia="Times New Roman" w:cstheme="minorHAnsi"/>
          <w:sz w:val="24"/>
          <w:szCs w:val="24"/>
        </w:rPr>
        <w:t xml:space="preserve">is undertaking </w:t>
      </w:r>
      <w:r w:rsidRPr="00E31804">
        <w:rPr>
          <w:rFonts w:eastAsia="Times New Roman" w:cstheme="minorHAnsi"/>
          <w:sz w:val="24"/>
          <w:szCs w:val="24"/>
        </w:rPr>
        <w:t xml:space="preserve">a more in-depth analysis of the underlying issues associated with revenue account deficits. </w:t>
      </w:r>
    </w:p>
    <w:p w:rsidR="00BA21B1" w:rsidRDefault="00BA21B1" w:rsidP="00BA21B1">
      <w:pPr>
        <w:spacing w:after="0"/>
        <w:jc w:val="both"/>
        <w:rPr>
          <w:rFonts w:eastAsia="Times New Roman" w:cstheme="minorHAnsi"/>
          <w:sz w:val="24"/>
          <w:szCs w:val="24"/>
        </w:rPr>
      </w:pPr>
    </w:p>
    <w:p w:rsidR="00BA21B1" w:rsidRPr="00E31804" w:rsidRDefault="00BA21B1" w:rsidP="00BA21B1">
      <w:pPr>
        <w:spacing w:after="0"/>
        <w:jc w:val="both"/>
        <w:rPr>
          <w:rFonts w:eastAsia="Times New Roman" w:cstheme="minorHAnsi"/>
          <w:sz w:val="24"/>
          <w:szCs w:val="24"/>
        </w:rPr>
      </w:pPr>
      <w:r w:rsidRPr="00E31804">
        <w:rPr>
          <w:rFonts w:eastAsia="Times New Roman" w:cstheme="minorHAnsi"/>
          <w:sz w:val="24"/>
          <w:szCs w:val="24"/>
        </w:rPr>
        <w:t>The collection of revenue is an important element in the financing of local authorities</w:t>
      </w:r>
      <w:r>
        <w:rPr>
          <w:rFonts w:eastAsia="Times New Roman" w:cstheme="minorHAnsi"/>
          <w:sz w:val="24"/>
          <w:szCs w:val="24"/>
        </w:rPr>
        <w:t xml:space="preserve"> and collection rates over the period 2010 to 2014 for rates, rents and annuities and housing loans are included in Tables 23 to 25</w:t>
      </w:r>
      <w:r w:rsidRPr="00E31804">
        <w:rPr>
          <w:rFonts w:eastAsia="Times New Roman" w:cstheme="minorHAnsi"/>
          <w:sz w:val="24"/>
          <w:szCs w:val="24"/>
        </w:rPr>
        <w:t>.</w:t>
      </w:r>
      <w:r>
        <w:rPr>
          <w:rFonts w:eastAsia="Times New Roman" w:cstheme="minorHAnsi"/>
          <w:sz w:val="24"/>
          <w:szCs w:val="24"/>
        </w:rPr>
        <w:t xml:space="preserve"> </w:t>
      </w:r>
      <w:r w:rsidRPr="00E31804">
        <w:rPr>
          <w:rFonts w:eastAsia="Times New Roman" w:cstheme="minorHAnsi"/>
          <w:sz w:val="24"/>
          <w:szCs w:val="24"/>
        </w:rPr>
        <w:t xml:space="preserve"> Collection levels for rates in 2014 varied from a high of 92% i</w:t>
      </w:r>
      <w:r>
        <w:rPr>
          <w:rFonts w:eastAsia="Times New Roman" w:cstheme="minorHAnsi"/>
          <w:sz w:val="24"/>
          <w:szCs w:val="24"/>
        </w:rPr>
        <w:t>n</w:t>
      </w:r>
      <w:r w:rsidRPr="00E31804">
        <w:rPr>
          <w:rFonts w:eastAsia="Times New Roman" w:cstheme="minorHAnsi"/>
          <w:sz w:val="24"/>
          <w:szCs w:val="24"/>
        </w:rPr>
        <w:t xml:space="preserve"> </w:t>
      </w:r>
      <w:proofErr w:type="spellStart"/>
      <w:r w:rsidRPr="00E31804">
        <w:rPr>
          <w:rFonts w:eastAsia="Times New Roman" w:cstheme="minorHAnsi"/>
          <w:sz w:val="24"/>
          <w:szCs w:val="24"/>
        </w:rPr>
        <w:t>Fingal</w:t>
      </w:r>
      <w:proofErr w:type="spellEnd"/>
      <w:r w:rsidRPr="00E31804">
        <w:rPr>
          <w:rFonts w:eastAsia="Times New Roman" w:cstheme="minorHAnsi"/>
          <w:sz w:val="24"/>
          <w:szCs w:val="24"/>
        </w:rPr>
        <w:t xml:space="preserve"> to low</w:t>
      </w:r>
      <w:r>
        <w:rPr>
          <w:rFonts w:eastAsia="Times New Roman" w:cstheme="minorHAnsi"/>
          <w:sz w:val="24"/>
          <w:szCs w:val="24"/>
        </w:rPr>
        <w:t>s</w:t>
      </w:r>
      <w:r w:rsidRPr="00E31804">
        <w:rPr>
          <w:rFonts w:eastAsia="Times New Roman" w:cstheme="minorHAnsi"/>
          <w:sz w:val="24"/>
          <w:szCs w:val="24"/>
        </w:rPr>
        <w:t xml:space="preserve"> of 56% in </w:t>
      </w:r>
      <w:r>
        <w:rPr>
          <w:rFonts w:eastAsia="Times New Roman" w:cstheme="minorHAnsi"/>
          <w:sz w:val="24"/>
          <w:szCs w:val="24"/>
        </w:rPr>
        <w:t xml:space="preserve">Donegal and </w:t>
      </w:r>
      <w:r w:rsidRPr="00E31804">
        <w:rPr>
          <w:rFonts w:eastAsia="Times New Roman" w:cstheme="minorHAnsi"/>
          <w:sz w:val="24"/>
          <w:szCs w:val="24"/>
        </w:rPr>
        <w:t xml:space="preserve">Louth, with a median level of 72%.  NOAC is carrying out a review of rate collection performance to better understand the contributory factors. </w:t>
      </w:r>
      <w:r>
        <w:rPr>
          <w:rFonts w:eastAsia="Times New Roman" w:cstheme="minorHAnsi"/>
          <w:sz w:val="24"/>
          <w:szCs w:val="24"/>
        </w:rPr>
        <w:t xml:space="preserve"> </w:t>
      </w:r>
      <w:r w:rsidRPr="00E31804">
        <w:rPr>
          <w:rFonts w:eastAsia="Times New Roman" w:cstheme="minorHAnsi"/>
          <w:sz w:val="24"/>
          <w:szCs w:val="24"/>
        </w:rPr>
        <w:t xml:space="preserve">Median housing rent </w:t>
      </w:r>
      <w:r>
        <w:rPr>
          <w:rFonts w:eastAsia="Times New Roman" w:cstheme="minorHAnsi"/>
          <w:sz w:val="24"/>
          <w:szCs w:val="24"/>
        </w:rPr>
        <w:t xml:space="preserve">and annuity </w:t>
      </w:r>
      <w:r w:rsidRPr="00E31804">
        <w:rPr>
          <w:rFonts w:eastAsia="Times New Roman" w:cstheme="minorHAnsi"/>
          <w:sz w:val="24"/>
          <w:szCs w:val="24"/>
        </w:rPr>
        <w:t xml:space="preserve">collection levels in 2014 amounted to 87%, with </w:t>
      </w:r>
      <w:r>
        <w:rPr>
          <w:rFonts w:eastAsia="Times New Roman" w:cstheme="minorHAnsi"/>
          <w:sz w:val="24"/>
          <w:szCs w:val="24"/>
        </w:rPr>
        <w:t xml:space="preserve">the </w:t>
      </w:r>
      <w:r w:rsidRPr="00E31804">
        <w:rPr>
          <w:rFonts w:eastAsia="Times New Roman" w:cstheme="minorHAnsi"/>
          <w:sz w:val="24"/>
          <w:szCs w:val="24"/>
        </w:rPr>
        <w:t>high</w:t>
      </w:r>
      <w:r>
        <w:rPr>
          <w:rFonts w:eastAsia="Times New Roman" w:cstheme="minorHAnsi"/>
          <w:sz w:val="24"/>
          <w:szCs w:val="24"/>
        </w:rPr>
        <w:t>est</w:t>
      </w:r>
      <w:r w:rsidRPr="00E31804">
        <w:rPr>
          <w:rFonts w:eastAsia="Times New Roman" w:cstheme="minorHAnsi"/>
          <w:sz w:val="24"/>
          <w:szCs w:val="24"/>
        </w:rPr>
        <w:t xml:space="preserve"> performance in </w:t>
      </w:r>
      <w:r>
        <w:rPr>
          <w:rFonts w:eastAsia="Times New Roman" w:cstheme="minorHAnsi"/>
          <w:sz w:val="24"/>
          <w:szCs w:val="24"/>
        </w:rPr>
        <w:t>Laois and Monaghan at</w:t>
      </w:r>
      <w:r w:rsidRPr="00E31804">
        <w:rPr>
          <w:rFonts w:eastAsia="Times New Roman" w:cstheme="minorHAnsi"/>
          <w:sz w:val="24"/>
          <w:szCs w:val="24"/>
        </w:rPr>
        <w:t xml:space="preserve"> 9</w:t>
      </w:r>
      <w:r>
        <w:rPr>
          <w:rFonts w:eastAsia="Times New Roman" w:cstheme="minorHAnsi"/>
          <w:sz w:val="24"/>
          <w:szCs w:val="24"/>
        </w:rPr>
        <w:t>5</w:t>
      </w:r>
      <w:r w:rsidRPr="00E31804">
        <w:rPr>
          <w:rFonts w:eastAsia="Times New Roman" w:cstheme="minorHAnsi"/>
          <w:sz w:val="24"/>
          <w:szCs w:val="24"/>
        </w:rPr>
        <w:t>%</w:t>
      </w:r>
      <w:r>
        <w:rPr>
          <w:rFonts w:eastAsia="Times New Roman" w:cstheme="minorHAnsi"/>
          <w:sz w:val="24"/>
          <w:szCs w:val="24"/>
        </w:rPr>
        <w:t xml:space="preserve"> and the lowest in South Dublin at 73%</w:t>
      </w:r>
      <w:r w:rsidRPr="00E31804">
        <w:rPr>
          <w:rFonts w:eastAsia="Times New Roman" w:cstheme="minorHAnsi"/>
          <w:sz w:val="24"/>
          <w:szCs w:val="24"/>
        </w:rPr>
        <w:t xml:space="preserve">.  Median housing loan collection levels show </w:t>
      </w:r>
      <w:proofErr w:type="gramStart"/>
      <w:r w:rsidRPr="00E31804">
        <w:rPr>
          <w:rFonts w:eastAsia="Times New Roman" w:cstheme="minorHAnsi"/>
          <w:sz w:val="24"/>
          <w:szCs w:val="24"/>
        </w:rPr>
        <w:t>a deterioration</w:t>
      </w:r>
      <w:proofErr w:type="gramEnd"/>
      <w:r w:rsidRPr="00E31804">
        <w:rPr>
          <w:rFonts w:eastAsia="Times New Roman" w:cstheme="minorHAnsi"/>
          <w:sz w:val="24"/>
          <w:szCs w:val="24"/>
        </w:rPr>
        <w:t xml:space="preserve"> from 80% in 2010 to 65%</w:t>
      </w:r>
      <w:r>
        <w:rPr>
          <w:rFonts w:eastAsia="Times New Roman" w:cstheme="minorHAnsi"/>
          <w:sz w:val="24"/>
          <w:szCs w:val="24"/>
        </w:rPr>
        <w:t xml:space="preserve"> in 2014 and the outliers for this indicator were </w:t>
      </w:r>
      <w:proofErr w:type="spellStart"/>
      <w:r>
        <w:rPr>
          <w:rFonts w:eastAsia="Times New Roman" w:cstheme="minorHAnsi"/>
          <w:sz w:val="24"/>
          <w:szCs w:val="24"/>
        </w:rPr>
        <w:t>Fingal</w:t>
      </w:r>
      <w:proofErr w:type="spellEnd"/>
      <w:r>
        <w:rPr>
          <w:rFonts w:eastAsia="Times New Roman" w:cstheme="minorHAnsi"/>
          <w:sz w:val="24"/>
          <w:szCs w:val="24"/>
        </w:rPr>
        <w:t xml:space="preserve"> at 98% and Kildare and Sligo at 42% and 46% respectively</w:t>
      </w:r>
      <w:r w:rsidRPr="00E31804">
        <w:rPr>
          <w:rFonts w:eastAsia="Times New Roman" w:cstheme="minorHAnsi"/>
          <w:sz w:val="24"/>
          <w:szCs w:val="24"/>
        </w:rPr>
        <w:t xml:space="preserve">.  </w:t>
      </w:r>
    </w:p>
    <w:p w:rsidR="00BA21B1" w:rsidRDefault="00BA21B1" w:rsidP="00BA21B1">
      <w:pPr>
        <w:rPr>
          <w:rFonts w:eastAsia="Times New Roman" w:cstheme="minorHAnsi"/>
          <w:sz w:val="24"/>
          <w:szCs w:val="24"/>
          <w:lang w:eastAsia="en-IE"/>
        </w:rPr>
      </w:pPr>
      <w:r>
        <w:rPr>
          <w:rFonts w:eastAsia="Times New Roman" w:cstheme="minorHAnsi"/>
          <w:sz w:val="24"/>
          <w:szCs w:val="24"/>
          <w:lang w:eastAsia="en-IE"/>
        </w:rPr>
        <w:br w:type="page"/>
      </w:r>
    </w:p>
    <w:p w:rsidR="00BA21B1" w:rsidRDefault="00BA21B1" w:rsidP="00BA21B1">
      <w:pPr>
        <w:jc w:val="both"/>
        <w:rPr>
          <w:rFonts w:eastAsia="Times New Roman" w:cstheme="minorHAnsi"/>
          <w:b/>
          <w:sz w:val="28"/>
          <w:szCs w:val="28"/>
          <w:lang w:eastAsia="en-IE"/>
        </w:rPr>
      </w:pPr>
      <w:r w:rsidRPr="00C248D2">
        <w:rPr>
          <w:rFonts w:eastAsia="Times New Roman" w:cstheme="minorHAnsi"/>
          <w:b/>
          <w:sz w:val="28"/>
          <w:szCs w:val="28"/>
          <w:lang w:eastAsia="en-IE"/>
        </w:rPr>
        <w:lastRenderedPageBreak/>
        <w:t>Conclusions and Recommendations</w:t>
      </w:r>
    </w:p>
    <w:p w:rsidR="00BA21B1" w:rsidRPr="00EB614A" w:rsidRDefault="00BA21B1" w:rsidP="00BA21B1">
      <w:pPr>
        <w:jc w:val="both"/>
        <w:rPr>
          <w:rFonts w:eastAsia="Times New Roman" w:cstheme="minorHAnsi"/>
          <w:sz w:val="24"/>
          <w:szCs w:val="24"/>
          <w:u w:val="single"/>
          <w:lang w:eastAsia="en-IE"/>
        </w:rPr>
      </w:pPr>
      <w:r w:rsidRPr="00EB614A">
        <w:rPr>
          <w:rFonts w:eastAsia="Times New Roman" w:cstheme="minorHAnsi"/>
          <w:sz w:val="24"/>
          <w:szCs w:val="24"/>
          <w:u w:val="single"/>
          <w:lang w:eastAsia="en-IE"/>
        </w:rPr>
        <w:t>Conclusions</w:t>
      </w:r>
    </w:p>
    <w:p w:rsidR="00BA21B1" w:rsidRPr="00EB1981" w:rsidRDefault="00BA21B1" w:rsidP="00BA21B1">
      <w:pPr>
        <w:jc w:val="both"/>
        <w:rPr>
          <w:rFonts w:eastAsia="Times New Roman" w:cs="Calibri"/>
          <w:sz w:val="24"/>
          <w:szCs w:val="24"/>
          <w:lang w:eastAsia="en-IE"/>
        </w:rPr>
      </w:pPr>
      <w:r>
        <w:rPr>
          <w:rFonts w:eastAsia="Times New Roman" w:cs="Calibri"/>
          <w:sz w:val="24"/>
          <w:szCs w:val="24"/>
          <w:lang w:eastAsia="en-IE"/>
        </w:rPr>
        <w:t>T</w:t>
      </w:r>
      <w:r w:rsidRPr="00EB1981">
        <w:rPr>
          <w:rFonts w:eastAsia="Times New Roman" w:cs="Calibri"/>
          <w:sz w:val="24"/>
          <w:szCs w:val="24"/>
          <w:lang w:eastAsia="en-IE"/>
        </w:rPr>
        <w:t xml:space="preserve">he core purpose of the </w:t>
      </w:r>
      <w:r>
        <w:rPr>
          <w:rFonts w:eastAsia="Times New Roman" w:cs="Calibri"/>
          <w:sz w:val="24"/>
          <w:szCs w:val="24"/>
          <w:lang w:eastAsia="en-IE"/>
        </w:rPr>
        <w:t>performance</w:t>
      </w:r>
      <w:r w:rsidRPr="00EB1981">
        <w:rPr>
          <w:rFonts w:eastAsia="Times New Roman" w:cs="Calibri"/>
          <w:sz w:val="24"/>
          <w:szCs w:val="24"/>
          <w:lang w:eastAsia="en-IE"/>
        </w:rPr>
        <w:t xml:space="preserve"> indicators is to support local government through benchmarking and tracking performance over time to continue to improve the services provided to the citizen by local authorities.</w:t>
      </w:r>
    </w:p>
    <w:p w:rsidR="00BA21B1" w:rsidRPr="00EB1981" w:rsidRDefault="00BA21B1" w:rsidP="00BA21B1">
      <w:pPr>
        <w:jc w:val="both"/>
        <w:rPr>
          <w:rFonts w:eastAsia="Times New Roman" w:cs="Calibri"/>
          <w:sz w:val="24"/>
          <w:szCs w:val="24"/>
          <w:lang w:eastAsia="en-IE"/>
        </w:rPr>
      </w:pPr>
      <w:r w:rsidRPr="00EB1981">
        <w:rPr>
          <w:rFonts w:eastAsia="Times New Roman" w:cs="Calibri"/>
          <w:sz w:val="24"/>
          <w:szCs w:val="24"/>
          <w:lang w:eastAsia="en-IE"/>
        </w:rPr>
        <w:t>This performance indicator process has delivered useful comparative information for the local government service and will be built on over time</w:t>
      </w:r>
      <w:r>
        <w:rPr>
          <w:rFonts w:eastAsia="Times New Roman" w:cs="Calibri"/>
          <w:sz w:val="24"/>
          <w:szCs w:val="24"/>
          <w:lang w:eastAsia="en-IE"/>
        </w:rPr>
        <w:t xml:space="preserve">, including </w:t>
      </w:r>
      <w:r w:rsidRPr="00EB1981">
        <w:rPr>
          <w:rFonts w:eastAsia="Times New Roman" w:cs="Calibri"/>
          <w:sz w:val="24"/>
          <w:szCs w:val="24"/>
          <w:lang w:eastAsia="en-IE"/>
        </w:rPr>
        <w:t xml:space="preserve">by the addition of further indicators as the need arises.  </w:t>
      </w:r>
    </w:p>
    <w:p w:rsidR="00BA21B1" w:rsidRDefault="00BA21B1" w:rsidP="00BA21B1">
      <w:pPr>
        <w:jc w:val="both"/>
        <w:rPr>
          <w:rFonts w:eastAsia="Times New Roman" w:cs="Calibri"/>
          <w:sz w:val="24"/>
          <w:szCs w:val="24"/>
          <w:lang w:eastAsia="en-IE"/>
        </w:rPr>
      </w:pPr>
      <w:r w:rsidRPr="00EB1981">
        <w:rPr>
          <w:rFonts w:eastAsia="Times New Roman" w:cs="Calibri"/>
          <w:sz w:val="24"/>
          <w:szCs w:val="24"/>
          <w:lang w:eastAsia="en-IE"/>
        </w:rPr>
        <w:t>The indic</w:t>
      </w:r>
      <w:r>
        <w:rPr>
          <w:rFonts w:eastAsia="Times New Roman" w:cs="Calibri"/>
          <w:sz w:val="24"/>
          <w:szCs w:val="24"/>
          <w:lang w:eastAsia="en-IE"/>
        </w:rPr>
        <w:t>a</w:t>
      </w:r>
      <w:r w:rsidRPr="00EB1981">
        <w:rPr>
          <w:rFonts w:eastAsia="Times New Roman" w:cs="Calibri"/>
          <w:sz w:val="24"/>
          <w:szCs w:val="24"/>
          <w:lang w:eastAsia="en-IE"/>
        </w:rPr>
        <w:t xml:space="preserve">tors will also help to identify areas of activity for more in-depth analysis by NOAC. </w:t>
      </w:r>
    </w:p>
    <w:p w:rsidR="00BA21B1" w:rsidRPr="00EB1981" w:rsidRDefault="00BA21B1" w:rsidP="00BA21B1">
      <w:pPr>
        <w:jc w:val="both"/>
        <w:rPr>
          <w:rFonts w:eastAsia="Times New Roman" w:cs="Calibri"/>
          <w:sz w:val="24"/>
          <w:szCs w:val="24"/>
          <w:lang w:eastAsia="en-IE"/>
        </w:rPr>
      </w:pPr>
      <w:r>
        <w:rPr>
          <w:rFonts w:eastAsia="Times New Roman" w:cs="Calibri"/>
          <w:sz w:val="24"/>
          <w:szCs w:val="24"/>
          <w:lang w:eastAsia="en-IE"/>
        </w:rPr>
        <w:t>A</w:t>
      </w:r>
      <w:r w:rsidRPr="00EB1981">
        <w:rPr>
          <w:rFonts w:eastAsia="Times New Roman" w:cs="Calibri"/>
          <w:sz w:val="24"/>
          <w:szCs w:val="24"/>
          <w:lang w:eastAsia="en-IE"/>
        </w:rPr>
        <w:t xml:space="preserve">s 2014 was the first year of </w:t>
      </w:r>
      <w:r>
        <w:rPr>
          <w:rFonts w:eastAsia="Times New Roman" w:cs="Calibri"/>
          <w:sz w:val="24"/>
          <w:szCs w:val="24"/>
          <w:lang w:eastAsia="en-IE"/>
        </w:rPr>
        <w:t>reporting on performance indicators to NOAC</w:t>
      </w:r>
      <w:r w:rsidRPr="00EB1981">
        <w:rPr>
          <w:rFonts w:eastAsia="Times New Roman" w:cs="Calibri"/>
          <w:sz w:val="24"/>
          <w:szCs w:val="24"/>
          <w:lang w:eastAsia="en-IE"/>
        </w:rPr>
        <w:t xml:space="preserve">, the process of compilation, validation and review was very time-consuming. </w:t>
      </w:r>
      <w:r>
        <w:rPr>
          <w:rFonts w:eastAsia="Times New Roman" w:cs="Calibri"/>
          <w:sz w:val="24"/>
          <w:szCs w:val="24"/>
          <w:lang w:eastAsia="en-IE"/>
        </w:rPr>
        <w:t xml:space="preserve"> </w:t>
      </w:r>
      <w:r w:rsidRPr="00EB1981">
        <w:rPr>
          <w:rFonts w:eastAsia="Times New Roman" w:cs="Calibri"/>
          <w:sz w:val="24"/>
          <w:szCs w:val="24"/>
          <w:lang w:eastAsia="en-IE"/>
        </w:rPr>
        <w:t>Hence the publication of the report is at a very late stage of the year.  It is intended that</w:t>
      </w:r>
      <w:r>
        <w:rPr>
          <w:rFonts w:eastAsia="Times New Roman" w:cs="Calibri"/>
          <w:sz w:val="24"/>
          <w:szCs w:val="24"/>
          <w:lang w:eastAsia="en-IE"/>
        </w:rPr>
        <w:t>,</w:t>
      </w:r>
      <w:r w:rsidRPr="00EB1981">
        <w:rPr>
          <w:rFonts w:eastAsia="Times New Roman" w:cs="Calibri"/>
          <w:sz w:val="24"/>
          <w:szCs w:val="24"/>
          <w:lang w:eastAsia="en-IE"/>
        </w:rPr>
        <w:t xml:space="preserve"> for the 2015 indicators, the process will be streamlined, with the aim of publishing the report at a much earlier date to ensure its relevance and provide the opportunity for the early application of any learning.  </w:t>
      </w:r>
    </w:p>
    <w:p w:rsidR="00BA21B1" w:rsidRDefault="00BA21B1" w:rsidP="00BA21B1">
      <w:pPr>
        <w:jc w:val="both"/>
        <w:rPr>
          <w:rFonts w:cs="Calibri"/>
          <w:bCs/>
          <w:sz w:val="24"/>
          <w:szCs w:val="24"/>
          <w:lang w:eastAsia="en-IE"/>
        </w:rPr>
      </w:pPr>
      <w:r>
        <w:rPr>
          <w:rFonts w:cs="Calibri"/>
          <w:bCs/>
          <w:sz w:val="24"/>
          <w:szCs w:val="24"/>
          <w:lang w:eastAsia="en-IE"/>
        </w:rPr>
        <w:t xml:space="preserve">NOAC will review with the LGMA all aspects of </w:t>
      </w:r>
      <w:r>
        <w:rPr>
          <w:rFonts w:cs="Calibri"/>
          <w:sz w:val="24"/>
          <w:szCs w:val="24"/>
        </w:rPr>
        <w:t>the process of collecting the data and a workshop will be held with the local authority performance indicator co-ordinators prior to the issue of the 2015 data request.  Following on from this, m</w:t>
      </w:r>
      <w:r>
        <w:rPr>
          <w:rFonts w:cs="Calibri"/>
          <w:bCs/>
          <w:sz w:val="24"/>
          <w:szCs w:val="24"/>
          <w:lang w:eastAsia="en-IE"/>
        </w:rPr>
        <w:t>ore detailed guidance for completion of the data returns will be developed for circulation to local authorities.</w:t>
      </w:r>
    </w:p>
    <w:p w:rsidR="00BA21B1" w:rsidRPr="00EB614A" w:rsidRDefault="00BA21B1" w:rsidP="00BA21B1">
      <w:pPr>
        <w:jc w:val="both"/>
        <w:rPr>
          <w:rFonts w:eastAsia="Times New Roman" w:cstheme="minorHAnsi"/>
          <w:sz w:val="24"/>
          <w:szCs w:val="24"/>
          <w:lang w:eastAsia="en-IE"/>
        </w:rPr>
      </w:pPr>
      <w:r w:rsidRPr="00EB614A">
        <w:rPr>
          <w:rFonts w:eastAsia="Times New Roman" w:cstheme="minorHAnsi"/>
          <w:sz w:val="24"/>
          <w:szCs w:val="24"/>
          <w:lang w:eastAsia="en-IE"/>
        </w:rPr>
        <w:t>The identification of the most appropriate range of indicators is an iterative process.  The learning from the indicator process this year will feed into a review to inform any amendments which may be necessary for future years.  In addition, the role and priorities of local government change over time and the indicators must be dynamic to respond to these changes.</w:t>
      </w:r>
    </w:p>
    <w:p w:rsidR="00BA21B1" w:rsidRDefault="00BA21B1" w:rsidP="00BA21B1">
      <w:pPr>
        <w:spacing w:after="0"/>
        <w:jc w:val="both"/>
        <w:rPr>
          <w:sz w:val="24"/>
          <w:szCs w:val="24"/>
        </w:rPr>
      </w:pPr>
      <w:r w:rsidRPr="00EB614A">
        <w:rPr>
          <w:rFonts w:cstheme="minorHAnsi"/>
          <w:sz w:val="24"/>
          <w:szCs w:val="24"/>
        </w:rPr>
        <w:t>Queries received from local authorities</w:t>
      </w:r>
      <w:r>
        <w:rPr>
          <w:sz w:val="24"/>
          <w:szCs w:val="24"/>
        </w:rPr>
        <w:t xml:space="preserve"> have raised some issues for consideration by NOAC in relation to the potential value of continuing to include some of the </w:t>
      </w:r>
      <w:r w:rsidRPr="000B7877">
        <w:rPr>
          <w:sz w:val="24"/>
          <w:szCs w:val="24"/>
        </w:rPr>
        <w:t xml:space="preserve">indicators.  These issues will be examined by NOAC for the purposes of the report dealing with 2015 activity.  </w:t>
      </w:r>
      <w:r>
        <w:rPr>
          <w:sz w:val="24"/>
          <w:szCs w:val="24"/>
        </w:rPr>
        <w:t>T</w:t>
      </w:r>
      <w:r w:rsidRPr="000B7877">
        <w:rPr>
          <w:sz w:val="24"/>
          <w:szCs w:val="24"/>
        </w:rPr>
        <w:t xml:space="preserve">here are </w:t>
      </w:r>
      <w:r>
        <w:rPr>
          <w:sz w:val="24"/>
          <w:szCs w:val="24"/>
        </w:rPr>
        <w:t xml:space="preserve">also </w:t>
      </w:r>
      <w:r w:rsidRPr="000B7877">
        <w:rPr>
          <w:sz w:val="24"/>
          <w:szCs w:val="24"/>
        </w:rPr>
        <w:t xml:space="preserve">some indicators that NOAC has already identified as potential candidates for inclusion in the future, some of which may be capable of being collected in respect of 2015.  </w:t>
      </w:r>
    </w:p>
    <w:p w:rsidR="00BA21B1" w:rsidRDefault="00BA21B1" w:rsidP="00BA21B1">
      <w:pPr>
        <w:pStyle w:val="Default"/>
        <w:spacing w:line="276" w:lineRule="auto"/>
        <w:jc w:val="both"/>
        <w:rPr>
          <w:rFonts w:ascii="Calibri" w:hAnsi="Calibri" w:cs="Calibri"/>
        </w:rPr>
      </w:pPr>
    </w:p>
    <w:p w:rsidR="00BA21B1" w:rsidRPr="007F0AC8" w:rsidRDefault="00BA21B1" w:rsidP="00BA21B1">
      <w:pPr>
        <w:pStyle w:val="Default"/>
        <w:spacing w:line="276" w:lineRule="auto"/>
        <w:jc w:val="both"/>
        <w:rPr>
          <w:rFonts w:ascii="Calibri" w:hAnsi="Calibri" w:cs="Calibri"/>
        </w:rPr>
      </w:pPr>
      <w:r w:rsidRPr="007F0AC8">
        <w:rPr>
          <w:rFonts w:ascii="Calibri" w:hAnsi="Calibri" w:cs="Calibri"/>
        </w:rPr>
        <w:t>As a number of reviews of different aspects of local authority activity being undertaken by NOAC are progressed, the knowledge gained will be applied to developing indicators that are to the greatest extent possible relevant</w:t>
      </w:r>
      <w:r>
        <w:rPr>
          <w:rFonts w:ascii="Calibri" w:hAnsi="Calibri" w:cs="Calibri"/>
        </w:rPr>
        <w:t>,</w:t>
      </w:r>
      <w:r w:rsidRPr="007F0AC8">
        <w:rPr>
          <w:rFonts w:ascii="Calibri" w:hAnsi="Calibri" w:cs="Calibri"/>
        </w:rPr>
        <w:t xml:space="preserve"> unambiguous and focussed on qualitative outcomes.</w:t>
      </w:r>
      <w:r>
        <w:rPr>
          <w:rFonts w:ascii="Calibri" w:hAnsi="Calibri" w:cs="Calibri"/>
        </w:rPr>
        <w:t xml:space="preserve">  </w:t>
      </w:r>
    </w:p>
    <w:p w:rsidR="00BA21B1" w:rsidRDefault="00BA21B1" w:rsidP="00BA21B1">
      <w:pPr>
        <w:pStyle w:val="Default"/>
        <w:spacing w:line="276" w:lineRule="auto"/>
        <w:jc w:val="both"/>
        <w:rPr>
          <w:rFonts w:ascii="Calibri" w:hAnsi="Calibri" w:cs="Calibri"/>
        </w:rPr>
      </w:pPr>
    </w:p>
    <w:p w:rsidR="00BA21B1" w:rsidRPr="007F0AC8" w:rsidRDefault="00BA21B1" w:rsidP="00BA21B1">
      <w:pPr>
        <w:pStyle w:val="Default"/>
        <w:spacing w:line="276" w:lineRule="auto"/>
        <w:jc w:val="both"/>
        <w:rPr>
          <w:rFonts w:ascii="Calibri" w:hAnsi="Calibri" w:cs="Calibri"/>
        </w:rPr>
      </w:pPr>
      <w:r w:rsidRPr="007F0AC8">
        <w:rPr>
          <w:rFonts w:ascii="Calibri" w:hAnsi="Calibri" w:cs="Calibri"/>
        </w:rPr>
        <w:t xml:space="preserve">Notwithstanding some issues with the consistency and reliability of some of the indicators, variations in the </w:t>
      </w:r>
      <w:r>
        <w:rPr>
          <w:rFonts w:ascii="Calibri" w:hAnsi="Calibri" w:cs="Calibri"/>
        </w:rPr>
        <w:t xml:space="preserve">2014 </w:t>
      </w:r>
      <w:r w:rsidRPr="007F0AC8">
        <w:rPr>
          <w:rFonts w:ascii="Calibri" w:hAnsi="Calibri" w:cs="Calibri"/>
        </w:rPr>
        <w:t xml:space="preserve">data </w:t>
      </w:r>
      <w:r>
        <w:rPr>
          <w:rFonts w:ascii="Calibri" w:hAnsi="Calibri" w:cs="Calibri"/>
        </w:rPr>
        <w:t>show differing</w:t>
      </w:r>
      <w:r w:rsidRPr="007F0AC8">
        <w:rPr>
          <w:rFonts w:ascii="Calibri" w:hAnsi="Calibri" w:cs="Calibri"/>
        </w:rPr>
        <w:t xml:space="preserve"> levels of performance by authorities in a number </w:t>
      </w:r>
      <w:r w:rsidRPr="007F0AC8">
        <w:rPr>
          <w:rFonts w:ascii="Calibri" w:hAnsi="Calibri" w:cs="Calibri"/>
        </w:rPr>
        <w:lastRenderedPageBreak/>
        <w:t>of areas.  Many of these have been highlighted in the foregoing commentary</w:t>
      </w:r>
      <w:r>
        <w:rPr>
          <w:rFonts w:ascii="Calibri" w:hAnsi="Calibri" w:cs="Calibri"/>
        </w:rPr>
        <w:t>.  W</w:t>
      </w:r>
      <w:r w:rsidRPr="007F0AC8">
        <w:rPr>
          <w:rFonts w:ascii="Calibri" w:hAnsi="Calibri" w:cs="Calibri"/>
        </w:rPr>
        <w:t>here a local authority’s performance is significantly below that of other similar profile authorities, it should undertake the necessary measures to bring about an improved performance in 2016 and subsequent years.</w:t>
      </w:r>
    </w:p>
    <w:p w:rsidR="00BA21B1" w:rsidRDefault="00BA21B1" w:rsidP="00BA21B1">
      <w:pPr>
        <w:jc w:val="both"/>
        <w:rPr>
          <w:rFonts w:eastAsia="Times New Roman" w:cstheme="minorHAnsi"/>
          <w:sz w:val="24"/>
          <w:szCs w:val="24"/>
          <w:lang w:eastAsia="en-IE"/>
        </w:rPr>
      </w:pPr>
    </w:p>
    <w:p w:rsidR="00BA21B1" w:rsidRPr="00EB614A" w:rsidRDefault="00BA21B1" w:rsidP="00BA21B1">
      <w:pPr>
        <w:spacing w:after="0" w:line="360" w:lineRule="auto"/>
        <w:jc w:val="both"/>
        <w:rPr>
          <w:sz w:val="24"/>
          <w:szCs w:val="24"/>
          <w:u w:val="single"/>
        </w:rPr>
      </w:pPr>
      <w:r w:rsidRPr="00EB614A">
        <w:rPr>
          <w:sz w:val="24"/>
          <w:szCs w:val="24"/>
          <w:u w:val="single"/>
        </w:rPr>
        <w:t>Recommendations</w:t>
      </w:r>
    </w:p>
    <w:p w:rsidR="00BA21B1" w:rsidRDefault="00BA21B1" w:rsidP="00BA21B1">
      <w:pPr>
        <w:spacing w:after="120"/>
        <w:jc w:val="both"/>
        <w:rPr>
          <w:sz w:val="24"/>
          <w:szCs w:val="24"/>
        </w:rPr>
      </w:pPr>
      <w:r>
        <w:rPr>
          <w:sz w:val="24"/>
          <w:szCs w:val="24"/>
        </w:rPr>
        <w:t>Based on its review of the process at local authority level for the indicators reviewed, NOAC recommends that the 7 reviewed indicators should be retained subject to the following –</w:t>
      </w:r>
    </w:p>
    <w:p w:rsidR="00BA21B1" w:rsidRPr="00E031A2" w:rsidRDefault="00BA21B1" w:rsidP="00BA21B1">
      <w:pPr>
        <w:pStyle w:val="ListParagraph"/>
        <w:numPr>
          <w:ilvl w:val="0"/>
          <w:numId w:val="35"/>
        </w:numPr>
        <w:spacing w:after="120"/>
        <w:jc w:val="both"/>
        <w:rPr>
          <w:sz w:val="24"/>
          <w:szCs w:val="24"/>
        </w:rPr>
      </w:pPr>
      <w:r w:rsidRPr="00E031A2">
        <w:rPr>
          <w:sz w:val="24"/>
          <w:szCs w:val="24"/>
        </w:rPr>
        <w:t>Review whether any material inconsistency arises in the reported cost per capita of the planning service, given the practice of meeting the cost of development planning from provisions and other non-current funds in some authorities</w:t>
      </w:r>
    </w:p>
    <w:p w:rsidR="00BA21B1" w:rsidRPr="00E031A2" w:rsidRDefault="00BA21B1" w:rsidP="00BA21B1">
      <w:pPr>
        <w:pStyle w:val="ListParagraph"/>
        <w:numPr>
          <w:ilvl w:val="0"/>
          <w:numId w:val="35"/>
        </w:numPr>
        <w:spacing w:after="120"/>
        <w:jc w:val="both"/>
        <w:rPr>
          <w:sz w:val="24"/>
          <w:szCs w:val="24"/>
        </w:rPr>
      </w:pPr>
      <w:r w:rsidRPr="00E031A2">
        <w:rPr>
          <w:sz w:val="24"/>
          <w:szCs w:val="24"/>
        </w:rPr>
        <w:t>Provide greater clarification of the future procedure for counting or estimating library usage, including discounting non-library related use by members of the public, better capturing of all library related activities and the extent of online activity and capturing usage arising from any future self-service initiatives</w:t>
      </w:r>
    </w:p>
    <w:p w:rsidR="00BA21B1" w:rsidRPr="00E031A2" w:rsidRDefault="00BA21B1" w:rsidP="00BA21B1">
      <w:pPr>
        <w:pStyle w:val="ListParagraph"/>
        <w:numPr>
          <w:ilvl w:val="0"/>
          <w:numId w:val="35"/>
        </w:numPr>
        <w:spacing w:after="120"/>
        <w:jc w:val="both"/>
        <w:rPr>
          <w:sz w:val="24"/>
          <w:szCs w:val="24"/>
        </w:rPr>
      </w:pPr>
      <w:r w:rsidRPr="00E031A2">
        <w:rPr>
          <w:sz w:val="24"/>
          <w:szCs w:val="24"/>
        </w:rPr>
        <w:t>Review whether a measure of performance for LEOs can be constructed that takes account of activities other than those aimed at direct job creation</w:t>
      </w:r>
    </w:p>
    <w:p w:rsidR="00BA21B1" w:rsidRPr="00E031A2" w:rsidRDefault="00BA21B1" w:rsidP="00BA21B1">
      <w:pPr>
        <w:pStyle w:val="ListParagraph"/>
        <w:numPr>
          <w:ilvl w:val="0"/>
          <w:numId w:val="35"/>
        </w:numPr>
        <w:spacing w:after="120"/>
        <w:jc w:val="both"/>
        <w:rPr>
          <w:sz w:val="24"/>
          <w:szCs w:val="24"/>
        </w:rPr>
      </w:pPr>
      <w:r w:rsidRPr="00E031A2">
        <w:rPr>
          <w:sz w:val="24"/>
          <w:szCs w:val="24"/>
        </w:rPr>
        <w:t>Consider whether the financial balance of the local authority currently expressed as a monetary amount should be replaced by a measure that indicates the financial health of the authority by relating the surplus or deficit to its financial base.</w:t>
      </w:r>
    </w:p>
    <w:p w:rsidR="00BA21B1" w:rsidRDefault="00BA21B1" w:rsidP="00BA21B1">
      <w:pPr>
        <w:spacing w:after="0"/>
        <w:jc w:val="both"/>
        <w:rPr>
          <w:sz w:val="24"/>
          <w:szCs w:val="24"/>
        </w:rPr>
      </w:pPr>
    </w:p>
    <w:p w:rsidR="00BA21B1" w:rsidRDefault="00BA21B1" w:rsidP="00BA21B1">
      <w:pPr>
        <w:spacing w:after="120"/>
        <w:jc w:val="both"/>
        <w:rPr>
          <w:sz w:val="24"/>
          <w:szCs w:val="24"/>
        </w:rPr>
      </w:pPr>
      <w:r>
        <w:rPr>
          <w:sz w:val="24"/>
          <w:szCs w:val="24"/>
        </w:rPr>
        <w:t xml:space="preserve">More generally, NOAC recommends that – </w:t>
      </w:r>
    </w:p>
    <w:p w:rsidR="00BA21B1" w:rsidRPr="00C37F43" w:rsidRDefault="00BA21B1" w:rsidP="00BA21B1">
      <w:pPr>
        <w:pStyle w:val="ListParagraph"/>
        <w:numPr>
          <w:ilvl w:val="0"/>
          <w:numId w:val="36"/>
        </w:numPr>
        <w:spacing w:after="120"/>
        <w:jc w:val="both"/>
        <w:rPr>
          <w:sz w:val="24"/>
          <w:szCs w:val="24"/>
        </w:rPr>
      </w:pPr>
      <w:r w:rsidRPr="00C37F43">
        <w:rPr>
          <w:sz w:val="24"/>
          <w:szCs w:val="24"/>
        </w:rPr>
        <w:t>Targets be established by local authorities related to the indicators identified by NOAC and outturns be reviewed against those targets</w:t>
      </w:r>
    </w:p>
    <w:p w:rsidR="00BA21B1" w:rsidRPr="00C37F43" w:rsidRDefault="00BA21B1" w:rsidP="00BA21B1">
      <w:pPr>
        <w:pStyle w:val="ListParagraph"/>
        <w:numPr>
          <w:ilvl w:val="0"/>
          <w:numId w:val="36"/>
        </w:numPr>
        <w:spacing w:after="120"/>
        <w:jc w:val="both"/>
        <w:rPr>
          <w:sz w:val="24"/>
          <w:szCs w:val="24"/>
        </w:rPr>
      </w:pPr>
      <w:r w:rsidRPr="00C37F43">
        <w:rPr>
          <w:sz w:val="24"/>
          <w:szCs w:val="24"/>
        </w:rPr>
        <w:t>The targets and indicator outcomes be presented to local authority management teams, elected members and  Audit Committees</w:t>
      </w:r>
    </w:p>
    <w:p w:rsidR="00BA21B1" w:rsidRPr="00C37F43" w:rsidRDefault="00BA21B1" w:rsidP="00BA21B1">
      <w:pPr>
        <w:pStyle w:val="ListParagraph"/>
        <w:numPr>
          <w:ilvl w:val="0"/>
          <w:numId w:val="36"/>
        </w:numPr>
        <w:spacing w:after="120"/>
        <w:jc w:val="both"/>
        <w:rPr>
          <w:sz w:val="24"/>
          <w:szCs w:val="24"/>
        </w:rPr>
      </w:pPr>
      <w:r w:rsidRPr="00C37F43">
        <w:rPr>
          <w:sz w:val="24"/>
          <w:szCs w:val="24"/>
        </w:rPr>
        <w:t xml:space="preserve">Year-on-year performance based on indicators, by </w:t>
      </w:r>
      <w:r>
        <w:rPr>
          <w:sz w:val="24"/>
          <w:szCs w:val="24"/>
        </w:rPr>
        <w:t>reference to</w:t>
      </w:r>
      <w:r w:rsidRPr="00C37F43">
        <w:rPr>
          <w:sz w:val="24"/>
          <w:szCs w:val="24"/>
        </w:rPr>
        <w:t xml:space="preserve"> comparable authorities and against targets, </w:t>
      </w:r>
      <w:proofErr w:type="gramStart"/>
      <w:r w:rsidRPr="00C37F43">
        <w:rPr>
          <w:sz w:val="24"/>
          <w:szCs w:val="24"/>
        </w:rPr>
        <w:t>be</w:t>
      </w:r>
      <w:proofErr w:type="gramEnd"/>
      <w:r w:rsidRPr="00C37F43">
        <w:rPr>
          <w:sz w:val="24"/>
          <w:szCs w:val="24"/>
        </w:rPr>
        <w:t xml:space="preserve"> reviewed at least once annually by local authority management teams, elected members and Audit Committees.</w:t>
      </w:r>
    </w:p>
    <w:p w:rsidR="00BA21B1" w:rsidRPr="00C37F43" w:rsidRDefault="00BA21B1" w:rsidP="00BA21B1">
      <w:pPr>
        <w:pStyle w:val="ListParagraph"/>
        <w:numPr>
          <w:ilvl w:val="0"/>
          <w:numId w:val="36"/>
        </w:numPr>
        <w:spacing w:after="120"/>
        <w:jc w:val="both"/>
        <w:rPr>
          <w:sz w:val="24"/>
          <w:szCs w:val="24"/>
        </w:rPr>
      </w:pPr>
      <w:r w:rsidRPr="00C37F43">
        <w:rPr>
          <w:sz w:val="24"/>
          <w:szCs w:val="24"/>
        </w:rPr>
        <w:t>Comparable authorities analyse the cost indicators to identify the factors underlying significant variations in performance, ensure that value for money is being achieved and facilitate the sharing of approaches to efficiency measures.</w:t>
      </w:r>
    </w:p>
    <w:p w:rsidR="00BA21B1" w:rsidRDefault="00BA21B1" w:rsidP="00BA21B1">
      <w:pPr>
        <w:spacing w:after="0"/>
        <w:ind w:left="360"/>
        <w:jc w:val="both"/>
        <w:rPr>
          <w:sz w:val="24"/>
          <w:szCs w:val="24"/>
        </w:rPr>
      </w:pPr>
    </w:p>
    <w:p w:rsidR="00BA21B1" w:rsidRDefault="00BA21B1" w:rsidP="00BA21B1">
      <w:pPr>
        <w:spacing w:after="0"/>
        <w:jc w:val="both"/>
        <w:rPr>
          <w:rFonts w:cs="Calibri"/>
          <w:sz w:val="24"/>
          <w:szCs w:val="24"/>
        </w:rPr>
      </w:pPr>
    </w:p>
    <w:p w:rsidR="00BA21B1" w:rsidRPr="00E31804" w:rsidRDefault="00BA21B1" w:rsidP="00BA21B1">
      <w:pPr>
        <w:rPr>
          <w:rFonts w:cstheme="minorHAnsi"/>
          <w:sz w:val="24"/>
          <w:szCs w:val="24"/>
        </w:rPr>
      </w:pPr>
    </w:p>
    <w:p w:rsidR="00BA21B1" w:rsidRDefault="00BA21B1" w:rsidP="00C02C1F">
      <w:pPr>
        <w:pStyle w:val="PISectionHeading"/>
      </w:pPr>
    </w:p>
    <w:p w:rsidR="00BA21B1" w:rsidRDefault="00BA21B1">
      <w:pPr>
        <w:rPr>
          <w:rFonts w:ascii="Calibri" w:eastAsia="Times New Roman" w:hAnsi="Calibri" w:cs="Calibri"/>
          <w:b/>
          <w:bCs/>
          <w:color w:val="1F497D" w:themeColor="text2"/>
          <w:sz w:val="28"/>
          <w:szCs w:val="28"/>
          <w:lang w:eastAsia="en-IE"/>
        </w:rPr>
      </w:pPr>
      <w:r>
        <w:br w:type="page"/>
      </w:r>
    </w:p>
    <w:p w:rsidR="00B70292" w:rsidRPr="00C02C1F" w:rsidRDefault="0021766D" w:rsidP="00C02C1F">
      <w:pPr>
        <w:pStyle w:val="PISectionHeading"/>
      </w:pPr>
      <w:r w:rsidRPr="00C02C1F">
        <w:lastRenderedPageBreak/>
        <w:t>S</w:t>
      </w:r>
      <w:r w:rsidR="00B70292" w:rsidRPr="00C02C1F">
        <w:t xml:space="preserve">ection </w:t>
      </w:r>
      <w:r w:rsidR="007C12D5">
        <w:t>1</w:t>
      </w:r>
      <w:r w:rsidR="00B70292" w:rsidRPr="00C02C1F">
        <w:t>: Housing</w:t>
      </w:r>
      <w:bookmarkEnd w:id="0"/>
      <w:r w:rsidR="00B70292" w:rsidRPr="00C02C1F">
        <w:t xml:space="preserve"> </w:t>
      </w:r>
    </w:p>
    <w:p w:rsidR="00B70292" w:rsidRPr="0076731A" w:rsidRDefault="00B70292" w:rsidP="00B70292">
      <w:pPr>
        <w:pStyle w:val="PITableHeading"/>
        <w:rPr>
          <w:rFonts w:asciiTheme="minorHAnsi" w:hAnsiTheme="minorHAnsi" w:cstheme="minorHAnsi"/>
          <w:sz w:val="22"/>
          <w:szCs w:val="22"/>
        </w:rPr>
      </w:pPr>
      <w:r w:rsidRPr="0076731A">
        <w:rPr>
          <w:rFonts w:asciiTheme="minorHAnsi" w:hAnsiTheme="minorHAnsi" w:cstheme="minorHAnsi"/>
          <w:sz w:val="22"/>
          <w:szCs w:val="22"/>
        </w:rPr>
        <w:t xml:space="preserve">Table </w:t>
      </w:r>
      <w:r>
        <w:rPr>
          <w:rFonts w:asciiTheme="minorHAnsi" w:hAnsiTheme="minorHAnsi" w:cstheme="minorHAnsi"/>
          <w:sz w:val="22"/>
          <w:szCs w:val="22"/>
        </w:rPr>
        <w:t>1</w:t>
      </w:r>
      <w:r w:rsidRPr="0076731A">
        <w:rPr>
          <w:rFonts w:asciiTheme="minorHAnsi" w:hAnsiTheme="minorHAnsi" w:cstheme="minorHAnsi"/>
          <w:sz w:val="22"/>
          <w:szCs w:val="22"/>
        </w:rPr>
        <w:t xml:space="preserve">: </w:t>
      </w:r>
      <w:r w:rsidRPr="0076731A">
        <w:rPr>
          <w:rFonts w:asciiTheme="minorHAnsi" w:hAnsiTheme="minorHAnsi" w:cstheme="minorHAnsi"/>
          <w:b w:val="0"/>
          <w:sz w:val="22"/>
          <w:szCs w:val="22"/>
        </w:rPr>
        <w:t>Total Social Housing Dwellings Provided 01/01/2014 – 31/12/2014</w:t>
      </w:r>
    </w:p>
    <w:tbl>
      <w:tblPr>
        <w:tblStyle w:val="LightGrid-Accent5"/>
        <w:tblW w:w="5000" w:type="pct"/>
        <w:tblLook w:val="04A0" w:firstRow="1" w:lastRow="0" w:firstColumn="1" w:lastColumn="0" w:noHBand="0" w:noVBand="1"/>
      </w:tblPr>
      <w:tblGrid>
        <w:gridCol w:w="2174"/>
        <w:gridCol w:w="1179"/>
        <w:gridCol w:w="941"/>
        <w:gridCol w:w="1153"/>
        <w:gridCol w:w="1029"/>
        <w:gridCol w:w="922"/>
        <w:gridCol w:w="922"/>
        <w:gridCol w:w="922"/>
      </w:tblGrid>
      <w:tr w:rsidR="00B70292" w:rsidRPr="005C4524" w:rsidTr="000F6A09">
        <w:trPr>
          <w:cnfStyle w:val="100000000000" w:firstRow="1" w:lastRow="0" w:firstColumn="0" w:lastColumn="0" w:oddVBand="0" w:evenVBand="0" w:oddHBand="0"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1178" w:type="pct"/>
            <w:noWrap/>
            <w:vAlign w:val="center"/>
            <w:hideMark/>
          </w:tcPr>
          <w:p w:rsidR="00B70292" w:rsidRPr="005C4524" w:rsidRDefault="00B70292" w:rsidP="000F6A09">
            <w:pPr>
              <w:rPr>
                <w:rFonts w:asciiTheme="minorHAnsi" w:eastAsia="Times New Roman" w:hAnsiTheme="minorHAnsi" w:cstheme="minorHAnsi"/>
                <w:color w:val="000000"/>
                <w:sz w:val="18"/>
                <w:szCs w:val="18"/>
                <w:lang w:eastAsia="en-IE"/>
              </w:rPr>
            </w:pPr>
            <w:r>
              <w:rPr>
                <w:rFonts w:asciiTheme="minorHAnsi" w:eastAsia="Times New Roman" w:hAnsiTheme="minorHAnsi" w:cstheme="minorHAnsi"/>
                <w:color w:val="000000"/>
                <w:sz w:val="18"/>
                <w:szCs w:val="18"/>
                <w:lang w:eastAsia="en-IE"/>
              </w:rPr>
              <w:t>Authority</w:t>
            </w:r>
          </w:p>
        </w:tc>
        <w:tc>
          <w:tcPr>
            <w:tcW w:w="639" w:type="pct"/>
            <w:vAlign w:val="center"/>
            <w:hideMark/>
          </w:tcPr>
          <w:p w:rsidR="00B70292" w:rsidRPr="005C4524" w:rsidRDefault="00B70292" w:rsidP="000F6A0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 xml:space="preserve">Total </w:t>
            </w:r>
            <w:r>
              <w:rPr>
                <w:rFonts w:asciiTheme="minorHAnsi" w:eastAsia="Times New Roman" w:hAnsiTheme="minorHAnsi" w:cstheme="minorHAnsi"/>
                <w:color w:val="000000"/>
                <w:sz w:val="18"/>
                <w:szCs w:val="18"/>
                <w:lang w:eastAsia="en-IE"/>
              </w:rPr>
              <w:t xml:space="preserve">Social Housing </w:t>
            </w:r>
            <w:r w:rsidRPr="005C4524">
              <w:rPr>
                <w:rFonts w:asciiTheme="minorHAnsi" w:eastAsia="Times New Roman" w:hAnsiTheme="minorHAnsi" w:cstheme="minorHAnsi"/>
                <w:color w:val="000000"/>
                <w:sz w:val="18"/>
                <w:szCs w:val="18"/>
                <w:lang w:eastAsia="en-IE"/>
              </w:rPr>
              <w:t>Dwellings Provided 1/1/2014 - 31/12/2014</w:t>
            </w:r>
          </w:p>
        </w:tc>
        <w:tc>
          <w:tcPr>
            <w:tcW w:w="500" w:type="pct"/>
            <w:vAlign w:val="center"/>
            <w:hideMark/>
          </w:tcPr>
          <w:p w:rsidR="00B70292" w:rsidRPr="005C4524" w:rsidRDefault="00B70292" w:rsidP="000F6A0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IE"/>
              </w:rPr>
            </w:pPr>
            <w:r>
              <w:rPr>
                <w:rFonts w:asciiTheme="minorHAnsi" w:eastAsia="Times New Roman" w:hAnsiTheme="minorHAnsi" w:cstheme="minorHAnsi"/>
                <w:color w:val="000000"/>
                <w:sz w:val="18"/>
                <w:szCs w:val="18"/>
                <w:lang w:eastAsia="en-IE"/>
              </w:rPr>
              <w:t xml:space="preserve">Total Dwellings </w:t>
            </w:r>
            <w:r w:rsidRPr="005C4524">
              <w:rPr>
                <w:rFonts w:asciiTheme="minorHAnsi" w:eastAsia="Times New Roman" w:hAnsiTheme="minorHAnsi" w:cstheme="minorHAnsi"/>
                <w:color w:val="000000"/>
                <w:sz w:val="18"/>
                <w:szCs w:val="18"/>
                <w:lang w:eastAsia="en-IE"/>
              </w:rPr>
              <w:t>Provided</w:t>
            </w:r>
          </w:p>
        </w:tc>
        <w:tc>
          <w:tcPr>
            <w:tcW w:w="625" w:type="pct"/>
            <w:vAlign w:val="center"/>
            <w:hideMark/>
          </w:tcPr>
          <w:p w:rsidR="00B70292" w:rsidRPr="005C4524" w:rsidRDefault="00B70292" w:rsidP="000F6A0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Constructed</w:t>
            </w:r>
          </w:p>
        </w:tc>
        <w:tc>
          <w:tcPr>
            <w:tcW w:w="558" w:type="pct"/>
            <w:vAlign w:val="center"/>
            <w:hideMark/>
          </w:tcPr>
          <w:p w:rsidR="00B70292" w:rsidRPr="005C4524" w:rsidRDefault="00B70292" w:rsidP="000F6A0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Purchased</w:t>
            </w:r>
          </w:p>
        </w:tc>
        <w:tc>
          <w:tcPr>
            <w:tcW w:w="500" w:type="pct"/>
            <w:vAlign w:val="center"/>
            <w:hideMark/>
          </w:tcPr>
          <w:p w:rsidR="00B70292" w:rsidRPr="005C4524" w:rsidRDefault="00B70292" w:rsidP="000F6A0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Provided under RAS</w:t>
            </w:r>
          </w:p>
        </w:tc>
        <w:tc>
          <w:tcPr>
            <w:tcW w:w="500" w:type="pct"/>
            <w:vAlign w:val="center"/>
            <w:hideMark/>
          </w:tcPr>
          <w:p w:rsidR="00B70292" w:rsidRPr="005C4524" w:rsidRDefault="00B70292" w:rsidP="000F6A0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Provided under HAP</w:t>
            </w:r>
          </w:p>
        </w:tc>
        <w:tc>
          <w:tcPr>
            <w:tcW w:w="500" w:type="pct"/>
            <w:vAlign w:val="center"/>
            <w:hideMark/>
          </w:tcPr>
          <w:p w:rsidR="00B70292" w:rsidRPr="005C4524" w:rsidRDefault="00B70292" w:rsidP="000F6A0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Provided under SHLI</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 </w:t>
            </w:r>
          </w:p>
        </w:tc>
        <w:tc>
          <w:tcPr>
            <w:tcW w:w="639" w:type="pct"/>
            <w:hideMark/>
          </w:tcPr>
          <w:p w:rsidR="00B70292" w:rsidRPr="005C4524" w:rsidRDefault="00B70292" w:rsidP="000F6A0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 </w:t>
            </w:r>
          </w:p>
        </w:tc>
        <w:tc>
          <w:tcPr>
            <w:tcW w:w="500" w:type="pct"/>
            <w:hideMark/>
          </w:tcPr>
          <w:p w:rsidR="00B70292" w:rsidRPr="005C4524" w:rsidRDefault="00B70292" w:rsidP="000F6A0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 </w:t>
            </w:r>
          </w:p>
        </w:tc>
        <w:tc>
          <w:tcPr>
            <w:tcW w:w="625" w:type="pct"/>
            <w:hideMark/>
          </w:tcPr>
          <w:p w:rsidR="00B70292" w:rsidRPr="005C4524" w:rsidRDefault="00B70292" w:rsidP="000F6A0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 </w:t>
            </w:r>
          </w:p>
        </w:tc>
        <w:tc>
          <w:tcPr>
            <w:tcW w:w="558" w:type="pct"/>
            <w:hideMark/>
          </w:tcPr>
          <w:p w:rsidR="00B70292" w:rsidRPr="005C4524" w:rsidRDefault="00B70292" w:rsidP="000F6A0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 </w:t>
            </w:r>
          </w:p>
        </w:tc>
        <w:tc>
          <w:tcPr>
            <w:tcW w:w="500" w:type="pct"/>
            <w:hideMark/>
          </w:tcPr>
          <w:p w:rsidR="00B70292" w:rsidRPr="005C4524" w:rsidRDefault="00B70292" w:rsidP="000F6A0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 </w:t>
            </w:r>
          </w:p>
        </w:tc>
        <w:tc>
          <w:tcPr>
            <w:tcW w:w="500" w:type="pct"/>
            <w:hideMark/>
          </w:tcPr>
          <w:p w:rsidR="00B70292" w:rsidRPr="005C4524" w:rsidRDefault="00B70292" w:rsidP="000F6A0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 </w:t>
            </w:r>
          </w:p>
        </w:tc>
        <w:tc>
          <w:tcPr>
            <w:tcW w:w="500" w:type="pct"/>
            <w:hideMark/>
          </w:tcPr>
          <w:p w:rsidR="00B70292" w:rsidRPr="005C4524" w:rsidRDefault="00B70292" w:rsidP="000F6A0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 </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Carlow County</w:t>
            </w:r>
          </w:p>
        </w:tc>
        <w:tc>
          <w:tcPr>
            <w:tcW w:w="639"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57</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10</w:t>
            </w:r>
          </w:p>
        </w:tc>
        <w:tc>
          <w:tcPr>
            <w:tcW w:w="625"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7</w:t>
            </w:r>
          </w:p>
        </w:tc>
        <w:tc>
          <w:tcPr>
            <w:tcW w:w="558"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43</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Pr>
                <w:rFonts w:eastAsia="Times New Roman" w:cstheme="minorHAnsi"/>
                <w:color w:val="000000"/>
                <w:sz w:val="18"/>
                <w:szCs w:val="18"/>
                <w:lang w:eastAsia="en-IE"/>
              </w:rPr>
              <w:t>N/A</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4</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Cavan County</w:t>
            </w:r>
          </w:p>
        </w:tc>
        <w:tc>
          <w:tcPr>
            <w:tcW w:w="639"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102</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w:t>
            </w:r>
          </w:p>
        </w:tc>
        <w:tc>
          <w:tcPr>
            <w:tcW w:w="625"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w:t>
            </w:r>
          </w:p>
        </w:tc>
        <w:tc>
          <w:tcPr>
            <w:tcW w:w="558"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97</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N/A</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Clare County</w:t>
            </w:r>
          </w:p>
        </w:tc>
        <w:tc>
          <w:tcPr>
            <w:tcW w:w="639"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98</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20</w:t>
            </w:r>
          </w:p>
        </w:tc>
        <w:tc>
          <w:tcPr>
            <w:tcW w:w="625"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12</w:t>
            </w:r>
          </w:p>
        </w:tc>
        <w:tc>
          <w:tcPr>
            <w:tcW w:w="558"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8</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62</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Pr>
                <w:rFonts w:eastAsia="Times New Roman" w:cstheme="minorHAnsi"/>
                <w:color w:val="000000"/>
                <w:sz w:val="18"/>
                <w:szCs w:val="18"/>
                <w:lang w:eastAsia="en-IE"/>
              </w:rPr>
              <w:t>N/A</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16</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Cork City</w:t>
            </w:r>
          </w:p>
        </w:tc>
        <w:tc>
          <w:tcPr>
            <w:tcW w:w="639"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195</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108</w:t>
            </w:r>
          </w:p>
        </w:tc>
        <w:tc>
          <w:tcPr>
            <w:tcW w:w="625"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100</w:t>
            </w:r>
          </w:p>
        </w:tc>
        <w:tc>
          <w:tcPr>
            <w:tcW w:w="558"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8</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75</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N/A</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12</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Cork County</w:t>
            </w:r>
          </w:p>
        </w:tc>
        <w:tc>
          <w:tcPr>
            <w:tcW w:w="639"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242</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7</w:t>
            </w:r>
          </w:p>
        </w:tc>
        <w:tc>
          <w:tcPr>
            <w:tcW w:w="625"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6</w:t>
            </w:r>
          </w:p>
        </w:tc>
        <w:tc>
          <w:tcPr>
            <w:tcW w:w="558"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77</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55</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103</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Donegal County</w:t>
            </w:r>
          </w:p>
        </w:tc>
        <w:tc>
          <w:tcPr>
            <w:tcW w:w="639"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31</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4</w:t>
            </w:r>
          </w:p>
        </w:tc>
        <w:tc>
          <w:tcPr>
            <w:tcW w:w="625"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w:t>
            </w:r>
          </w:p>
        </w:tc>
        <w:tc>
          <w:tcPr>
            <w:tcW w:w="558"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21</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Pr>
                <w:rFonts w:eastAsia="Times New Roman" w:cstheme="minorHAnsi"/>
                <w:color w:val="000000"/>
                <w:sz w:val="18"/>
                <w:szCs w:val="18"/>
                <w:lang w:eastAsia="en-IE"/>
              </w:rPr>
              <w:t>N/A</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6</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Dublin City</w:t>
            </w:r>
          </w:p>
        </w:tc>
        <w:tc>
          <w:tcPr>
            <w:tcW w:w="639"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485</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205</w:t>
            </w:r>
          </w:p>
        </w:tc>
        <w:tc>
          <w:tcPr>
            <w:tcW w:w="625"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159</w:t>
            </w:r>
          </w:p>
        </w:tc>
        <w:tc>
          <w:tcPr>
            <w:tcW w:w="558"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46</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76</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N/A</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204</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 xml:space="preserve">Dun Laoghaire </w:t>
            </w:r>
            <w:proofErr w:type="spellStart"/>
            <w:r w:rsidRPr="005C4524">
              <w:rPr>
                <w:rFonts w:asciiTheme="minorHAnsi" w:eastAsia="Times New Roman" w:hAnsiTheme="minorHAnsi" w:cstheme="minorHAnsi"/>
                <w:color w:val="000000"/>
                <w:sz w:val="18"/>
                <w:szCs w:val="18"/>
                <w:lang w:eastAsia="en-IE"/>
              </w:rPr>
              <w:t>Rathdown</w:t>
            </w:r>
            <w:proofErr w:type="spellEnd"/>
            <w:r w:rsidRPr="005C4524">
              <w:rPr>
                <w:rFonts w:asciiTheme="minorHAnsi" w:eastAsia="Times New Roman" w:hAnsiTheme="minorHAnsi" w:cstheme="minorHAnsi"/>
                <w:color w:val="000000"/>
                <w:sz w:val="18"/>
                <w:szCs w:val="18"/>
                <w:lang w:eastAsia="en-IE"/>
              </w:rPr>
              <w:t xml:space="preserve"> </w:t>
            </w:r>
          </w:p>
        </w:tc>
        <w:tc>
          <w:tcPr>
            <w:tcW w:w="639"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85</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19</w:t>
            </w:r>
          </w:p>
        </w:tc>
        <w:tc>
          <w:tcPr>
            <w:tcW w:w="625"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558"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19</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55</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Pr>
                <w:rFonts w:eastAsia="Times New Roman" w:cstheme="minorHAnsi"/>
                <w:color w:val="000000"/>
                <w:sz w:val="18"/>
                <w:szCs w:val="18"/>
                <w:lang w:eastAsia="en-IE"/>
              </w:rPr>
              <w:t>N/A</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11</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proofErr w:type="spellStart"/>
            <w:r w:rsidRPr="005C4524">
              <w:rPr>
                <w:rFonts w:asciiTheme="minorHAnsi" w:eastAsia="Times New Roman" w:hAnsiTheme="minorHAnsi" w:cstheme="minorHAnsi"/>
                <w:color w:val="000000"/>
                <w:sz w:val="18"/>
                <w:szCs w:val="18"/>
                <w:lang w:eastAsia="en-IE"/>
              </w:rPr>
              <w:t>Fingal</w:t>
            </w:r>
            <w:proofErr w:type="spellEnd"/>
            <w:r w:rsidRPr="005C4524">
              <w:rPr>
                <w:rFonts w:asciiTheme="minorHAnsi" w:eastAsia="Times New Roman" w:hAnsiTheme="minorHAnsi" w:cstheme="minorHAnsi"/>
                <w:color w:val="000000"/>
                <w:sz w:val="18"/>
                <w:szCs w:val="18"/>
                <w:lang w:eastAsia="en-IE"/>
              </w:rPr>
              <w:t xml:space="preserve"> County</w:t>
            </w:r>
          </w:p>
        </w:tc>
        <w:tc>
          <w:tcPr>
            <w:tcW w:w="639"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100</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14</w:t>
            </w:r>
          </w:p>
        </w:tc>
        <w:tc>
          <w:tcPr>
            <w:tcW w:w="625"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558"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14</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54</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Pr>
                <w:rFonts w:eastAsia="Times New Roman" w:cstheme="minorHAnsi"/>
                <w:color w:val="000000"/>
                <w:sz w:val="18"/>
                <w:szCs w:val="18"/>
                <w:lang w:eastAsia="en-IE"/>
              </w:rPr>
              <w:t>N/A</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32</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Galway City</w:t>
            </w:r>
          </w:p>
        </w:tc>
        <w:tc>
          <w:tcPr>
            <w:tcW w:w="639"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16</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625"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558"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7</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N/A</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9</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Galway County</w:t>
            </w:r>
          </w:p>
        </w:tc>
        <w:tc>
          <w:tcPr>
            <w:tcW w:w="639"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66</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20</w:t>
            </w:r>
          </w:p>
        </w:tc>
        <w:tc>
          <w:tcPr>
            <w:tcW w:w="625"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w:t>
            </w:r>
          </w:p>
        </w:tc>
        <w:tc>
          <w:tcPr>
            <w:tcW w:w="558"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18</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27</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Pr>
                <w:rFonts w:eastAsia="Times New Roman" w:cstheme="minorHAnsi"/>
                <w:color w:val="000000"/>
                <w:sz w:val="18"/>
                <w:szCs w:val="18"/>
                <w:lang w:eastAsia="en-IE"/>
              </w:rPr>
              <w:t>N/A</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19</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Kerry County</w:t>
            </w:r>
          </w:p>
        </w:tc>
        <w:tc>
          <w:tcPr>
            <w:tcW w:w="639"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144</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11</w:t>
            </w:r>
          </w:p>
        </w:tc>
        <w:tc>
          <w:tcPr>
            <w:tcW w:w="625"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w:t>
            </w:r>
          </w:p>
        </w:tc>
        <w:tc>
          <w:tcPr>
            <w:tcW w:w="558"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9</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98</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Pr>
                <w:rFonts w:eastAsia="Times New Roman" w:cstheme="minorHAnsi"/>
                <w:color w:val="000000"/>
                <w:sz w:val="18"/>
                <w:szCs w:val="18"/>
                <w:lang w:eastAsia="en-IE"/>
              </w:rPr>
              <w:t>N/A</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35</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Kildare County</w:t>
            </w:r>
          </w:p>
        </w:tc>
        <w:tc>
          <w:tcPr>
            <w:tcW w:w="639"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103</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19</w:t>
            </w:r>
          </w:p>
        </w:tc>
        <w:tc>
          <w:tcPr>
            <w:tcW w:w="625"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558"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19</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60</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N/A</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24</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Kilkenny County</w:t>
            </w:r>
          </w:p>
        </w:tc>
        <w:tc>
          <w:tcPr>
            <w:tcW w:w="639"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206</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8</w:t>
            </w:r>
          </w:p>
        </w:tc>
        <w:tc>
          <w:tcPr>
            <w:tcW w:w="625"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w:t>
            </w:r>
          </w:p>
        </w:tc>
        <w:tc>
          <w:tcPr>
            <w:tcW w:w="558"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7</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59</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102</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37</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Laois County</w:t>
            </w:r>
          </w:p>
        </w:tc>
        <w:tc>
          <w:tcPr>
            <w:tcW w:w="639"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34</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21</w:t>
            </w:r>
          </w:p>
        </w:tc>
        <w:tc>
          <w:tcPr>
            <w:tcW w:w="625"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w:t>
            </w:r>
          </w:p>
        </w:tc>
        <w:tc>
          <w:tcPr>
            <w:tcW w:w="558"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20</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Pr>
                <w:rFonts w:eastAsia="Times New Roman" w:cstheme="minorHAnsi"/>
                <w:color w:val="000000"/>
                <w:sz w:val="18"/>
                <w:szCs w:val="18"/>
                <w:lang w:eastAsia="en-IE"/>
              </w:rPr>
              <w:t>N/A</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13</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Leitrim County</w:t>
            </w:r>
          </w:p>
        </w:tc>
        <w:tc>
          <w:tcPr>
            <w:tcW w:w="639"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4</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w:t>
            </w:r>
          </w:p>
        </w:tc>
        <w:tc>
          <w:tcPr>
            <w:tcW w:w="625"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558"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N/A</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Limerick City &amp; County</w:t>
            </w:r>
          </w:p>
        </w:tc>
        <w:tc>
          <w:tcPr>
            <w:tcW w:w="639"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377</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94</w:t>
            </w:r>
          </w:p>
        </w:tc>
        <w:tc>
          <w:tcPr>
            <w:tcW w:w="625"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64</w:t>
            </w:r>
          </w:p>
        </w:tc>
        <w:tc>
          <w:tcPr>
            <w:tcW w:w="558"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30</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59</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210</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14</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Longford County</w:t>
            </w:r>
          </w:p>
        </w:tc>
        <w:tc>
          <w:tcPr>
            <w:tcW w:w="639"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13</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w:t>
            </w:r>
          </w:p>
        </w:tc>
        <w:tc>
          <w:tcPr>
            <w:tcW w:w="625"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558"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7</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N/A</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Louth County</w:t>
            </w:r>
          </w:p>
        </w:tc>
        <w:tc>
          <w:tcPr>
            <w:tcW w:w="639"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64</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625"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558"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41</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23</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Mayo County</w:t>
            </w:r>
          </w:p>
        </w:tc>
        <w:tc>
          <w:tcPr>
            <w:tcW w:w="639"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192</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w:t>
            </w:r>
          </w:p>
        </w:tc>
        <w:tc>
          <w:tcPr>
            <w:tcW w:w="625"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w:t>
            </w:r>
          </w:p>
        </w:tc>
        <w:tc>
          <w:tcPr>
            <w:tcW w:w="558"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144</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Pr>
                <w:rFonts w:eastAsia="Times New Roman" w:cstheme="minorHAnsi"/>
                <w:color w:val="000000"/>
                <w:sz w:val="18"/>
                <w:szCs w:val="18"/>
                <w:lang w:eastAsia="en-IE"/>
              </w:rPr>
              <w:t>N/A</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45</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Meath County</w:t>
            </w:r>
          </w:p>
        </w:tc>
        <w:tc>
          <w:tcPr>
            <w:tcW w:w="639"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97</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9</w:t>
            </w:r>
          </w:p>
        </w:tc>
        <w:tc>
          <w:tcPr>
            <w:tcW w:w="625"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558"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9</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52</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N/A</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36</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Monaghan County</w:t>
            </w:r>
          </w:p>
        </w:tc>
        <w:tc>
          <w:tcPr>
            <w:tcW w:w="639"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25</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w:t>
            </w:r>
          </w:p>
        </w:tc>
        <w:tc>
          <w:tcPr>
            <w:tcW w:w="625"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558"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15</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Offaly County</w:t>
            </w:r>
          </w:p>
        </w:tc>
        <w:tc>
          <w:tcPr>
            <w:tcW w:w="639"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49</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w:t>
            </w:r>
          </w:p>
        </w:tc>
        <w:tc>
          <w:tcPr>
            <w:tcW w:w="625"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558"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N/A</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46</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Roscommon County</w:t>
            </w:r>
          </w:p>
        </w:tc>
        <w:tc>
          <w:tcPr>
            <w:tcW w:w="639"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71</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w:t>
            </w:r>
          </w:p>
        </w:tc>
        <w:tc>
          <w:tcPr>
            <w:tcW w:w="625"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558"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68</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Pr>
                <w:rFonts w:eastAsia="Times New Roman" w:cstheme="minorHAnsi"/>
                <w:color w:val="000000"/>
                <w:sz w:val="18"/>
                <w:szCs w:val="18"/>
                <w:lang w:eastAsia="en-IE"/>
              </w:rPr>
              <w:t>N/A</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Sligo County</w:t>
            </w:r>
          </w:p>
        </w:tc>
        <w:tc>
          <w:tcPr>
            <w:tcW w:w="639"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67</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w:t>
            </w:r>
          </w:p>
        </w:tc>
        <w:tc>
          <w:tcPr>
            <w:tcW w:w="625"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558"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59</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Pr>
                <w:rFonts w:eastAsia="Times New Roman" w:cstheme="minorHAnsi"/>
                <w:color w:val="000000"/>
                <w:sz w:val="18"/>
                <w:szCs w:val="18"/>
                <w:lang w:eastAsia="en-IE"/>
              </w:rPr>
              <w:t>N/A</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South Dublin County</w:t>
            </w:r>
          </w:p>
        </w:tc>
        <w:tc>
          <w:tcPr>
            <w:tcW w:w="639"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372</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16</w:t>
            </w:r>
          </w:p>
        </w:tc>
        <w:tc>
          <w:tcPr>
            <w:tcW w:w="625"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558"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16</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211</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8</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137</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Tipperary County</w:t>
            </w:r>
          </w:p>
        </w:tc>
        <w:tc>
          <w:tcPr>
            <w:tcW w:w="639"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148</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6</w:t>
            </w:r>
          </w:p>
        </w:tc>
        <w:tc>
          <w:tcPr>
            <w:tcW w:w="625"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558"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6</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103</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Pr>
                <w:rFonts w:eastAsia="Times New Roman" w:cstheme="minorHAnsi"/>
                <w:color w:val="000000"/>
                <w:sz w:val="18"/>
                <w:szCs w:val="18"/>
                <w:lang w:eastAsia="en-IE"/>
              </w:rPr>
              <w:t>N/A</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39</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Waterford City &amp; County</w:t>
            </w:r>
          </w:p>
        </w:tc>
        <w:tc>
          <w:tcPr>
            <w:tcW w:w="639"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77</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11</w:t>
            </w:r>
          </w:p>
        </w:tc>
        <w:tc>
          <w:tcPr>
            <w:tcW w:w="625"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558"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11</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25</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32</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9</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Westmeath County</w:t>
            </w:r>
          </w:p>
        </w:tc>
        <w:tc>
          <w:tcPr>
            <w:tcW w:w="639"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109</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21</w:t>
            </w:r>
          </w:p>
        </w:tc>
        <w:tc>
          <w:tcPr>
            <w:tcW w:w="625"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6</w:t>
            </w:r>
          </w:p>
        </w:tc>
        <w:tc>
          <w:tcPr>
            <w:tcW w:w="558"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15</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36</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Pr>
                <w:rFonts w:eastAsia="Times New Roman" w:cstheme="minorHAnsi"/>
                <w:color w:val="000000"/>
                <w:sz w:val="18"/>
                <w:szCs w:val="18"/>
                <w:lang w:eastAsia="en-IE"/>
              </w:rPr>
              <w:t>N/A</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52</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Wexford County</w:t>
            </w:r>
          </w:p>
        </w:tc>
        <w:tc>
          <w:tcPr>
            <w:tcW w:w="639"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119</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12</w:t>
            </w:r>
          </w:p>
        </w:tc>
        <w:tc>
          <w:tcPr>
            <w:tcW w:w="625"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w:t>
            </w:r>
          </w:p>
        </w:tc>
        <w:tc>
          <w:tcPr>
            <w:tcW w:w="558"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10</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102</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N/A</w:t>
            </w:r>
          </w:p>
        </w:tc>
        <w:tc>
          <w:tcPr>
            <w:tcW w:w="50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Wicklow County</w:t>
            </w:r>
          </w:p>
        </w:tc>
        <w:tc>
          <w:tcPr>
            <w:tcW w:w="639"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72</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10</w:t>
            </w:r>
          </w:p>
        </w:tc>
        <w:tc>
          <w:tcPr>
            <w:tcW w:w="625"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w:t>
            </w:r>
          </w:p>
        </w:tc>
        <w:tc>
          <w:tcPr>
            <w:tcW w:w="558"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9</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62</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Pr>
                <w:rFonts w:eastAsia="Times New Roman" w:cstheme="minorHAnsi"/>
                <w:color w:val="000000"/>
                <w:sz w:val="18"/>
                <w:szCs w:val="18"/>
                <w:lang w:eastAsia="en-IE"/>
              </w:rPr>
              <w:t>N/A</w:t>
            </w:r>
          </w:p>
        </w:tc>
        <w:tc>
          <w:tcPr>
            <w:tcW w:w="5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8" w:type="pct"/>
            <w:noWrap/>
            <w:hideMark/>
          </w:tcPr>
          <w:p w:rsidR="00B70292" w:rsidRPr="005C4524" w:rsidRDefault="00B70292" w:rsidP="000F6A09">
            <w:pPr>
              <w:rPr>
                <w:rFonts w:asciiTheme="minorHAnsi" w:eastAsia="Times New Roman" w:hAnsiTheme="minorHAnsi" w:cstheme="minorHAnsi"/>
                <w:b w:val="0"/>
                <w:bCs w:val="0"/>
                <w:color w:val="000000"/>
                <w:sz w:val="18"/>
                <w:szCs w:val="18"/>
                <w:lang w:eastAsia="en-IE"/>
              </w:rPr>
            </w:pPr>
            <w:r w:rsidRPr="005C4524">
              <w:rPr>
                <w:rFonts w:asciiTheme="minorHAnsi" w:eastAsia="Times New Roman" w:hAnsiTheme="minorHAnsi" w:cstheme="minorHAnsi"/>
                <w:color w:val="000000"/>
                <w:sz w:val="18"/>
                <w:szCs w:val="18"/>
                <w:lang w:eastAsia="en-IE"/>
              </w:rPr>
              <w:t>Totals</w:t>
            </w:r>
          </w:p>
        </w:tc>
        <w:tc>
          <w:tcPr>
            <w:tcW w:w="639"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eastAsia="en-IE"/>
              </w:rPr>
            </w:pPr>
            <w:r w:rsidRPr="005C4524">
              <w:rPr>
                <w:rFonts w:eastAsia="Times New Roman" w:cstheme="minorHAnsi"/>
                <w:b/>
                <w:bCs/>
                <w:color w:val="000000"/>
                <w:sz w:val="18"/>
                <w:szCs w:val="18"/>
                <w:lang w:eastAsia="en-IE"/>
              </w:rPr>
              <w:t>3,820</w:t>
            </w:r>
          </w:p>
        </w:tc>
        <w:tc>
          <w:tcPr>
            <w:tcW w:w="5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eastAsia="en-IE"/>
              </w:rPr>
            </w:pPr>
            <w:r w:rsidRPr="005C4524">
              <w:rPr>
                <w:rFonts w:eastAsia="Times New Roman" w:cstheme="minorHAnsi"/>
                <w:b/>
                <w:bCs/>
                <w:color w:val="000000"/>
                <w:sz w:val="18"/>
                <w:szCs w:val="18"/>
                <w:lang w:eastAsia="en-IE"/>
              </w:rPr>
              <w:t>674</w:t>
            </w:r>
          </w:p>
        </w:tc>
        <w:tc>
          <w:tcPr>
            <w:tcW w:w="625"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372</w:t>
            </w:r>
          </w:p>
        </w:tc>
        <w:tc>
          <w:tcPr>
            <w:tcW w:w="558"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302</w:t>
            </w:r>
          </w:p>
        </w:tc>
        <w:tc>
          <w:tcPr>
            <w:tcW w:w="5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eastAsia="en-IE"/>
              </w:rPr>
            </w:pPr>
            <w:r w:rsidRPr="005C4524">
              <w:rPr>
                <w:rFonts w:eastAsia="Times New Roman" w:cstheme="minorHAnsi"/>
                <w:b/>
                <w:bCs/>
                <w:color w:val="000000"/>
                <w:sz w:val="18"/>
                <w:szCs w:val="18"/>
                <w:lang w:eastAsia="en-IE"/>
              </w:rPr>
              <w:t>1,748</w:t>
            </w:r>
          </w:p>
        </w:tc>
        <w:tc>
          <w:tcPr>
            <w:tcW w:w="5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eastAsia="en-IE"/>
              </w:rPr>
            </w:pPr>
            <w:r w:rsidRPr="005C4524">
              <w:rPr>
                <w:rFonts w:eastAsia="Times New Roman" w:cstheme="minorHAnsi"/>
                <w:b/>
                <w:bCs/>
                <w:color w:val="000000"/>
                <w:sz w:val="18"/>
                <w:szCs w:val="18"/>
                <w:lang w:eastAsia="en-IE"/>
              </w:rPr>
              <w:t>463</w:t>
            </w:r>
          </w:p>
        </w:tc>
        <w:tc>
          <w:tcPr>
            <w:tcW w:w="5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eastAsia="en-IE"/>
              </w:rPr>
            </w:pPr>
            <w:r w:rsidRPr="005C4524">
              <w:rPr>
                <w:rFonts w:eastAsia="Times New Roman" w:cstheme="minorHAnsi"/>
                <w:b/>
                <w:bCs/>
                <w:color w:val="000000"/>
                <w:sz w:val="18"/>
                <w:szCs w:val="18"/>
                <w:lang w:eastAsia="en-IE"/>
              </w:rPr>
              <w:t>935</w:t>
            </w:r>
          </w:p>
        </w:tc>
      </w:tr>
    </w:tbl>
    <w:p w:rsidR="00B70292" w:rsidRDefault="00B70292" w:rsidP="00B70292">
      <w:pPr>
        <w:rPr>
          <w:rFonts w:cstheme="minorHAnsi"/>
        </w:rPr>
      </w:pPr>
    </w:p>
    <w:p w:rsidR="00B70292" w:rsidRPr="00B97E75" w:rsidRDefault="00B70292" w:rsidP="00B70292">
      <w:pPr>
        <w:rPr>
          <w:rFonts w:cstheme="minorHAnsi"/>
        </w:rPr>
      </w:pPr>
    </w:p>
    <w:tbl>
      <w:tblPr>
        <w:tblW w:w="5680" w:type="dxa"/>
        <w:tblInd w:w="98" w:type="dxa"/>
        <w:tblLayout w:type="fixed"/>
        <w:tblLook w:val="04A0" w:firstRow="1" w:lastRow="0" w:firstColumn="1" w:lastColumn="0" w:noHBand="0" w:noVBand="1"/>
      </w:tblPr>
      <w:tblGrid>
        <w:gridCol w:w="1853"/>
        <w:gridCol w:w="2531"/>
        <w:gridCol w:w="1296"/>
      </w:tblGrid>
      <w:tr w:rsidR="00B70292" w:rsidRPr="00B97E75" w:rsidTr="000F6A09">
        <w:trPr>
          <w:trHeight w:val="506"/>
        </w:trPr>
        <w:tc>
          <w:tcPr>
            <w:tcW w:w="56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Pr>
                <w:rFonts w:eastAsia="Times New Roman" w:cstheme="minorHAnsi"/>
                <w:b/>
                <w:bCs/>
                <w:color w:val="000000"/>
                <w:lang w:eastAsia="en-IE"/>
              </w:rPr>
              <w:t xml:space="preserve">Total Social Housing provided 01/01/2014 to </w:t>
            </w:r>
            <w:r w:rsidRPr="00B97E75">
              <w:rPr>
                <w:rFonts w:eastAsia="Times New Roman" w:cstheme="minorHAnsi"/>
                <w:b/>
                <w:bCs/>
                <w:color w:val="000000"/>
                <w:lang w:eastAsia="en-IE"/>
              </w:rPr>
              <w:t>31/12/2014</w:t>
            </w:r>
          </w:p>
        </w:tc>
      </w:tr>
      <w:tr w:rsidR="00B70292" w:rsidRPr="00B97E75" w:rsidTr="000F6A09">
        <w:trPr>
          <w:trHeight w:val="530"/>
        </w:trPr>
        <w:tc>
          <w:tcPr>
            <w:tcW w:w="4384"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B70292" w:rsidRPr="00B97E75" w:rsidRDefault="00B70292" w:rsidP="00D25D40">
            <w:pPr>
              <w:spacing w:after="0" w:line="240" w:lineRule="auto"/>
              <w:rPr>
                <w:rFonts w:eastAsia="Times New Roman" w:cstheme="minorHAnsi"/>
                <w:color w:val="000000"/>
                <w:lang w:eastAsia="en-IE"/>
              </w:rPr>
            </w:pPr>
            <w:r w:rsidRPr="00B97E75">
              <w:rPr>
                <w:rFonts w:eastAsia="Times New Roman" w:cstheme="minorHAnsi"/>
                <w:color w:val="000000"/>
                <w:lang w:eastAsia="en-IE"/>
              </w:rPr>
              <w:t xml:space="preserve">Total </w:t>
            </w:r>
            <w:r w:rsidR="00D25D40">
              <w:rPr>
                <w:rFonts w:eastAsia="Times New Roman" w:cstheme="minorHAnsi"/>
                <w:color w:val="000000"/>
                <w:lang w:eastAsia="en-IE"/>
              </w:rPr>
              <w:t xml:space="preserve">Social Housing </w:t>
            </w:r>
            <w:r w:rsidRPr="00B97E75">
              <w:rPr>
                <w:rFonts w:eastAsia="Times New Roman" w:cstheme="minorHAnsi"/>
                <w:color w:val="000000"/>
                <w:lang w:eastAsia="en-IE"/>
              </w:rPr>
              <w:t xml:space="preserve">Dwellings Provided </w:t>
            </w:r>
          </w:p>
        </w:tc>
        <w:tc>
          <w:tcPr>
            <w:tcW w:w="1296" w:type="dxa"/>
            <w:tcBorders>
              <w:top w:val="nil"/>
              <w:left w:val="nil"/>
              <w:bottom w:val="single" w:sz="8" w:space="0" w:color="auto"/>
              <w:right w:val="single" w:sz="8" w:space="0" w:color="auto"/>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2014</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N</w:t>
            </w:r>
          </w:p>
        </w:tc>
        <w:tc>
          <w:tcPr>
            <w:tcW w:w="2531" w:type="dxa"/>
            <w:tcBorders>
              <w:top w:val="nil"/>
              <w:left w:val="nil"/>
              <w:bottom w:val="single" w:sz="8" w:space="0" w:color="auto"/>
              <w:right w:val="nil"/>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Valid</w:t>
            </w:r>
          </w:p>
        </w:tc>
        <w:tc>
          <w:tcPr>
            <w:tcW w:w="1296"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31</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531" w:type="dxa"/>
            <w:tcBorders>
              <w:top w:val="nil"/>
              <w:left w:val="nil"/>
              <w:bottom w:val="single" w:sz="8" w:space="0" w:color="auto"/>
              <w:right w:val="nil"/>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Missing</w:t>
            </w:r>
          </w:p>
        </w:tc>
        <w:tc>
          <w:tcPr>
            <w:tcW w:w="1296"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0</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Average</w:t>
            </w:r>
          </w:p>
        </w:tc>
        <w:tc>
          <w:tcPr>
            <w:tcW w:w="2531" w:type="dxa"/>
            <w:tcBorders>
              <w:top w:val="nil"/>
              <w:left w:val="nil"/>
              <w:bottom w:val="single" w:sz="8" w:space="0" w:color="auto"/>
              <w:right w:val="nil"/>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Median</w:t>
            </w:r>
          </w:p>
        </w:tc>
        <w:tc>
          <w:tcPr>
            <w:tcW w:w="1296"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97</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531" w:type="dxa"/>
            <w:tcBorders>
              <w:top w:val="nil"/>
              <w:left w:val="nil"/>
              <w:bottom w:val="single" w:sz="8" w:space="0" w:color="auto"/>
              <w:right w:val="nil"/>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Mean</w:t>
            </w:r>
          </w:p>
        </w:tc>
        <w:tc>
          <w:tcPr>
            <w:tcW w:w="1296"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123.23</w:t>
            </w:r>
          </w:p>
        </w:tc>
      </w:tr>
      <w:tr w:rsidR="00B70292" w:rsidRPr="00B97E75" w:rsidTr="000F6A09">
        <w:trPr>
          <w:trHeight w:val="203"/>
        </w:trPr>
        <w:tc>
          <w:tcPr>
            <w:tcW w:w="4384" w:type="dxa"/>
            <w:gridSpan w:val="2"/>
            <w:tcBorders>
              <w:top w:val="single" w:sz="8" w:space="0" w:color="auto"/>
              <w:left w:val="single" w:sz="8" w:space="0" w:color="auto"/>
              <w:bottom w:val="single" w:sz="8" w:space="0" w:color="auto"/>
              <w:right w:val="nil"/>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color w:val="000000"/>
                <w:lang w:eastAsia="en-IE"/>
              </w:rPr>
            </w:pPr>
            <w:r>
              <w:rPr>
                <w:rFonts w:eastAsia="Times New Roman" w:cstheme="minorHAnsi"/>
                <w:color w:val="000000"/>
                <w:lang w:eastAsia="en-IE"/>
              </w:rPr>
              <w:t xml:space="preserve">Total </w:t>
            </w:r>
            <w:r w:rsidR="00D25D40">
              <w:rPr>
                <w:rFonts w:eastAsia="Times New Roman" w:cstheme="minorHAnsi"/>
                <w:color w:val="000000"/>
                <w:lang w:eastAsia="en-IE"/>
              </w:rPr>
              <w:t xml:space="preserve">LA </w:t>
            </w:r>
            <w:r>
              <w:rPr>
                <w:rFonts w:eastAsia="Times New Roman" w:cstheme="minorHAnsi"/>
                <w:color w:val="000000"/>
                <w:lang w:eastAsia="en-IE"/>
              </w:rPr>
              <w:t>Dwellings Provided</w:t>
            </w:r>
          </w:p>
        </w:tc>
        <w:tc>
          <w:tcPr>
            <w:tcW w:w="1296" w:type="dxa"/>
            <w:tcBorders>
              <w:top w:val="nil"/>
              <w:left w:val="single" w:sz="8" w:space="0" w:color="auto"/>
              <w:bottom w:val="single" w:sz="8" w:space="0" w:color="auto"/>
              <w:right w:val="single" w:sz="8" w:space="0" w:color="auto"/>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2014</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N</w:t>
            </w:r>
          </w:p>
        </w:tc>
        <w:tc>
          <w:tcPr>
            <w:tcW w:w="2531" w:type="dxa"/>
            <w:tcBorders>
              <w:top w:val="nil"/>
              <w:left w:val="nil"/>
              <w:bottom w:val="single" w:sz="8" w:space="0" w:color="auto"/>
              <w:right w:val="nil"/>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Valid</w:t>
            </w:r>
          </w:p>
        </w:tc>
        <w:tc>
          <w:tcPr>
            <w:tcW w:w="1296"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31</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531" w:type="dxa"/>
            <w:tcBorders>
              <w:top w:val="nil"/>
              <w:left w:val="nil"/>
              <w:bottom w:val="single" w:sz="8" w:space="0" w:color="auto"/>
              <w:right w:val="nil"/>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Missing</w:t>
            </w:r>
          </w:p>
        </w:tc>
        <w:tc>
          <w:tcPr>
            <w:tcW w:w="1296"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0</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Average</w:t>
            </w:r>
          </w:p>
        </w:tc>
        <w:tc>
          <w:tcPr>
            <w:tcW w:w="2531"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Median</w:t>
            </w:r>
          </w:p>
        </w:tc>
        <w:tc>
          <w:tcPr>
            <w:tcW w:w="129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10</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531"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Mean</w:t>
            </w:r>
          </w:p>
        </w:tc>
        <w:tc>
          <w:tcPr>
            <w:tcW w:w="129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21.74</w:t>
            </w:r>
          </w:p>
        </w:tc>
      </w:tr>
      <w:tr w:rsidR="00B70292" w:rsidRPr="00B97E75" w:rsidTr="000F6A09">
        <w:trPr>
          <w:trHeight w:val="273"/>
        </w:trPr>
        <w:tc>
          <w:tcPr>
            <w:tcW w:w="4384"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Provided under RAS</w:t>
            </w:r>
          </w:p>
        </w:tc>
        <w:tc>
          <w:tcPr>
            <w:tcW w:w="1296" w:type="dxa"/>
            <w:tcBorders>
              <w:top w:val="nil"/>
              <w:left w:val="nil"/>
              <w:bottom w:val="single" w:sz="8" w:space="0" w:color="auto"/>
              <w:right w:val="single" w:sz="8" w:space="0" w:color="auto"/>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2014</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N</w:t>
            </w:r>
          </w:p>
        </w:tc>
        <w:tc>
          <w:tcPr>
            <w:tcW w:w="2531"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Valid</w:t>
            </w:r>
          </w:p>
        </w:tc>
        <w:tc>
          <w:tcPr>
            <w:tcW w:w="129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31</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531"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Missing</w:t>
            </w:r>
          </w:p>
        </w:tc>
        <w:tc>
          <w:tcPr>
            <w:tcW w:w="129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0</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Average</w:t>
            </w:r>
          </w:p>
        </w:tc>
        <w:tc>
          <w:tcPr>
            <w:tcW w:w="2531"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Median</w:t>
            </w:r>
          </w:p>
        </w:tc>
        <w:tc>
          <w:tcPr>
            <w:tcW w:w="129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59</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531"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Mean</w:t>
            </w:r>
          </w:p>
        </w:tc>
        <w:tc>
          <w:tcPr>
            <w:tcW w:w="129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56.39</w:t>
            </w:r>
          </w:p>
        </w:tc>
      </w:tr>
      <w:tr w:rsidR="00B70292" w:rsidRPr="00B97E75" w:rsidTr="000F6A09">
        <w:trPr>
          <w:trHeight w:val="325"/>
        </w:trPr>
        <w:tc>
          <w:tcPr>
            <w:tcW w:w="4384"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Provided under HAP</w:t>
            </w:r>
          </w:p>
        </w:tc>
        <w:tc>
          <w:tcPr>
            <w:tcW w:w="1296" w:type="dxa"/>
            <w:tcBorders>
              <w:top w:val="nil"/>
              <w:left w:val="nil"/>
              <w:bottom w:val="single" w:sz="8" w:space="0" w:color="auto"/>
              <w:right w:val="single" w:sz="8" w:space="0" w:color="auto"/>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2014</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N</w:t>
            </w:r>
          </w:p>
        </w:tc>
        <w:tc>
          <w:tcPr>
            <w:tcW w:w="2531"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Valid</w:t>
            </w:r>
          </w:p>
        </w:tc>
        <w:tc>
          <w:tcPr>
            <w:tcW w:w="129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7</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531"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Missing</w:t>
            </w:r>
          </w:p>
        </w:tc>
        <w:tc>
          <w:tcPr>
            <w:tcW w:w="129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24</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Average</w:t>
            </w:r>
          </w:p>
        </w:tc>
        <w:tc>
          <w:tcPr>
            <w:tcW w:w="2531"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Median</w:t>
            </w:r>
          </w:p>
        </w:tc>
        <w:tc>
          <w:tcPr>
            <w:tcW w:w="129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0</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531"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Mean</w:t>
            </w:r>
          </w:p>
        </w:tc>
        <w:tc>
          <w:tcPr>
            <w:tcW w:w="129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22.05</w:t>
            </w:r>
          </w:p>
        </w:tc>
      </w:tr>
      <w:tr w:rsidR="00B70292" w:rsidRPr="00B97E75" w:rsidTr="000F6A09">
        <w:trPr>
          <w:trHeight w:val="315"/>
        </w:trPr>
        <w:tc>
          <w:tcPr>
            <w:tcW w:w="4384"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Provided under SHLI</w:t>
            </w:r>
          </w:p>
        </w:tc>
        <w:tc>
          <w:tcPr>
            <w:tcW w:w="1296" w:type="dxa"/>
            <w:tcBorders>
              <w:top w:val="nil"/>
              <w:left w:val="nil"/>
              <w:bottom w:val="single" w:sz="8" w:space="0" w:color="auto"/>
              <w:right w:val="single" w:sz="8" w:space="0" w:color="auto"/>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2014</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N</w:t>
            </w:r>
          </w:p>
        </w:tc>
        <w:tc>
          <w:tcPr>
            <w:tcW w:w="2531"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Valid</w:t>
            </w:r>
          </w:p>
        </w:tc>
        <w:tc>
          <w:tcPr>
            <w:tcW w:w="129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31</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531"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Missing</w:t>
            </w:r>
          </w:p>
        </w:tc>
        <w:tc>
          <w:tcPr>
            <w:tcW w:w="129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0</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Average</w:t>
            </w:r>
          </w:p>
        </w:tc>
        <w:tc>
          <w:tcPr>
            <w:tcW w:w="2531"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Median</w:t>
            </w:r>
          </w:p>
        </w:tc>
        <w:tc>
          <w:tcPr>
            <w:tcW w:w="129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14</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531"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Mean</w:t>
            </w:r>
          </w:p>
        </w:tc>
        <w:tc>
          <w:tcPr>
            <w:tcW w:w="129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30.16</w:t>
            </w:r>
          </w:p>
        </w:tc>
      </w:tr>
    </w:tbl>
    <w:p w:rsidR="00B70292" w:rsidRPr="00B97E75" w:rsidRDefault="00B70292" w:rsidP="00B70292">
      <w:pPr>
        <w:rPr>
          <w:rFonts w:eastAsia="Times New Roman" w:cstheme="minorHAnsi"/>
          <w:b/>
          <w:bCs/>
          <w:color w:val="000000"/>
          <w:lang w:eastAsia="en-IE"/>
        </w:rPr>
      </w:pPr>
      <w:r w:rsidRPr="00B97E75">
        <w:rPr>
          <w:rFonts w:cstheme="minorHAnsi"/>
        </w:rPr>
        <w:br w:type="page"/>
      </w:r>
    </w:p>
    <w:p w:rsidR="00B70292" w:rsidRPr="003E001D" w:rsidRDefault="00B70292" w:rsidP="00B70292">
      <w:pPr>
        <w:pStyle w:val="PITableHeading"/>
        <w:rPr>
          <w:rFonts w:asciiTheme="minorHAnsi" w:hAnsiTheme="minorHAnsi" w:cstheme="minorHAnsi"/>
          <w:b w:val="0"/>
          <w:sz w:val="22"/>
          <w:szCs w:val="22"/>
        </w:rPr>
      </w:pPr>
      <w:r>
        <w:rPr>
          <w:rFonts w:asciiTheme="minorHAnsi" w:hAnsiTheme="minorHAnsi" w:cstheme="minorHAnsi"/>
          <w:sz w:val="22"/>
          <w:szCs w:val="22"/>
        </w:rPr>
        <w:lastRenderedPageBreak/>
        <w:t>Table 2</w:t>
      </w:r>
      <w:r w:rsidRPr="003E001D">
        <w:rPr>
          <w:rFonts w:asciiTheme="minorHAnsi" w:hAnsiTheme="minorHAnsi" w:cstheme="minorHAnsi"/>
          <w:sz w:val="22"/>
          <w:szCs w:val="22"/>
        </w:rPr>
        <w:t>:</w:t>
      </w:r>
      <w:r w:rsidRPr="003E001D">
        <w:rPr>
          <w:rFonts w:asciiTheme="minorHAnsi" w:hAnsiTheme="minorHAnsi" w:cstheme="minorHAnsi"/>
          <w:b w:val="0"/>
          <w:sz w:val="22"/>
          <w:szCs w:val="22"/>
        </w:rPr>
        <w:t xml:space="preserve"> Total Social Housing Dwellings Stock as </w:t>
      </w:r>
      <w:r>
        <w:rPr>
          <w:rFonts w:asciiTheme="minorHAnsi" w:hAnsiTheme="minorHAnsi" w:cstheme="minorHAnsi"/>
          <w:b w:val="0"/>
          <w:sz w:val="22"/>
          <w:szCs w:val="22"/>
        </w:rPr>
        <w:t>at</w:t>
      </w:r>
      <w:r w:rsidRPr="003E001D">
        <w:rPr>
          <w:rFonts w:asciiTheme="minorHAnsi" w:hAnsiTheme="minorHAnsi" w:cstheme="minorHAnsi"/>
          <w:b w:val="0"/>
          <w:sz w:val="22"/>
          <w:szCs w:val="22"/>
        </w:rPr>
        <w:t xml:space="preserve"> 31/12/2014</w:t>
      </w:r>
    </w:p>
    <w:tbl>
      <w:tblPr>
        <w:tblStyle w:val="LightGrid-Accent5"/>
        <w:tblW w:w="5000" w:type="pct"/>
        <w:tblLook w:val="04A0" w:firstRow="1" w:lastRow="0" w:firstColumn="1" w:lastColumn="0" w:noHBand="0" w:noVBand="1"/>
      </w:tblPr>
      <w:tblGrid>
        <w:gridCol w:w="2957"/>
        <w:gridCol w:w="1240"/>
        <w:gridCol w:w="961"/>
        <w:gridCol w:w="961"/>
        <w:gridCol w:w="961"/>
        <w:gridCol w:w="961"/>
        <w:gridCol w:w="1201"/>
      </w:tblGrid>
      <w:tr w:rsidR="00B70292" w:rsidRPr="005C4524" w:rsidTr="000F6A09">
        <w:trPr>
          <w:cnfStyle w:val="100000000000" w:firstRow="1" w:lastRow="0" w:firstColumn="0" w:lastColumn="0" w:oddVBand="0" w:evenVBand="0" w:oddHBand="0"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426" w:type="pct"/>
            <w:noWrap/>
            <w:vAlign w:val="center"/>
            <w:hideMark/>
          </w:tcPr>
          <w:p w:rsidR="00B70292" w:rsidRPr="00D36D20" w:rsidRDefault="00B70292" w:rsidP="000F6A09">
            <w:pPr>
              <w:rPr>
                <w:rFonts w:asciiTheme="minorHAnsi" w:eastAsia="Times New Roman" w:hAnsiTheme="minorHAnsi" w:cstheme="minorHAnsi"/>
                <w:b w:val="0"/>
                <w:bCs w:val="0"/>
                <w:color w:val="000000"/>
                <w:sz w:val="20"/>
                <w:szCs w:val="20"/>
                <w:lang w:eastAsia="en-IE"/>
              </w:rPr>
            </w:pPr>
            <w:r w:rsidRPr="00D36D20">
              <w:rPr>
                <w:rFonts w:asciiTheme="minorHAnsi" w:eastAsia="Times New Roman" w:hAnsiTheme="minorHAnsi" w:cstheme="minorHAnsi"/>
                <w:color w:val="000000"/>
                <w:sz w:val="20"/>
                <w:szCs w:val="20"/>
                <w:lang w:eastAsia="en-IE"/>
              </w:rPr>
              <w:t>Authority</w:t>
            </w:r>
          </w:p>
        </w:tc>
        <w:tc>
          <w:tcPr>
            <w:tcW w:w="700" w:type="pct"/>
            <w:vAlign w:val="center"/>
            <w:hideMark/>
          </w:tcPr>
          <w:p w:rsidR="00B70292" w:rsidRPr="005C4524" w:rsidRDefault="00B70292" w:rsidP="000F6A0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en-IE"/>
              </w:rPr>
            </w:pPr>
            <w:r w:rsidRPr="005C4524">
              <w:rPr>
                <w:rFonts w:asciiTheme="minorHAnsi" w:eastAsia="Times New Roman" w:hAnsiTheme="minorHAnsi" w:cstheme="minorHAnsi"/>
                <w:color w:val="000000"/>
                <w:sz w:val="20"/>
                <w:szCs w:val="20"/>
                <w:lang w:eastAsia="en-IE"/>
              </w:rPr>
              <w:t xml:space="preserve">Total Social Housing Dwellings </w:t>
            </w:r>
            <w:r>
              <w:rPr>
                <w:rFonts w:asciiTheme="minorHAnsi" w:eastAsia="Times New Roman" w:hAnsiTheme="minorHAnsi" w:cstheme="minorHAnsi"/>
                <w:color w:val="000000"/>
                <w:sz w:val="20"/>
                <w:szCs w:val="20"/>
                <w:lang w:eastAsia="en-IE"/>
              </w:rPr>
              <w:t xml:space="preserve">as at </w:t>
            </w:r>
            <w:r w:rsidRPr="005C4524">
              <w:rPr>
                <w:rFonts w:asciiTheme="minorHAnsi" w:eastAsia="Times New Roman" w:hAnsiTheme="minorHAnsi" w:cstheme="minorHAnsi"/>
                <w:color w:val="000000"/>
                <w:sz w:val="20"/>
                <w:szCs w:val="20"/>
                <w:lang w:eastAsia="en-IE"/>
              </w:rPr>
              <w:t>31/12/2014</w:t>
            </w:r>
          </w:p>
        </w:tc>
        <w:tc>
          <w:tcPr>
            <w:tcW w:w="544" w:type="pct"/>
            <w:vAlign w:val="center"/>
            <w:hideMark/>
          </w:tcPr>
          <w:p w:rsidR="00B70292" w:rsidRPr="005C4524" w:rsidRDefault="00B70292" w:rsidP="000F6A0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en-IE"/>
              </w:rPr>
            </w:pPr>
            <w:r w:rsidRPr="005C4524">
              <w:rPr>
                <w:rFonts w:asciiTheme="minorHAnsi" w:eastAsia="Times New Roman" w:hAnsiTheme="minorHAnsi" w:cstheme="minorHAnsi"/>
                <w:color w:val="000000"/>
                <w:sz w:val="20"/>
                <w:szCs w:val="20"/>
                <w:lang w:eastAsia="en-IE"/>
              </w:rPr>
              <w:t>Directly Provided</w:t>
            </w:r>
          </w:p>
        </w:tc>
        <w:tc>
          <w:tcPr>
            <w:tcW w:w="544" w:type="pct"/>
            <w:vAlign w:val="center"/>
            <w:hideMark/>
          </w:tcPr>
          <w:p w:rsidR="00B70292" w:rsidRPr="005C4524" w:rsidRDefault="00B70292" w:rsidP="000F6A0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en-IE"/>
              </w:rPr>
            </w:pPr>
            <w:r w:rsidRPr="005C4524">
              <w:rPr>
                <w:rFonts w:asciiTheme="minorHAnsi" w:eastAsia="Times New Roman" w:hAnsiTheme="minorHAnsi" w:cstheme="minorHAnsi"/>
                <w:color w:val="000000"/>
                <w:sz w:val="20"/>
                <w:szCs w:val="20"/>
                <w:lang w:eastAsia="en-IE"/>
              </w:rPr>
              <w:t>Provided under RAS</w:t>
            </w:r>
          </w:p>
        </w:tc>
        <w:tc>
          <w:tcPr>
            <w:tcW w:w="544" w:type="pct"/>
            <w:vAlign w:val="center"/>
            <w:hideMark/>
          </w:tcPr>
          <w:p w:rsidR="00B70292" w:rsidRPr="005C4524" w:rsidRDefault="00B70292" w:rsidP="000F6A0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en-IE"/>
              </w:rPr>
            </w:pPr>
            <w:r w:rsidRPr="005C4524">
              <w:rPr>
                <w:rFonts w:asciiTheme="minorHAnsi" w:eastAsia="Times New Roman" w:hAnsiTheme="minorHAnsi" w:cstheme="minorHAnsi"/>
                <w:color w:val="000000"/>
                <w:sz w:val="20"/>
                <w:szCs w:val="20"/>
                <w:lang w:eastAsia="en-IE"/>
              </w:rPr>
              <w:t>Provided under HAP</w:t>
            </w:r>
          </w:p>
        </w:tc>
        <w:tc>
          <w:tcPr>
            <w:tcW w:w="544" w:type="pct"/>
            <w:vAlign w:val="center"/>
            <w:hideMark/>
          </w:tcPr>
          <w:p w:rsidR="00B70292" w:rsidRPr="005C4524" w:rsidRDefault="00B70292" w:rsidP="000F6A0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en-IE"/>
              </w:rPr>
            </w:pPr>
            <w:r w:rsidRPr="005C4524">
              <w:rPr>
                <w:rFonts w:asciiTheme="minorHAnsi" w:eastAsia="Times New Roman" w:hAnsiTheme="minorHAnsi" w:cstheme="minorHAnsi"/>
                <w:color w:val="000000"/>
                <w:sz w:val="20"/>
                <w:szCs w:val="20"/>
                <w:lang w:eastAsia="en-IE"/>
              </w:rPr>
              <w:t>Provided under SHLI</w:t>
            </w:r>
          </w:p>
        </w:tc>
        <w:tc>
          <w:tcPr>
            <w:tcW w:w="700" w:type="pct"/>
            <w:vAlign w:val="center"/>
            <w:hideMark/>
          </w:tcPr>
          <w:p w:rsidR="00B70292" w:rsidRPr="005C4524" w:rsidRDefault="00B70292" w:rsidP="000F6A0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en-IE"/>
              </w:rPr>
            </w:pPr>
            <w:r>
              <w:rPr>
                <w:rFonts w:asciiTheme="minorHAnsi" w:eastAsia="Times New Roman" w:hAnsiTheme="minorHAnsi" w:cstheme="minorHAnsi"/>
                <w:color w:val="000000"/>
                <w:sz w:val="20"/>
                <w:szCs w:val="20"/>
                <w:lang w:eastAsia="en-IE"/>
              </w:rPr>
              <w:t>Percentage</w:t>
            </w:r>
            <w:r w:rsidRPr="005C4524">
              <w:rPr>
                <w:rFonts w:asciiTheme="minorHAnsi" w:eastAsia="Times New Roman" w:hAnsiTheme="minorHAnsi" w:cstheme="minorHAnsi"/>
                <w:color w:val="000000"/>
                <w:sz w:val="20"/>
                <w:szCs w:val="20"/>
                <w:lang w:eastAsia="en-IE"/>
              </w:rPr>
              <w:t xml:space="preserve"> Vacant  at 31/12/2014</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 </w:t>
            </w:r>
          </w:p>
        </w:tc>
        <w:tc>
          <w:tcPr>
            <w:tcW w:w="700" w:type="pct"/>
            <w:hideMark/>
          </w:tcPr>
          <w:p w:rsidR="00B70292" w:rsidRPr="005C4524" w:rsidRDefault="00B70292" w:rsidP="000F6A0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 </w:t>
            </w:r>
          </w:p>
        </w:tc>
        <w:tc>
          <w:tcPr>
            <w:tcW w:w="544" w:type="pct"/>
            <w:hideMark/>
          </w:tcPr>
          <w:p w:rsidR="00B70292" w:rsidRPr="005C4524" w:rsidRDefault="00B70292" w:rsidP="000F6A0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 </w:t>
            </w:r>
          </w:p>
        </w:tc>
        <w:tc>
          <w:tcPr>
            <w:tcW w:w="544" w:type="pct"/>
            <w:hideMark/>
          </w:tcPr>
          <w:p w:rsidR="00B70292" w:rsidRPr="005C4524" w:rsidRDefault="00B70292" w:rsidP="000F6A0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 </w:t>
            </w:r>
          </w:p>
        </w:tc>
        <w:tc>
          <w:tcPr>
            <w:tcW w:w="544" w:type="pct"/>
            <w:hideMark/>
          </w:tcPr>
          <w:p w:rsidR="00B70292" w:rsidRPr="005C4524" w:rsidRDefault="00B70292" w:rsidP="000F6A0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 </w:t>
            </w:r>
          </w:p>
        </w:tc>
        <w:tc>
          <w:tcPr>
            <w:tcW w:w="544" w:type="pct"/>
            <w:hideMark/>
          </w:tcPr>
          <w:p w:rsidR="00B70292" w:rsidRPr="005C4524" w:rsidRDefault="00B70292" w:rsidP="000F6A0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 </w:t>
            </w:r>
          </w:p>
        </w:tc>
        <w:tc>
          <w:tcPr>
            <w:tcW w:w="700" w:type="pct"/>
            <w:hideMark/>
          </w:tcPr>
          <w:p w:rsidR="00B70292" w:rsidRPr="005C4524" w:rsidRDefault="00B70292" w:rsidP="000F6A0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 </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Carlow County</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2153</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1567</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489</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N/A</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97</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1.91</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Cavan County</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2530</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1983</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535</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N/A</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12</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5.85</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Clare County</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2860</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2313</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416</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N/A</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131</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3.11</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Cork City</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9766</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8770</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851</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N/A</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145</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5.9</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Cork County</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8794</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7175</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767</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55</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797</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3.94</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Donegal County</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5144</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4635</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316</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N/A</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193</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3.67</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Dublin City</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27366</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25444</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1205</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N/A</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717</w:t>
            </w:r>
            <w:r w:rsidRPr="005C4524">
              <w:rPr>
                <w:rFonts w:eastAsia="Times New Roman" w:cstheme="minorHAnsi"/>
                <w:color w:val="000000"/>
                <w:sz w:val="20"/>
                <w:szCs w:val="20"/>
                <w:vertAlign w:val="superscript"/>
                <w:lang w:eastAsia="en-IE"/>
              </w:rPr>
              <w:t>a</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vertAlign w:val="superscript"/>
                <w:lang w:eastAsia="en-IE"/>
              </w:rPr>
            </w:pPr>
            <w:r w:rsidRPr="005C4524">
              <w:rPr>
                <w:rFonts w:eastAsia="Times New Roman" w:cstheme="minorHAnsi"/>
                <w:color w:val="000000"/>
                <w:sz w:val="20"/>
                <w:szCs w:val="20"/>
                <w:lang w:eastAsia="en-IE"/>
              </w:rPr>
              <w:t>6.67</w:t>
            </w:r>
            <w:r>
              <w:rPr>
                <w:rFonts w:eastAsia="Times New Roman" w:cstheme="minorHAnsi"/>
                <w:color w:val="000000"/>
                <w:sz w:val="20"/>
                <w:szCs w:val="20"/>
                <w:vertAlign w:val="superscript"/>
                <w:lang w:eastAsia="en-IE"/>
              </w:rPr>
              <w:t>c</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 xml:space="preserve">Dun Laoghaire </w:t>
            </w:r>
            <w:proofErr w:type="spellStart"/>
            <w:r w:rsidRPr="005C4524">
              <w:rPr>
                <w:rFonts w:asciiTheme="minorHAnsi" w:eastAsia="Times New Roman" w:hAnsiTheme="minorHAnsi" w:cstheme="minorHAnsi"/>
                <w:color w:val="000000"/>
                <w:sz w:val="20"/>
                <w:szCs w:val="20"/>
                <w:lang w:eastAsia="en-IE"/>
              </w:rPr>
              <w:t>Rathdown</w:t>
            </w:r>
            <w:proofErr w:type="spellEnd"/>
            <w:r w:rsidRPr="005C4524">
              <w:rPr>
                <w:rFonts w:asciiTheme="minorHAnsi" w:eastAsia="Times New Roman" w:hAnsiTheme="minorHAnsi" w:cstheme="minorHAnsi"/>
                <w:color w:val="000000"/>
                <w:sz w:val="20"/>
                <w:szCs w:val="20"/>
                <w:lang w:eastAsia="en-IE"/>
              </w:rPr>
              <w:t xml:space="preserve"> County</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4957</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4384</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407</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N/A</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166</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0.71</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proofErr w:type="spellStart"/>
            <w:r w:rsidRPr="005C4524">
              <w:rPr>
                <w:rFonts w:asciiTheme="minorHAnsi" w:eastAsia="Times New Roman" w:hAnsiTheme="minorHAnsi" w:cstheme="minorHAnsi"/>
                <w:color w:val="000000"/>
                <w:sz w:val="20"/>
                <w:szCs w:val="20"/>
                <w:lang w:eastAsia="en-IE"/>
              </w:rPr>
              <w:t>Fingal</w:t>
            </w:r>
            <w:proofErr w:type="spellEnd"/>
            <w:r w:rsidRPr="005C4524">
              <w:rPr>
                <w:rFonts w:asciiTheme="minorHAnsi" w:eastAsia="Times New Roman" w:hAnsiTheme="minorHAnsi" w:cstheme="minorHAnsi"/>
                <w:color w:val="000000"/>
                <w:sz w:val="20"/>
                <w:szCs w:val="20"/>
                <w:lang w:eastAsia="en-IE"/>
              </w:rPr>
              <w:t xml:space="preserve"> County</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5577</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4491</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722</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N/A</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364</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1.47</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Galway City</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2806</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2258</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380</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N/A</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w:t>
            </w:r>
            <w:r>
              <w:rPr>
                <w:rFonts w:eastAsia="Times New Roman" w:cstheme="minorHAnsi"/>
                <w:color w:val="000000"/>
                <w:sz w:val="20"/>
                <w:szCs w:val="20"/>
                <w:lang w:eastAsia="en-IE"/>
              </w:rPr>
              <w:t>68</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2.92</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Galway County</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2692</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2379</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287</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N/A</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26</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7.19</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Kerry County</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4843</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4038</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731</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N/A</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74</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3.44</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Kildare County</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4471</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3604</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653</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N/A</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214</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1.03</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Kilkenny County</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2807</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2164</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493</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102</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48</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1.02</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Laois County</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2338</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2019</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160</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N/A</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159</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0.74</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Leitrim County</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1014</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940</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74</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N/A</w:t>
            </w:r>
          </w:p>
        </w:tc>
        <w:tc>
          <w:tcPr>
            <w:tcW w:w="544" w:type="pct"/>
            <w:noWrap/>
            <w:hideMark/>
          </w:tcPr>
          <w:p w:rsidR="00B70292" w:rsidRPr="00B679C2"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vertAlign w:val="superscript"/>
                <w:lang w:eastAsia="en-IE"/>
              </w:rPr>
            </w:pPr>
            <w:r w:rsidRPr="005C4524">
              <w:rPr>
                <w:rFonts w:eastAsia="Times New Roman" w:cstheme="minorHAnsi"/>
                <w:color w:val="000000"/>
                <w:sz w:val="20"/>
                <w:szCs w:val="20"/>
                <w:lang w:eastAsia="en-IE"/>
              </w:rPr>
              <w:t>0</w:t>
            </w:r>
            <w:r>
              <w:rPr>
                <w:rFonts w:eastAsia="Times New Roman" w:cstheme="minorHAnsi"/>
                <w:color w:val="000000"/>
                <w:sz w:val="20"/>
                <w:szCs w:val="20"/>
                <w:vertAlign w:val="superscript"/>
                <w:lang w:eastAsia="en-IE"/>
              </w:rPr>
              <w:t>b</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vertAlign w:val="superscript"/>
                <w:lang w:eastAsia="en-IE"/>
              </w:rPr>
            </w:pPr>
            <w:r w:rsidRPr="005C4524">
              <w:rPr>
                <w:rFonts w:eastAsia="Times New Roman" w:cstheme="minorHAnsi"/>
                <w:color w:val="000000"/>
                <w:sz w:val="20"/>
                <w:szCs w:val="20"/>
                <w:lang w:eastAsia="en-IE"/>
              </w:rPr>
              <w:t>8.72</w:t>
            </w:r>
            <w:r>
              <w:rPr>
                <w:rFonts w:eastAsia="Times New Roman" w:cstheme="minorHAnsi"/>
                <w:color w:val="000000"/>
                <w:sz w:val="20"/>
                <w:szCs w:val="20"/>
                <w:vertAlign w:val="superscript"/>
                <w:lang w:eastAsia="en-IE"/>
              </w:rPr>
              <w:t>d</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Limerick City &amp; County</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6635</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5211</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1169</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210</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45</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6.7</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Longford County</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2075</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1889</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170</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N/A</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16</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5.82</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Louth County</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4260</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3671</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171</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41</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377</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1.42</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Mayo County</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3124</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2044</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958</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N/A</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122</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6.85</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Meath County</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3645</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3100</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425</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N/A</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120</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2.1</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Monaghan County</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1713</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1410</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288</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15</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0</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0.5</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Offaly County</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2116</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1754</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176</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N/A</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186</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2.39</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Roscommon County</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1772</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1348</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420</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N/A</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4</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vertAlign w:val="superscript"/>
                <w:lang w:eastAsia="en-IE"/>
              </w:rPr>
            </w:pPr>
            <w:r w:rsidRPr="005C4524">
              <w:rPr>
                <w:rFonts w:eastAsia="Times New Roman" w:cstheme="minorHAnsi"/>
                <w:color w:val="000000"/>
                <w:sz w:val="20"/>
                <w:szCs w:val="20"/>
                <w:lang w:eastAsia="en-IE"/>
              </w:rPr>
              <w:t>8.75</w:t>
            </w:r>
            <w:r>
              <w:rPr>
                <w:rFonts w:eastAsia="Times New Roman" w:cstheme="minorHAnsi"/>
                <w:color w:val="000000"/>
                <w:sz w:val="20"/>
                <w:szCs w:val="20"/>
                <w:vertAlign w:val="superscript"/>
                <w:lang w:eastAsia="en-IE"/>
              </w:rPr>
              <w:t>e</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Sligo County</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2482</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2096</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351</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N/A</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35</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5.06</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South Dublin County</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11034</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8999</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1480</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8</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547</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0.47</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Tipperary County</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6306</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4733</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1268</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N/A</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305</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2.83</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Waterford City &amp; County</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6127</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4755</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1210</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32</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130</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2.59</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Westmeath County</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2457</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1777</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398</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N/A</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282</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0.9</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Wexford County</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5047</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4207</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759</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N/A</w:t>
            </w:r>
          </w:p>
        </w:tc>
        <w:tc>
          <w:tcPr>
            <w:tcW w:w="544"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81</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1.02</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color w:val="000000"/>
                <w:sz w:val="20"/>
                <w:szCs w:val="20"/>
                <w:lang w:eastAsia="en-IE"/>
              </w:rPr>
            </w:pPr>
            <w:r w:rsidRPr="005C4524">
              <w:rPr>
                <w:rFonts w:asciiTheme="minorHAnsi" w:eastAsia="Times New Roman" w:hAnsiTheme="minorHAnsi" w:cstheme="minorHAnsi"/>
                <w:color w:val="000000"/>
                <w:sz w:val="20"/>
                <w:szCs w:val="20"/>
                <w:lang w:eastAsia="en-IE"/>
              </w:rPr>
              <w:t>Wicklow County</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4862</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4353</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486</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N/A</w:t>
            </w:r>
          </w:p>
        </w:tc>
        <w:tc>
          <w:tcPr>
            <w:tcW w:w="544"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23</w:t>
            </w:r>
          </w:p>
        </w:tc>
        <w:tc>
          <w:tcPr>
            <w:tcW w:w="70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5C4524">
              <w:rPr>
                <w:rFonts w:eastAsia="Times New Roman" w:cstheme="minorHAnsi"/>
                <w:color w:val="000000"/>
                <w:sz w:val="20"/>
                <w:szCs w:val="20"/>
                <w:lang w:eastAsia="en-IE"/>
              </w:rPr>
              <w:t>1.33</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6" w:type="pct"/>
            <w:noWrap/>
            <w:hideMark/>
          </w:tcPr>
          <w:p w:rsidR="00B70292" w:rsidRPr="005C4524" w:rsidRDefault="00B70292" w:rsidP="000F6A09">
            <w:pPr>
              <w:rPr>
                <w:rFonts w:asciiTheme="minorHAnsi" w:eastAsia="Times New Roman" w:hAnsiTheme="minorHAnsi" w:cstheme="minorHAnsi"/>
                <w:b w:val="0"/>
                <w:bCs w:val="0"/>
                <w:color w:val="000000"/>
                <w:sz w:val="20"/>
                <w:szCs w:val="20"/>
                <w:lang w:eastAsia="en-IE"/>
              </w:rPr>
            </w:pPr>
            <w:r w:rsidRPr="005C4524">
              <w:rPr>
                <w:rFonts w:asciiTheme="minorHAnsi" w:eastAsia="Times New Roman" w:hAnsiTheme="minorHAnsi" w:cstheme="minorHAnsi"/>
                <w:color w:val="000000"/>
                <w:sz w:val="20"/>
                <w:szCs w:val="20"/>
                <w:lang w:eastAsia="en-IE"/>
              </w:rPr>
              <w:t>Totals</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IE"/>
              </w:rPr>
            </w:pPr>
            <w:r w:rsidRPr="005C4524">
              <w:rPr>
                <w:rFonts w:eastAsia="Times New Roman" w:cstheme="minorHAnsi"/>
                <w:b/>
                <w:bCs/>
                <w:color w:val="000000"/>
                <w:sz w:val="20"/>
                <w:szCs w:val="20"/>
                <w:lang w:eastAsia="en-IE"/>
              </w:rPr>
              <w:t>153,773</w:t>
            </w:r>
          </w:p>
        </w:tc>
        <w:tc>
          <w:tcPr>
            <w:tcW w:w="544"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IE"/>
              </w:rPr>
            </w:pPr>
            <w:r w:rsidRPr="005C4524">
              <w:rPr>
                <w:rFonts w:eastAsia="Times New Roman" w:cstheme="minorHAnsi"/>
                <w:b/>
                <w:bCs/>
                <w:color w:val="000000"/>
                <w:sz w:val="20"/>
                <w:szCs w:val="20"/>
                <w:lang w:eastAsia="en-IE"/>
              </w:rPr>
              <w:t>129,511</w:t>
            </w:r>
          </w:p>
        </w:tc>
        <w:tc>
          <w:tcPr>
            <w:tcW w:w="544"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IE"/>
              </w:rPr>
            </w:pPr>
            <w:r w:rsidRPr="005C4524">
              <w:rPr>
                <w:rFonts w:eastAsia="Times New Roman" w:cstheme="minorHAnsi"/>
                <w:b/>
                <w:bCs/>
                <w:color w:val="000000"/>
                <w:sz w:val="20"/>
                <w:szCs w:val="20"/>
                <w:lang w:eastAsia="en-IE"/>
              </w:rPr>
              <w:t>18,215</w:t>
            </w:r>
          </w:p>
        </w:tc>
        <w:tc>
          <w:tcPr>
            <w:tcW w:w="544"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IE"/>
              </w:rPr>
            </w:pPr>
            <w:r w:rsidRPr="005C4524">
              <w:rPr>
                <w:rFonts w:eastAsia="Times New Roman" w:cstheme="minorHAnsi"/>
                <w:b/>
                <w:bCs/>
                <w:color w:val="000000"/>
                <w:sz w:val="20"/>
                <w:szCs w:val="20"/>
                <w:lang w:eastAsia="en-IE"/>
              </w:rPr>
              <w:t>463</w:t>
            </w:r>
          </w:p>
        </w:tc>
        <w:tc>
          <w:tcPr>
            <w:tcW w:w="544"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IE"/>
              </w:rPr>
            </w:pPr>
            <w:r w:rsidRPr="005C4524">
              <w:rPr>
                <w:rFonts w:eastAsia="Times New Roman" w:cstheme="minorHAnsi"/>
                <w:b/>
                <w:bCs/>
                <w:color w:val="000000"/>
                <w:sz w:val="20"/>
                <w:szCs w:val="20"/>
                <w:lang w:eastAsia="en-IE"/>
              </w:rPr>
              <w:t>5,5</w:t>
            </w:r>
            <w:r>
              <w:rPr>
                <w:rFonts w:eastAsia="Times New Roman" w:cstheme="minorHAnsi"/>
                <w:b/>
                <w:bCs/>
                <w:color w:val="000000"/>
                <w:sz w:val="20"/>
                <w:szCs w:val="20"/>
                <w:lang w:eastAsia="en-IE"/>
              </w:rPr>
              <w:t>84</w:t>
            </w:r>
          </w:p>
        </w:tc>
        <w:tc>
          <w:tcPr>
            <w:tcW w:w="70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IE"/>
              </w:rPr>
            </w:pPr>
          </w:p>
        </w:tc>
      </w:tr>
    </w:tbl>
    <w:p w:rsidR="00B70292" w:rsidRPr="00B97E75" w:rsidRDefault="00B70292" w:rsidP="00B70292">
      <w:pPr>
        <w:spacing w:after="0" w:line="240" w:lineRule="auto"/>
        <w:rPr>
          <w:rFonts w:eastAsia="Times New Roman" w:cstheme="minorHAnsi"/>
          <w:b/>
          <w:bCs/>
          <w:color w:val="000000"/>
          <w:lang w:eastAsia="en-IE"/>
        </w:rPr>
      </w:pPr>
    </w:p>
    <w:p w:rsidR="00B70292" w:rsidRDefault="00B70292" w:rsidP="00B70292">
      <w:pPr>
        <w:spacing w:after="0" w:line="240" w:lineRule="auto"/>
        <w:rPr>
          <w:rFonts w:eastAsia="Times New Roman" w:cstheme="minorHAnsi"/>
          <w:b/>
          <w:bCs/>
          <w:color w:val="000000"/>
          <w:lang w:eastAsia="en-IE"/>
        </w:rPr>
      </w:pPr>
    </w:p>
    <w:p w:rsidR="00B70292" w:rsidRDefault="00B70292" w:rsidP="00B70292">
      <w:pPr>
        <w:spacing w:after="0" w:line="240" w:lineRule="auto"/>
        <w:rPr>
          <w:rFonts w:eastAsia="Times New Roman" w:cstheme="minorHAnsi"/>
          <w:b/>
          <w:bCs/>
          <w:color w:val="000000"/>
          <w:lang w:eastAsia="en-IE"/>
        </w:rPr>
      </w:pPr>
    </w:p>
    <w:p w:rsidR="00B70292" w:rsidRPr="00B97E75" w:rsidRDefault="00B70292" w:rsidP="00B70292">
      <w:pPr>
        <w:spacing w:after="0" w:line="240" w:lineRule="auto"/>
        <w:rPr>
          <w:rFonts w:eastAsia="Times New Roman" w:cstheme="minorHAnsi"/>
          <w:b/>
          <w:bCs/>
          <w:color w:val="000000"/>
          <w:lang w:eastAsia="en-IE"/>
        </w:rPr>
      </w:pPr>
    </w:p>
    <w:p w:rsidR="00B70292" w:rsidRPr="009660A3" w:rsidRDefault="00B70292" w:rsidP="00B70292">
      <w:pPr>
        <w:spacing w:after="0" w:line="240" w:lineRule="auto"/>
        <w:jc w:val="both"/>
        <w:rPr>
          <w:rFonts w:eastAsia="Times New Roman" w:cstheme="minorHAnsi"/>
          <w:bCs/>
          <w:color w:val="000000"/>
          <w:sz w:val="18"/>
          <w:szCs w:val="18"/>
          <w:lang w:eastAsia="en-IE"/>
        </w:rPr>
      </w:pPr>
      <w:proofErr w:type="gramStart"/>
      <w:r w:rsidRPr="009660A3">
        <w:rPr>
          <w:rFonts w:eastAsia="Times New Roman" w:cstheme="minorHAnsi"/>
          <w:bCs/>
          <w:color w:val="000000"/>
          <w:sz w:val="18"/>
          <w:szCs w:val="18"/>
          <w:vertAlign w:val="superscript"/>
          <w:lang w:eastAsia="en-IE"/>
        </w:rPr>
        <w:lastRenderedPageBreak/>
        <w:t>a</w:t>
      </w:r>
      <w:proofErr w:type="gramEnd"/>
      <w:r w:rsidRPr="009660A3">
        <w:rPr>
          <w:rFonts w:eastAsia="Times New Roman" w:cstheme="minorHAnsi"/>
          <w:bCs/>
          <w:color w:val="000000"/>
          <w:sz w:val="18"/>
          <w:szCs w:val="18"/>
          <w:lang w:eastAsia="en-IE"/>
        </w:rPr>
        <w:t xml:space="preserve"> </w:t>
      </w:r>
      <w:r w:rsidRPr="009660A3">
        <w:rPr>
          <w:rFonts w:eastAsia="Times New Roman" w:cstheme="minorHAnsi"/>
          <w:bCs/>
          <w:color w:val="000000"/>
          <w:sz w:val="18"/>
          <w:szCs w:val="18"/>
          <w:u w:val="single"/>
          <w:lang w:eastAsia="en-IE"/>
        </w:rPr>
        <w:t>Dublin City</w:t>
      </w:r>
      <w:r w:rsidRPr="009660A3">
        <w:rPr>
          <w:rFonts w:eastAsia="Times New Roman" w:cstheme="minorHAnsi"/>
          <w:bCs/>
          <w:color w:val="000000"/>
          <w:sz w:val="18"/>
          <w:szCs w:val="18"/>
          <w:lang w:eastAsia="en-IE"/>
        </w:rPr>
        <w:t>: Includes 323 unsold affordable units: Social RAS and repossessed.</w:t>
      </w:r>
    </w:p>
    <w:p w:rsidR="00B70292" w:rsidRPr="009660A3" w:rsidRDefault="00B70292" w:rsidP="00B70292">
      <w:pPr>
        <w:spacing w:after="0" w:line="240" w:lineRule="auto"/>
        <w:jc w:val="both"/>
        <w:rPr>
          <w:rFonts w:eastAsia="Times New Roman" w:cstheme="minorHAnsi"/>
          <w:bCs/>
          <w:color w:val="000000"/>
          <w:sz w:val="18"/>
          <w:szCs w:val="18"/>
          <w:lang w:eastAsia="en-IE"/>
        </w:rPr>
      </w:pPr>
      <w:proofErr w:type="gramStart"/>
      <w:r w:rsidRPr="009660A3">
        <w:rPr>
          <w:rFonts w:eastAsia="Times New Roman" w:cstheme="minorHAnsi"/>
          <w:bCs/>
          <w:color w:val="000000"/>
          <w:sz w:val="18"/>
          <w:szCs w:val="18"/>
          <w:vertAlign w:val="superscript"/>
          <w:lang w:eastAsia="en-IE"/>
        </w:rPr>
        <w:t>b</w:t>
      </w:r>
      <w:proofErr w:type="gramEnd"/>
      <w:r w:rsidRPr="009660A3">
        <w:rPr>
          <w:rFonts w:eastAsia="Times New Roman" w:cstheme="minorHAnsi"/>
          <w:bCs/>
          <w:color w:val="000000"/>
          <w:sz w:val="18"/>
          <w:szCs w:val="18"/>
          <w:vertAlign w:val="superscript"/>
          <w:lang w:eastAsia="en-IE"/>
        </w:rPr>
        <w:t xml:space="preserve"> </w:t>
      </w:r>
      <w:r w:rsidRPr="009660A3">
        <w:rPr>
          <w:rFonts w:eastAsia="Times New Roman" w:cstheme="minorHAnsi"/>
          <w:bCs/>
          <w:color w:val="000000"/>
          <w:sz w:val="18"/>
          <w:szCs w:val="18"/>
          <w:u w:val="single"/>
          <w:lang w:eastAsia="en-IE"/>
        </w:rPr>
        <w:t>Leitrim:</w:t>
      </w:r>
      <w:r w:rsidRPr="009660A3">
        <w:rPr>
          <w:rFonts w:eastAsia="Times New Roman" w:cstheme="minorHAnsi"/>
          <w:bCs/>
          <w:color w:val="000000"/>
          <w:sz w:val="18"/>
          <w:szCs w:val="18"/>
          <w:lang w:eastAsia="en-IE"/>
        </w:rPr>
        <w:t xml:space="preserve"> Call for units under RAS/SHLI issued in</w:t>
      </w:r>
      <w:r w:rsidR="00FC1701">
        <w:rPr>
          <w:rFonts w:eastAsia="Times New Roman" w:cstheme="minorHAnsi"/>
          <w:bCs/>
          <w:color w:val="000000"/>
          <w:sz w:val="18"/>
          <w:szCs w:val="18"/>
          <w:lang w:eastAsia="en-IE"/>
        </w:rPr>
        <w:t xml:space="preserve"> 2014 - only resulted in 1 unit </w:t>
      </w:r>
      <w:r w:rsidRPr="009660A3">
        <w:rPr>
          <w:rFonts w:eastAsia="Times New Roman" w:cstheme="minorHAnsi"/>
          <w:bCs/>
          <w:color w:val="000000"/>
          <w:sz w:val="18"/>
          <w:szCs w:val="18"/>
          <w:lang w:eastAsia="en-IE"/>
        </w:rPr>
        <w:t>being secured under RAS - issues particularly in Carrick on Shannon.</w:t>
      </w:r>
    </w:p>
    <w:p w:rsidR="00B70292" w:rsidRPr="009660A3" w:rsidRDefault="00B70292" w:rsidP="00B70292">
      <w:pPr>
        <w:spacing w:after="0" w:line="240" w:lineRule="auto"/>
        <w:jc w:val="both"/>
        <w:rPr>
          <w:rFonts w:eastAsia="Times New Roman" w:cstheme="minorHAnsi"/>
          <w:bCs/>
          <w:color w:val="000000"/>
          <w:sz w:val="18"/>
          <w:szCs w:val="18"/>
          <w:lang w:eastAsia="en-IE"/>
        </w:rPr>
      </w:pPr>
      <w:proofErr w:type="gramStart"/>
      <w:r w:rsidRPr="009660A3">
        <w:rPr>
          <w:rFonts w:eastAsia="Times New Roman" w:cstheme="minorHAnsi"/>
          <w:bCs/>
          <w:color w:val="000000"/>
          <w:sz w:val="18"/>
          <w:szCs w:val="18"/>
          <w:vertAlign w:val="superscript"/>
          <w:lang w:eastAsia="en-IE"/>
        </w:rPr>
        <w:t>c</w:t>
      </w:r>
      <w:proofErr w:type="gramEnd"/>
      <w:r w:rsidRPr="009660A3">
        <w:rPr>
          <w:rFonts w:eastAsia="Times New Roman" w:cstheme="minorHAnsi"/>
          <w:bCs/>
          <w:color w:val="000000"/>
          <w:sz w:val="18"/>
          <w:szCs w:val="18"/>
          <w:vertAlign w:val="superscript"/>
          <w:lang w:eastAsia="en-IE"/>
        </w:rPr>
        <w:t xml:space="preserve"> </w:t>
      </w:r>
      <w:r w:rsidRPr="009660A3">
        <w:rPr>
          <w:rFonts w:eastAsia="Times New Roman" w:cstheme="minorHAnsi"/>
          <w:bCs/>
          <w:color w:val="000000"/>
          <w:sz w:val="18"/>
          <w:szCs w:val="18"/>
          <w:u w:val="single"/>
          <w:lang w:eastAsia="en-IE"/>
        </w:rPr>
        <w:t>Dublin City</w:t>
      </w:r>
      <w:r w:rsidRPr="009660A3">
        <w:rPr>
          <w:rFonts w:eastAsia="Times New Roman" w:cstheme="minorHAnsi"/>
          <w:bCs/>
          <w:color w:val="000000"/>
          <w:sz w:val="18"/>
          <w:szCs w:val="18"/>
          <w:lang w:eastAsia="en-IE"/>
        </w:rPr>
        <w:t>: This includes all 1696 void units. 1.19</w:t>
      </w:r>
      <w:proofErr w:type="gramStart"/>
      <w:r w:rsidRPr="009660A3">
        <w:rPr>
          <w:rFonts w:eastAsia="Times New Roman" w:cstheme="minorHAnsi"/>
          <w:bCs/>
          <w:color w:val="000000"/>
          <w:sz w:val="18"/>
          <w:szCs w:val="18"/>
          <w:lang w:eastAsia="en-IE"/>
        </w:rPr>
        <w:t>%  vacant</w:t>
      </w:r>
      <w:proofErr w:type="gramEnd"/>
      <w:r w:rsidRPr="009660A3">
        <w:rPr>
          <w:rFonts w:eastAsia="Times New Roman" w:cstheme="minorHAnsi"/>
          <w:bCs/>
          <w:color w:val="000000"/>
          <w:sz w:val="18"/>
          <w:szCs w:val="18"/>
          <w:lang w:eastAsia="en-IE"/>
        </w:rPr>
        <w:t xml:space="preserve"> in real terms. i.e. 25444 less 1411 unavailable = 24,033 of which 285 were void at 31/12/2014.</w:t>
      </w:r>
    </w:p>
    <w:p w:rsidR="00B70292" w:rsidRPr="009660A3" w:rsidRDefault="00B70292" w:rsidP="00B70292">
      <w:pPr>
        <w:spacing w:after="0" w:line="240" w:lineRule="auto"/>
        <w:jc w:val="both"/>
        <w:rPr>
          <w:rFonts w:eastAsia="Times New Roman" w:cstheme="minorHAnsi"/>
          <w:bCs/>
          <w:color w:val="000000"/>
          <w:sz w:val="18"/>
          <w:szCs w:val="18"/>
          <w:lang w:eastAsia="en-IE"/>
        </w:rPr>
      </w:pPr>
      <w:proofErr w:type="gramStart"/>
      <w:r w:rsidRPr="009660A3">
        <w:rPr>
          <w:rFonts w:eastAsia="Times New Roman" w:cstheme="minorHAnsi"/>
          <w:bCs/>
          <w:color w:val="000000"/>
          <w:sz w:val="18"/>
          <w:szCs w:val="18"/>
          <w:vertAlign w:val="superscript"/>
          <w:lang w:eastAsia="en-IE"/>
        </w:rPr>
        <w:t>d</w:t>
      </w:r>
      <w:proofErr w:type="gramEnd"/>
      <w:r w:rsidRPr="009660A3">
        <w:rPr>
          <w:rFonts w:eastAsia="Times New Roman" w:cstheme="minorHAnsi"/>
          <w:bCs/>
          <w:color w:val="000000"/>
          <w:sz w:val="18"/>
          <w:szCs w:val="18"/>
          <w:vertAlign w:val="superscript"/>
          <w:lang w:eastAsia="en-IE"/>
        </w:rPr>
        <w:t xml:space="preserve"> </w:t>
      </w:r>
      <w:r w:rsidRPr="009660A3">
        <w:rPr>
          <w:rFonts w:eastAsia="Times New Roman" w:cstheme="minorHAnsi"/>
          <w:bCs/>
          <w:color w:val="000000"/>
          <w:sz w:val="18"/>
          <w:szCs w:val="18"/>
          <w:u w:val="single"/>
          <w:lang w:eastAsia="en-IE"/>
        </w:rPr>
        <w:t>Leitrim:</w:t>
      </w:r>
      <w:r w:rsidRPr="009660A3">
        <w:rPr>
          <w:rFonts w:eastAsia="Times New Roman" w:cstheme="minorHAnsi"/>
          <w:bCs/>
          <w:color w:val="000000"/>
          <w:sz w:val="18"/>
          <w:szCs w:val="18"/>
          <w:lang w:eastAsia="en-IE"/>
        </w:rPr>
        <w:t xml:space="preserve"> Indicator previously excluded units subject to major refurbishment/long term voids.</w:t>
      </w:r>
    </w:p>
    <w:p w:rsidR="00B70292" w:rsidRPr="009660A3" w:rsidRDefault="00B70292" w:rsidP="00B70292">
      <w:pPr>
        <w:spacing w:after="0" w:line="240" w:lineRule="auto"/>
        <w:jc w:val="both"/>
        <w:rPr>
          <w:rFonts w:eastAsia="Times New Roman" w:cstheme="minorHAnsi"/>
          <w:bCs/>
          <w:color w:val="000000"/>
          <w:sz w:val="18"/>
          <w:szCs w:val="18"/>
          <w:lang w:eastAsia="en-IE"/>
        </w:rPr>
      </w:pPr>
      <w:proofErr w:type="gramStart"/>
      <w:r w:rsidRPr="009660A3">
        <w:rPr>
          <w:rFonts w:eastAsia="Times New Roman" w:cstheme="minorHAnsi"/>
          <w:bCs/>
          <w:color w:val="000000"/>
          <w:sz w:val="18"/>
          <w:szCs w:val="18"/>
          <w:vertAlign w:val="superscript"/>
          <w:lang w:eastAsia="en-IE"/>
        </w:rPr>
        <w:t>e</w:t>
      </w:r>
      <w:proofErr w:type="gramEnd"/>
      <w:r w:rsidRPr="009660A3">
        <w:rPr>
          <w:rFonts w:eastAsia="Times New Roman" w:cstheme="minorHAnsi"/>
          <w:bCs/>
          <w:color w:val="000000"/>
          <w:sz w:val="18"/>
          <w:szCs w:val="18"/>
          <w:vertAlign w:val="superscript"/>
          <w:lang w:eastAsia="en-IE"/>
        </w:rPr>
        <w:t xml:space="preserve"> </w:t>
      </w:r>
      <w:r w:rsidRPr="009660A3">
        <w:rPr>
          <w:rFonts w:eastAsia="Times New Roman" w:cstheme="minorHAnsi"/>
          <w:bCs/>
          <w:color w:val="000000"/>
          <w:sz w:val="18"/>
          <w:szCs w:val="18"/>
          <w:u w:val="single"/>
          <w:lang w:eastAsia="en-IE"/>
        </w:rPr>
        <w:t>Roscommon:</w:t>
      </w:r>
      <w:r w:rsidRPr="009660A3">
        <w:rPr>
          <w:rFonts w:eastAsia="Times New Roman" w:cstheme="minorHAnsi"/>
          <w:bCs/>
          <w:color w:val="000000"/>
          <w:sz w:val="18"/>
          <w:szCs w:val="18"/>
          <w:lang w:eastAsia="en-IE"/>
        </w:rPr>
        <w:t xml:space="preserve"> The vacant stock includes a number of rural houses which are in isolated locations with no demand identified. It is proposed to sell the houses with Department approval. Included </w:t>
      </w:r>
      <w:proofErr w:type="gramStart"/>
      <w:r w:rsidRPr="009660A3">
        <w:rPr>
          <w:rFonts w:eastAsia="Times New Roman" w:cstheme="minorHAnsi"/>
          <w:bCs/>
          <w:color w:val="000000"/>
          <w:sz w:val="18"/>
          <w:szCs w:val="18"/>
          <w:lang w:eastAsia="en-IE"/>
        </w:rPr>
        <w:t>is</w:t>
      </w:r>
      <w:proofErr w:type="gramEnd"/>
      <w:r w:rsidRPr="009660A3">
        <w:rPr>
          <w:rFonts w:eastAsia="Times New Roman" w:cstheme="minorHAnsi"/>
          <w:bCs/>
          <w:color w:val="000000"/>
          <w:sz w:val="18"/>
          <w:szCs w:val="18"/>
          <w:lang w:eastAsia="en-IE"/>
        </w:rPr>
        <w:t xml:space="preserve"> a number of units of Traveller-specific accommodation with no demand identified.</w:t>
      </w:r>
    </w:p>
    <w:p w:rsidR="00B70292" w:rsidRPr="00B97E75" w:rsidRDefault="00B70292" w:rsidP="00B70292">
      <w:pPr>
        <w:spacing w:after="0" w:line="240" w:lineRule="auto"/>
        <w:rPr>
          <w:rFonts w:eastAsia="Times New Roman" w:cstheme="minorHAnsi"/>
          <w:b/>
          <w:bCs/>
          <w:color w:val="000000"/>
          <w:lang w:eastAsia="en-IE"/>
        </w:rPr>
      </w:pPr>
    </w:p>
    <w:p w:rsidR="00B70292" w:rsidRPr="00B97E75" w:rsidRDefault="00B70292" w:rsidP="00B70292">
      <w:pPr>
        <w:rPr>
          <w:rFonts w:cstheme="minorHAnsi"/>
        </w:rPr>
      </w:pPr>
    </w:p>
    <w:tbl>
      <w:tblPr>
        <w:tblW w:w="6106" w:type="dxa"/>
        <w:tblInd w:w="98" w:type="dxa"/>
        <w:tblLook w:val="04A0" w:firstRow="1" w:lastRow="0" w:firstColumn="1" w:lastColumn="0" w:noHBand="0" w:noVBand="1"/>
      </w:tblPr>
      <w:tblGrid>
        <w:gridCol w:w="1853"/>
        <w:gridCol w:w="2977"/>
        <w:gridCol w:w="1276"/>
      </w:tblGrid>
      <w:tr w:rsidR="00B70292" w:rsidRPr="00B97E75" w:rsidTr="000F6A09">
        <w:trPr>
          <w:trHeight w:val="315"/>
        </w:trPr>
        <w:tc>
          <w:tcPr>
            <w:tcW w:w="610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70292" w:rsidRPr="00B97E75" w:rsidRDefault="00B70292" w:rsidP="000F6A09">
            <w:pPr>
              <w:rPr>
                <w:rFonts w:cstheme="minorHAnsi"/>
                <w:b/>
                <w:bCs/>
                <w:color w:val="000000"/>
              </w:rPr>
            </w:pPr>
            <w:r w:rsidRPr="00B97E75">
              <w:rPr>
                <w:rFonts w:cstheme="minorHAnsi"/>
                <w:b/>
                <w:bCs/>
                <w:color w:val="000000"/>
              </w:rPr>
              <w:t>Total Social Housing Dwellings Stock at 31/12/2014</w:t>
            </w:r>
          </w:p>
        </w:tc>
      </w:tr>
      <w:tr w:rsidR="00B70292" w:rsidRPr="00B97E75" w:rsidTr="000F6A09">
        <w:trPr>
          <w:trHeight w:val="315"/>
        </w:trPr>
        <w:tc>
          <w:tcPr>
            <w:tcW w:w="483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 xml:space="preserve">Total Dwellings </w:t>
            </w:r>
          </w:p>
        </w:tc>
        <w:tc>
          <w:tcPr>
            <w:tcW w:w="1276" w:type="dxa"/>
            <w:tcBorders>
              <w:top w:val="nil"/>
              <w:left w:val="nil"/>
              <w:bottom w:val="single" w:sz="8" w:space="0" w:color="auto"/>
              <w:right w:val="single" w:sz="8" w:space="0" w:color="auto"/>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2014</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N</w:t>
            </w:r>
          </w:p>
        </w:tc>
        <w:tc>
          <w:tcPr>
            <w:tcW w:w="2977" w:type="dxa"/>
            <w:tcBorders>
              <w:top w:val="nil"/>
              <w:left w:val="nil"/>
              <w:bottom w:val="single" w:sz="8" w:space="0" w:color="auto"/>
              <w:right w:val="nil"/>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Valid</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31</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977" w:type="dxa"/>
            <w:tcBorders>
              <w:top w:val="nil"/>
              <w:left w:val="nil"/>
              <w:bottom w:val="single" w:sz="8" w:space="0" w:color="auto"/>
              <w:right w:val="nil"/>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Missing</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0</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Average</w:t>
            </w:r>
          </w:p>
        </w:tc>
        <w:tc>
          <w:tcPr>
            <w:tcW w:w="2977" w:type="dxa"/>
            <w:tcBorders>
              <w:top w:val="nil"/>
              <w:left w:val="nil"/>
              <w:bottom w:val="single" w:sz="8" w:space="0" w:color="auto"/>
              <w:right w:val="nil"/>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Median</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3,645.00</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977" w:type="dxa"/>
            <w:tcBorders>
              <w:top w:val="nil"/>
              <w:left w:val="nil"/>
              <w:bottom w:val="single" w:sz="8" w:space="0" w:color="auto"/>
              <w:right w:val="nil"/>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Mean</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4,960.42</w:t>
            </w:r>
          </w:p>
        </w:tc>
      </w:tr>
      <w:tr w:rsidR="00B70292" w:rsidRPr="00B97E75" w:rsidTr="000F6A09">
        <w:trPr>
          <w:trHeight w:val="315"/>
        </w:trPr>
        <w:tc>
          <w:tcPr>
            <w:tcW w:w="4830" w:type="dxa"/>
            <w:gridSpan w:val="2"/>
            <w:tcBorders>
              <w:top w:val="single" w:sz="8" w:space="0" w:color="auto"/>
              <w:left w:val="single" w:sz="8" w:space="0" w:color="auto"/>
              <w:bottom w:val="single" w:sz="8" w:space="0" w:color="auto"/>
              <w:right w:val="nil"/>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Directly Provided</w:t>
            </w:r>
          </w:p>
        </w:tc>
        <w:tc>
          <w:tcPr>
            <w:tcW w:w="1276" w:type="dxa"/>
            <w:tcBorders>
              <w:top w:val="nil"/>
              <w:left w:val="single" w:sz="8" w:space="0" w:color="auto"/>
              <w:bottom w:val="single" w:sz="8" w:space="0" w:color="auto"/>
              <w:right w:val="single" w:sz="8" w:space="0" w:color="auto"/>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2014</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N</w:t>
            </w:r>
          </w:p>
        </w:tc>
        <w:tc>
          <w:tcPr>
            <w:tcW w:w="2977" w:type="dxa"/>
            <w:tcBorders>
              <w:top w:val="nil"/>
              <w:left w:val="nil"/>
              <w:bottom w:val="single" w:sz="8" w:space="0" w:color="auto"/>
              <w:right w:val="nil"/>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Valid</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31</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977" w:type="dxa"/>
            <w:tcBorders>
              <w:top w:val="nil"/>
              <w:left w:val="nil"/>
              <w:bottom w:val="single" w:sz="8" w:space="0" w:color="auto"/>
              <w:right w:val="nil"/>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Missing</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0</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Average</w:t>
            </w:r>
          </w:p>
        </w:tc>
        <w:tc>
          <w:tcPr>
            <w:tcW w:w="2977"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Median</w:t>
            </w:r>
          </w:p>
        </w:tc>
        <w:tc>
          <w:tcPr>
            <w:tcW w:w="127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3,100.00</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977"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Mean</w:t>
            </w:r>
          </w:p>
        </w:tc>
        <w:tc>
          <w:tcPr>
            <w:tcW w:w="127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4,177.77</w:t>
            </w:r>
          </w:p>
        </w:tc>
      </w:tr>
      <w:tr w:rsidR="00B70292" w:rsidRPr="00B97E75" w:rsidTr="000F6A09">
        <w:trPr>
          <w:trHeight w:val="315"/>
        </w:trPr>
        <w:tc>
          <w:tcPr>
            <w:tcW w:w="483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Provided under RAS</w:t>
            </w:r>
          </w:p>
        </w:tc>
        <w:tc>
          <w:tcPr>
            <w:tcW w:w="1276" w:type="dxa"/>
            <w:tcBorders>
              <w:top w:val="nil"/>
              <w:left w:val="nil"/>
              <w:bottom w:val="single" w:sz="8" w:space="0" w:color="auto"/>
              <w:right w:val="single" w:sz="8" w:space="0" w:color="auto"/>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2014</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N</w:t>
            </w:r>
          </w:p>
        </w:tc>
        <w:tc>
          <w:tcPr>
            <w:tcW w:w="2977"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Valid</w:t>
            </w:r>
          </w:p>
        </w:tc>
        <w:tc>
          <w:tcPr>
            <w:tcW w:w="127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31</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977"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Missing</w:t>
            </w:r>
          </w:p>
        </w:tc>
        <w:tc>
          <w:tcPr>
            <w:tcW w:w="127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0</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Average</w:t>
            </w:r>
          </w:p>
        </w:tc>
        <w:tc>
          <w:tcPr>
            <w:tcW w:w="2977"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Median</w:t>
            </w:r>
          </w:p>
        </w:tc>
        <w:tc>
          <w:tcPr>
            <w:tcW w:w="127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486.00</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977"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Mean</w:t>
            </w:r>
          </w:p>
        </w:tc>
        <w:tc>
          <w:tcPr>
            <w:tcW w:w="127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587.58</w:t>
            </w:r>
          </w:p>
        </w:tc>
      </w:tr>
      <w:tr w:rsidR="00B70292" w:rsidRPr="00B97E75" w:rsidTr="000F6A09">
        <w:trPr>
          <w:trHeight w:val="315"/>
        </w:trPr>
        <w:tc>
          <w:tcPr>
            <w:tcW w:w="483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Provided under HAP</w:t>
            </w:r>
          </w:p>
        </w:tc>
        <w:tc>
          <w:tcPr>
            <w:tcW w:w="1276" w:type="dxa"/>
            <w:tcBorders>
              <w:top w:val="nil"/>
              <w:left w:val="nil"/>
              <w:bottom w:val="single" w:sz="8" w:space="0" w:color="auto"/>
              <w:right w:val="single" w:sz="8" w:space="0" w:color="auto"/>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2014</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N</w:t>
            </w:r>
          </w:p>
        </w:tc>
        <w:tc>
          <w:tcPr>
            <w:tcW w:w="2977"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Valid</w:t>
            </w:r>
          </w:p>
        </w:tc>
        <w:tc>
          <w:tcPr>
            <w:tcW w:w="127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7</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977"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Missing</w:t>
            </w:r>
          </w:p>
        </w:tc>
        <w:tc>
          <w:tcPr>
            <w:tcW w:w="127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24</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Average</w:t>
            </w:r>
          </w:p>
        </w:tc>
        <w:tc>
          <w:tcPr>
            <w:tcW w:w="2977"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Median</w:t>
            </w:r>
          </w:p>
        </w:tc>
        <w:tc>
          <w:tcPr>
            <w:tcW w:w="127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41.00</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977"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Mean</w:t>
            </w:r>
          </w:p>
        </w:tc>
        <w:tc>
          <w:tcPr>
            <w:tcW w:w="127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66.14</w:t>
            </w:r>
          </w:p>
        </w:tc>
      </w:tr>
      <w:tr w:rsidR="00B70292" w:rsidRPr="00B97E75" w:rsidTr="000F6A09">
        <w:trPr>
          <w:trHeight w:val="315"/>
        </w:trPr>
        <w:tc>
          <w:tcPr>
            <w:tcW w:w="483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Provided under SHLI</w:t>
            </w:r>
          </w:p>
        </w:tc>
        <w:tc>
          <w:tcPr>
            <w:tcW w:w="1276" w:type="dxa"/>
            <w:tcBorders>
              <w:top w:val="nil"/>
              <w:left w:val="nil"/>
              <w:bottom w:val="single" w:sz="8" w:space="0" w:color="auto"/>
              <w:right w:val="single" w:sz="8" w:space="0" w:color="auto"/>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2014</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N</w:t>
            </w:r>
          </w:p>
        </w:tc>
        <w:tc>
          <w:tcPr>
            <w:tcW w:w="2977"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Valid</w:t>
            </w:r>
          </w:p>
        </w:tc>
        <w:tc>
          <w:tcPr>
            <w:tcW w:w="127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31</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977"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Missing</w:t>
            </w:r>
          </w:p>
        </w:tc>
        <w:tc>
          <w:tcPr>
            <w:tcW w:w="127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0</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Average</w:t>
            </w:r>
          </w:p>
        </w:tc>
        <w:tc>
          <w:tcPr>
            <w:tcW w:w="2977"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Median</w:t>
            </w:r>
          </w:p>
        </w:tc>
        <w:tc>
          <w:tcPr>
            <w:tcW w:w="127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130.00</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977"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Mean</w:t>
            </w:r>
          </w:p>
        </w:tc>
        <w:tc>
          <w:tcPr>
            <w:tcW w:w="127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1</w:t>
            </w:r>
            <w:r>
              <w:rPr>
                <w:rFonts w:eastAsia="Times New Roman" w:cstheme="minorHAnsi"/>
                <w:color w:val="000000"/>
                <w:lang w:eastAsia="en-IE"/>
              </w:rPr>
              <w:t>80.13</w:t>
            </w:r>
          </w:p>
        </w:tc>
      </w:tr>
      <w:tr w:rsidR="00B70292" w:rsidRPr="00E25445" w:rsidTr="000F6A09">
        <w:trPr>
          <w:trHeight w:val="373"/>
        </w:trPr>
        <w:tc>
          <w:tcPr>
            <w:tcW w:w="483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B70292" w:rsidRPr="00E25445" w:rsidRDefault="00B70292" w:rsidP="000F6A09">
            <w:pPr>
              <w:spacing w:after="0" w:line="240" w:lineRule="auto"/>
              <w:rPr>
                <w:rFonts w:cstheme="minorHAnsi"/>
                <w:color w:val="000000"/>
              </w:rPr>
            </w:pPr>
            <w:r w:rsidRPr="00E25445">
              <w:rPr>
                <w:rFonts w:cstheme="minorHAnsi"/>
                <w:color w:val="000000"/>
              </w:rPr>
              <w:t>Percentage of Directly Provided Vacant at 31/12/14</w:t>
            </w:r>
          </w:p>
        </w:tc>
        <w:tc>
          <w:tcPr>
            <w:tcW w:w="1276" w:type="dxa"/>
            <w:tcBorders>
              <w:top w:val="nil"/>
              <w:left w:val="nil"/>
              <w:bottom w:val="single" w:sz="8" w:space="0" w:color="auto"/>
              <w:right w:val="single" w:sz="8" w:space="0" w:color="auto"/>
            </w:tcBorders>
            <w:shd w:val="clear" w:color="auto" w:fill="B6DDE8" w:themeFill="accent5" w:themeFillTint="66"/>
            <w:vAlign w:val="center"/>
            <w:hideMark/>
          </w:tcPr>
          <w:p w:rsidR="00B70292" w:rsidRPr="00E25445" w:rsidRDefault="00B70292" w:rsidP="000F6A09">
            <w:pPr>
              <w:spacing w:after="0" w:line="240" w:lineRule="auto"/>
              <w:rPr>
                <w:rFonts w:eastAsia="Times New Roman" w:cstheme="minorHAnsi"/>
                <w:b/>
                <w:bCs/>
                <w:color w:val="000000"/>
                <w:lang w:eastAsia="en-IE"/>
              </w:rPr>
            </w:pPr>
            <w:r w:rsidRPr="00E25445">
              <w:rPr>
                <w:rFonts w:eastAsia="Times New Roman" w:cstheme="minorHAnsi"/>
                <w:b/>
                <w:bCs/>
                <w:color w:val="000000"/>
                <w:lang w:eastAsia="en-IE"/>
              </w:rPr>
              <w:t>2014</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N</w:t>
            </w:r>
          </w:p>
        </w:tc>
        <w:tc>
          <w:tcPr>
            <w:tcW w:w="2977"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Valid</w:t>
            </w:r>
          </w:p>
        </w:tc>
        <w:tc>
          <w:tcPr>
            <w:tcW w:w="127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31</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977"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Missing</w:t>
            </w:r>
          </w:p>
        </w:tc>
        <w:tc>
          <w:tcPr>
            <w:tcW w:w="127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0</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Average</w:t>
            </w:r>
          </w:p>
        </w:tc>
        <w:tc>
          <w:tcPr>
            <w:tcW w:w="2977"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Median</w:t>
            </w:r>
          </w:p>
        </w:tc>
        <w:tc>
          <w:tcPr>
            <w:tcW w:w="127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Pr>
                <w:rFonts w:eastAsia="Times New Roman" w:cstheme="minorHAnsi"/>
                <w:b/>
                <w:bCs/>
                <w:color w:val="000000"/>
                <w:lang w:eastAsia="en-IE"/>
              </w:rPr>
              <w:t>2.83</w:t>
            </w:r>
          </w:p>
        </w:tc>
      </w:tr>
      <w:tr w:rsidR="00B70292" w:rsidRPr="00B97E75" w:rsidTr="000F6A09">
        <w:trPr>
          <w:trHeight w:val="315"/>
        </w:trPr>
        <w:tc>
          <w:tcPr>
            <w:tcW w:w="1853"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977"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Mean</w:t>
            </w:r>
          </w:p>
        </w:tc>
        <w:tc>
          <w:tcPr>
            <w:tcW w:w="1276"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Pr>
                <w:rFonts w:eastAsia="Times New Roman" w:cstheme="minorHAnsi"/>
                <w:color w:val="000000"/>
                <w:lang w:eastAsia="en-IE"/>
              </w:rPr>
              <w:t>3.45</w:t>
            </w:r>
          </w:p>
        </w:tc>
      </w:tr>
    </w:tbl>
    <w:p w:rsidR="00B70292" w:rsidRDefault="00B70292" w:rsidP="00B70292">
      <w:pPr>
        <w:pStyle w:val="PITableHeading"/>
        <w:rPr>
          <w:rFonts w:asciiTheme="minorHAnsi" w:eastAsiaTheme="minorHAnsi" w:hAnsiTheme="minorHAnsi" w:cstheme="minorHAnsi"/>
          <w:b w:val="0"/>
          <w:bCs w:val="0"/>
          <w:color w:val="auto"/>
          <w:sz w:val="22"/>
          <w:szCs w:val="22"/>
          <w:lang w:eastAsia="en-US"/>
        </w:rPr>
      </w:pPr>
    </w:p>
    <w:tbl>
      <w:tblPr>
        <w:tblW w:w="6980" w:type="dxa"/>
        <w:tblInd w:w="98" w:type="dxa"/>
        <w:tblLook w:val="04A0" w:firstRow="1" w:lastRow="0" w:firstColumn="1" w:lastColumn="0" w:noHBand="0" w:noVBand="1"/>
      </w:tblPr>
      <w:tblGrid>
        <w:gridCol w:w="995"/>
        <w:gridCol w:w="980"/>
        <w:gridCol w:w="1001"/>
        <w:gridCol w:w="1001"/>
        <w:gridCol w:w="1001"/>
        <w:gridCol w:w="1001"/>
        <w:gridCol w:w="1001"/>
      </w:tblGrid>
      <w:tr w:rsidR="00B70292" w:rsidRPr="0031605E" w:rsidTr="000F6A09">
        <w:trPr>
          <w:trHeight w:val="315"/>
        </w:trPr>
        <w:tc>
          <w:tcPr>
            <w:tcW w:w="698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B70292" w:rsidRPr="0031605E" w:rsidRDefault="00B70292" w:rsidP="000F6A09">
            <w:pPr>
              <w:spacing w:after="0" w:line="240" w:lineRule="auto"/>
              <w:rPr>
                <w:rFonts w:eastAsia="Times New Roman" w:cstheme="minorHAnsi"/>
                <w:b/>
                <w:bCs/>
                <w:color w:val="000000"/>
                <w:lang w:eastAsia="en-IE"/>
              </w:rPr>
            </w:pPr>
            <w:r w:rsidRPr="0031605E">
              <w:rPr>
                <w:rFonts w:eastAsia="Times New Roman" w:cstheme="minorHAnsi"/>
                <w:b/>
                <w:bCs/>
                <w:color w:val="000000"/>
                <w:lang w:eastAsia="en-IE"/>
              </w:rPr>
              <w:lastRenderedPageBreak/>
              <w:t>Summary Statistics 2010 - 2014</w:t>
            </w:r>
          </w:p>
        </w:tc>
      </w:tr>
      <w:tr w:rsidR="00B70292" w:rsidRPr="0031605E" w:rsidTr="000F6A09">
        <w:trPr>
          <w:trHeight w:val="921"/>
        </w:trPr>
        <w:tc>
          <w:tcPr>
            <w:tcW w:w="6980" w:type="dxa"/>
            <w:gridSpan w:val="7"/>
            <w:tcBorders>
              <w:top w:val="single" w:sz="8" w:space="0" w:color="auto"/>
              <w:left w:val="single" w:sz="8" w:space="0" w:color="auto"/>
              <w:bottom w:val="nil"/>
              <w:right w:val="single" w:sz="8" w:space="0" w:color="000000"/>
            </w:tcBorders>
            <w:shd w:val="clear" w:color="auto" w:fill="B6DDE8" w:themeFill="accent5" w:themeFillTint="66"/>
            <w:vAlign w:val="center"/>
            <w:hideMark/>
          </w:tcPr>
          <w:p w:rsidR="00D25D40" w:rsidRDefault="00D25D40" w:rsidP="000F6A09">
            <w:pPr>
              <w:rPr>
                <w:rFonts w:ascii="Calibri" w:hAnsi="Calibri" w:cs="Calibri"/>
                <w:b/>
                <w:bCs/>
                <w:color w:val="000000"/>
              </w:rPr>
            </w:pPr>
          </w:p>
          <w:p w:rsidR="00B70292" w:rsidRPr="000754C4" w:rsidRDefault="00B70292" w:rsidP="000F6A09">
            <w:pPr>
              <w:rPr>
                <w:rFonts w:ascii="Calibri" w:hAnsi="Calibri" w:cs="Calibri"/>
                <w:b/>
                <w:bCs/>
                <w:color w:val="000000"/>
              </w:rPr>
            </w:pPr>
            <w:r>
              <w:rPr>
                <w:rFonts w:ascii="Calibri" w:hAnsi="Calibri" w:cs="Calibri"/>
                <w:b/>
                <w:bCs/>
                <w:color w:val="000000"/>
              </w:rPr>
              <w:t>The total number of dwe</w:t>
            </w:r>
            <w:r w:rsidR="00D25D40">
              <w:rPr>
                <w:rFonts w:ascii="Calibri" w:hAnsi="Calibri" w:cs="Calibri"/>
                <w:b/>
                <w:bCs/>
                <w:color w:val="000000"/>
              </w:rPr>
              <w:t>llings in local authority stock</w:t>
            </w:r>
            <w:r w:rsidR="0064781E">
              <w:rPr>
                <w:rFonts w:ascii="Calibri" w:hAnsi="Calibri" w:cs="Calibri"/>
                <w:b/>
                <w:bCs/>
                <w:color w:val="000000"/>
              </w:rPr>
              <w:t>*</w:t>
            </w:r>
          </w:p>
        </w:tc>
      </w:tr>
      <w:tr w:rsidR="00B70292" w:rsidRPr="0031605E" w:rsidTr="000F6A09">
        <w:trPr>
          <w:trHeight w:val="402"/>
        </w:trPr>
        <w:tc>
          <w:tcPr>
            <w:tcW w:w="1040" w:type="dxa"/>
            <w:tcBorders>
              <w:top w:val="single" w:sz="8" w:space="0" w:color="auto"/>
              <w:left w:val="single" w:sz="8" w:space="0" w:color="auto"/>
              <w:bottom w:val="single" w:sz="8" w:space="0" w:color="auto"/>
              <w:right w:val="nil"/>
            </w:tcBorders>
            <w:shd w:val="clear" w:color="auto" w:fill="FFFFFF" w:themeFill="background1"/>
            <w:vAlign w:val="center"/>
            <w:hideMark/>
          </w:tcPr>
          <w:p w:rsidR="00B70292" w:rsidRPr="0031605E" w:rsidRDefault="00B70292" w:rsidP="000F6A09">
            <w:pPr>
              <w:spacing w:after="0" w:line="240" w:lineRule="auto"/>
              <w:rPr>
                <w:rFonts w:eastAsia="Times New Roman" w:cstheme="minorHAnsi"/>
                <w:b/>
                <w:bCs/>
                <w:color w:val="000000"/>
                <w:lang w:eastAsia="en-IE"/>
              </w:rPr>
            </w:pPr>
          </w:p>
        </w:tc>
        <w:tc>
          <w:tcPr>
            <w:tcW w:w="1080" w:type="dxa"/>
            <w:tcBorders>
              <w:top w:val="single" w:sz="8" w:space="0" w:color="auto"/>
              <w:left w:val="nil"/>
              <w:bottom w:val="single" w:sz="8" w:space="0" w:color="auto"/>
              <w:right w:val="nil"/>
            </w:tcBorders>
            <w:shd w:val="clear" w:color="auto" w:fill="FFFFFF" w:themeFill="background1"/>
            <w:vAlign w:val="center"/>
            <w:hideMark/>
          </w:tcPr>
          <w:p w:rsidR="00B70292" w:rsidRPr="0031605E" w:rsidRDefault="00B70292" w:rsidP="000F6A09">
            <w:pPr>
              <w:spacing w:after="0" w:line="240" w:lineRule="auto"/>
              <w:rPr>
                <w:rFonts w:eastAsia="Times New Roman" w:cstheme="minorHAnsi"/>
                <w:b/>
                <w:bCs/>
                <w:color w:val="000000"/>
                <w:lang w:eastAsia="en-IE"/>
              </w:rPr>
            </w:pPr>
          </w:p>
        </w:tc>
        <w:tc>
          <w:tcPr>
            <w:tcW w:w="980" w:type="dxa"/>
            <w:tcBorders>
              <w:top w:val="single" w:sz="8" w:space="0" w:color="auto"/>
              <w:left w:val="single" w:sz="4" w:space="0" w:color="auto"/>
              <w:bottom w:val="single" w:sz="8" w:space="0" w:color="auto"/>
              <w:right w:val="single" w:sz="4" w:space="0" w:color="auto"/>
            </w:tcBorders>
            <w:shd w:val="clear" w:color="auto" w:fill="FFFFFF" w:themeFill="background1"/>
            <w:vAlign w:val="center"/>
            <w:hideMark/>
          </w:tcPr>
          <w:p w:rsidR="00B70292" w:rsidRPr="000754C4" w:rsidRDefault="00B70292" w:rsidP="000F6A09">
            <w:pPr>
              <w:spacing w:after="0" w:line="240" w:lineRule="auto"/>
              <w:rPr>
                <w:rFonts w:eastAsia="Times New Roman" w:cstheme="minorHAnsi"/>
                <w:b/>
                <w:bCs/>
                <w:color w:val="000000"/>
                <w:vertAlign w:val="superscript"/>
                <w:lang w:eastAsia="en-IE"/>
              </w:rPr>
            </w:pPr>
            <w:r w:rsidRPr="0031605E">
              <w:rPr>
                <w:rFonts w:eastAsia="Times New Roman" w:cstheme="minorHAnsi"/>
                <w:b/>
                <w:bCs/>
                <w:color w:val="000000"/>
                <w:lang w:eastAsia="en-IE"/>
              </w:rPr>
              <w:t>2010</w:t>
            </w:r>
          </w:p>
        </w:tc>
        <w:tc>
          <w:tcPr>
            <w:tcW w:w="980" w:type="dxa"/>
            <w:tcBorders>
              <w:top w:val="single" w:sz="8" w:space="0" w:color="auto"/>
              <w:left w:val="nil"/>
              <w:bottom w:val="single" w:sz="8" w:space="0" w:color="auto"/>
              <w:right w:val="single" w:sz="4" w:space="0" w:color="auto"/>
            </w:tcBorders>
            <w:shd w:val="clear" w:color="auto" w:fill="FFFFFF" w:themeFill="background1"/>
            <w:vAlign w:val="center"/>
            <w:hideMark/>
          </w:tcPr>
          <w:p w:rsidR="00B70292" w:rsidRPr="000754C4" w:rsidRDefault="00B70292" w:rsidP="000F6A09">
            <w:pPr>
              <w:spacing w:after="0" w:line="240" w:lineRule="auto"/>
              <w:rPr>
                <w:rFonts w:eastAsia="Times New Roman" w:cstheme="minorHAnsi"/>
                <w:b/>
                <w:bCs/>
                <w:color w:val="000000"/>
                <w:vertAlign w:val="superscript"/>
                <w:lang w:eastAsia="en-IE"/>
              </w:rPr>
            </w:pPr>
            <w:r w:rsidRPr="0031605E">
              <w:rPr>
                <w:rFonts w:eastAsia="Times New Roman" w:cstheme="minorHAnsi"/>
                <w:b/>
                <w:bCs/>
                <w:color w:val="000000"/>
                <w:lang w:eastAsia="en-IE"/>
              </w:rPr>
              <w:t>2011</w:t>
            </w:r>
          </w:p>
        </w:tc>
        <w:tc>
          <w:tcPr>
            <w:tcW w:w="980" w:type="dxa"/>
            <w:tcBorders>
              <w:top w:val="single" w:sz="8" w:space="0" w:color="auto"/>
              <w:left w:val="nil"/>
              <w:bottom w:val="single" w:sz="8" w:space="0" w:color="auto"/>
              <w:right w:val="single" w:sz="4" w:space="0" w:color="auto"/>
            </w:tcBorders>
            <w:shd w:val="clear" w:color="auto" w:fill="FFFFFF" w:themeFill="background1"/>
            <w:vAlign w:val="center"/>
            <w:hideMark/>
          </w:tcPr>
          <w:p w:rsidR="00B70292" w:rsidRPr="000754C4" w:rsidRDefault="00B70292" w:rsidP="000F6A09">
            <w:pPr>
              <w:spacing w:after="0" w:line="240" w:lineRule="auto"/>
              <w:rPr>
                <w:rFonts w:eastAsia="Times New Roman" w:cstheme="minorHAnsi"/>
                <w:b/>
                <w:bCs/>
                <w:color w:val="000000"/>
                <w:vertAlign w:val="superscript"/>
                <w:lang w:eastAsia="en-IE"/>
              </w:rPr>
            </w:pPr>
            <w:r w:rsidRPr="0031605E">
              <w:rPr>
                <w:rFonts w:eastAsia="Times New Roman" w:cstheme="minorHAnsi"/>
                <w:b/>
                <w:bCs/>
                <w:color w:val="000000"/>
                <w:lang w:eastAsia="en-IE"/>
              </w:rPr>
              <w:t>2012</w:t>
            </w:r>
          </w:p>
        </w:tc>
        <w:tc>
          <w:tcPr>
            <w:tcW w:w="960" w:type="dxa"/>
            <w:tcBorders>
              <w:top w:val="single" w:sz="8" w:space="0" w:color="auto"/>
              <w:left w:val="nil"/>
              <w:bottom w:val="single" w:sz="8" w:space="0" w:color="auto"/>
              <w:right w:val="single" w:sz="4" w:space="0" w:color="auto"/>
            </w:tcBorders>
            <w:shd w:val="clear" w:color="auto" w:fill="FFFFFF" w:themeFill="background1"/>
            <w:vAlign w:val="center"/>
            <w:hideMark/>
          </w:tcPr>
          <w:p w:rsidR="00B70292" w:rsidRPr="000754C4" w:rsidRDefault="00B70292" w:rsidP="000F6A09">
            <w:pPr>
              <w:spacing w:after="0" w:line="240" w:lineRule="auto"/>
              <w:rPr>
                <w:rFonts w:eastAsia="Times New Roman" w:cstheme="minorHAnsi"/>
                <w:b/>
                <w:bCs/>
                <w:color w:val="000000"/>
                <w:vertAlign w:val="superscript"/>
                <w:lang w:eastAsia="en-IE"/>
              </w:rPr>
            </w:pPr>
            <w:r w:rsidRPr="0031605E">
              <w:rPr>
                <w:rFonts w:eastAsia="Times New Roman" w:cstheme="minorHAnsi"/>
                <w:b/>
                <w:bCs/>
                <w:color w:val="000000"/>
                <w:lang w:eastAsia="en-IE"/>
              </w:rPr>
              <w:t>2013</w:t>
            </w:r>
          </w:p>
        </w:tc>
        <w:tc>
          <w:tcPr>
            <w:tcW w:w="960" w:type="dxa"/>
            <w:tcBorders>
              <w:top w:val="single" w:sz="8" w:space="0" w:color="auto"/>
              <w:left w:val="nil"/>
              <w:bottom w:val="single" w:sz="8" w:space="0" w:color="auto"/>
              <w:right w:val="single" w:sz="8" w:space="0" w:color="auto"/>
            </w:tcBorders>
            <w:shd w:val="clear" w:color="auto" w:fill="FFFFFF" w:themeFill="background1"/>
            <w:vAlign w:val="center"/>
            <w:hideMark/>
          </w:tcPr>
          <w:p w:rsidR="00B70292" w:rsidRPr="000754C4" w:rsidRDefault="00B70292" w:rsidP="000F6A09">
            <w:pPr>
              <w:spacing w:after="0" w:line="240" w:lineRule="auto"/>
              <w:rPr>
                <w:rFonts w:eastAsia="Times New Roman" w:cstheme="minorHAnsi"/>
                <w:b/>
                <w:bCs/>
                <w:color w:val="000000"/>
                <w:vertAlign w:val="superscript"/>
                <w:lang w:eastAsia="en-IE"/>
              </w:rPr>
            </w:pPr>
            <w:r w:rsidRPr="0031605E">
              <w:rPr>
                <w:rFonts w:eastAsia="Times New Roman" w:cstheme="minorHAnsi"/>
                <w:b/>
                <w:bCs/>
                <w:color w:val="000000"/>
                <w:lang w:eastAsia="en-IE"/>
              </w:rPr>
              <w:t>2014</w:t>
            </w:r>
          </w:p>
        </w:tc>
      </w:tr>
      <w:tr w:rsidR="00B70292" w:rsidRPr="0031605E" w:rsidTr="000F6A09">
        <w:trPr>
          <w:trHeight w:val="735"/>
        </w:trPr>
        <w:tc>
          <w:tcPr>
            <w:tcW w:w="1040" w:type="dxa"/>
            <w:tcBorders>
              <w:top w:val="nil"/>
              <w:left w:val="single" w:sz="8" w:space="0" w:color="auto"/>
              <w:bottom w:val="single" w:sz="4" w:space="0" w:color="auto"/>
              <w:right w:val="single" w:sz="4" w:space="0" w:color="auto"/>
            </w:tcBorders>
            <w:shd w:val="clear" w:color="auto" w:fill="auto"/>
            <w:vAlign w:val="center"/>
            <w:hideMark/>
          </w:tcPr>
          <w:p w:rsidR="00B70292" w:rsidRPr="0031605E" w:rsidRDefault="00B70292" w:rsidP="000F6A09">
            <w:pPr>
              <w:spacing w:after="0" w:line="240" w:lineRule="auto"/>
              <w:rPr>
                <w:rFonts w:eastAsia="Times New Roman" w:cstheme="minorHAnsi"/>
                <w:color w:val="000000"/>
                <w:lang w:eastAsia="en-IE"/>
              </w:rPr>
            </w:pPr>
            <w:r w:rsidRPr="0031605E">
              <w:rPr>
                <w:rFonts w:eastAsia="Times New Roman" w:cstheme="minorHAnsi"/>
                <w:color w:val="000000"/>
                <w:lang w:eastAsia="en-IE"/>
              </w:rPr>
              <w:t>N</w:t>
            </w:r>
          </w:p>
        </w:tc>
        <w:tc>
          <w:tcPr>
            <w:tcW w:w="1080" w:type="dxa"/>
            <w:tcBorders>
              <w:top w:val="nil"/>
              <w:left w:val="nil"/>
              <w:bottom w:val="single" w:sz="4" w:space="0" w:color="auto"/>
              <w:right w:val="single" w:sz="4" w:space="0" w:color="auto"/>
            </w:tcBorders>
            <w:shd w:val="clear" w:color="auto" w:fill="auto"/>
            <w:vAlign w:val="center"/>
            <w:hideMark/>
          </w:tcPr>
          <w:p w:rsidR="00B70292" w:rsidRPr="0031605E" w:rsidRDefault="00B70292" w:rsidP="000F6A09">
            <w:pPr>
              <w:spacing w:after="0" w:line="240" w:lineRule="auto"/>
              <w:rPr>
                <w:rFonts w:eastAsia="Times New Roman" w:cstheme="minorHAnsi"/>
                <w:color w:val="000000"/>
                <w:lang w:eastAsia="en-IE"/>
              </w:rPr>
            </w:pPr>
            <w:r w:rsidRPr="0031605E">
              <w:rPr>
                <w:rFonts w:eastAsia="Times New Roman" w:cstheme="minorHAnsi"/>
                <w:color w:val="000000"/>
                <w:lang w:eastAsia="en-IE"/>
              </w:rPr>
              <w:t>Valid</w:t>
            </w:r>
          </w:p>
        </w:tc>
        <w:tc>
          <w:tcPr>
            <w:tcW w:w="980" w:type="dxa"/>
            <w:tcBorders>
              <w:top w:val="nil"/>
              <w:left w:val="nil"/>
              <w:bottom w:val="single" w:sz="4" w:space="0" w:color="auto"/>
              <w:right w:val="single" w:sz="4" w:space="0" w:color="auto"/>
            </w:tcBorders>
            <w:shd w:val="clear" w:color="auto" w:fill="auto"/>
            <w:vAlign w:val="center"/>
            <w:hideMark/>
          </w:tcPr>
          <w:p w:rsidR="00B70292" w:rsidRPr="0031605E" w:rsidRDefault="00B70292" w:rsidP="000F6A09">
            <w:pPr>
              <w:spacing w:after="0" w:line="240" w:lineRule="auto"/>
              <w:rPr>
                <w:rFonts w:eastAsia="Times New Roman" w:cstheme="minorHAnsi"/>
                <w:color w:val="000000"/>
                <w:lang w:eastAsia="en-IE"/>
              </w:rPr>
            </w:pPr>
            <w:r w:rsidRPr="0031605E">
              <w:rPr>
                <w:rFonts w:eastAsia="Times New Roman" w:cstheme="minorHAnsi"/>
                <w:color w:val="000000"/>
                <w:lang w:eastAsia="en-IE"/>
              </w:rPr>
              <w:t>34</w:t>
            </w:r>
          </w:p>
        </w:tc>
        <w:tc>
          <w:tcPr>
            <w:tcW w:w="980" w:type="dxa"/>
            <w:tcBorders>
              <w:top w:val="nil"/>
              <w:left w:val="nil"/>
              <w:bottom w:val="single" w:sz="4" w:space="0" w:color="auto"/>
              <w:right w:val="single" w:sz="4" w:space="0" w:color="auto"/>
            </w:tcBorders>
            <w:shd w:val="clear" w:color="auto" w:fill="auto"/>
            <w:vAlign w:val="center"/>
            <w:hideMark/>
          </w:tcPr>
          <w:p w:rsidR="00B70292" w:rsidRPr="0031605E" w:rsidRDefault="00B70292" w:rsidP="000F6A09">
            <w:pPr>
              <w:spacing w:after="0" w:line="240" w:lineRule="auto"/>
              <w:rPr>
                <w:rFonts w:eastAsia="Times New Roman" w:cstheme="minorHAnsi"/>
                <w:color w:val="000000"/>
                <w:lang w:eastAsia="en-IE"/>
              </w:rPr>
            </w:pPr>
            <w:r w:rsidRPr="0031605E">
              <w:rPr>
                <w:rFonts w:eastAsia="Times New Roman" w:cstheme="minorHAnsi"/>
                <w:color w:val="000000"/>
                <w:lang w:eastAsia="en-IE"/>
              </w:rPr>
              <w:t>34</w:t>
            </w:r>
          </w:p>
        </w:tc>
        <w:tc>
          <w:tcPr>
            <w:tcW w:w="980" w:type="dxa"/>
            <w:tcBorders>
              <w:top w:val="nil"/>
              <w:left w:val="nil"/>
              <w:bottom w:val="single" w:sz="4" w:space="0" w:color="auto"/>
              <w:right w:val="single" w:sz="4" w:space="0" w:color="auto"/>
            </w:tcBorders>
            <w:shd w:val="clear" w:color="auto" w:fill="auto"/>
            <w:vAlign w:val="center"/>
            <w:hideMark/>
          </w:tcPr>
          <w:p w:rsidR="00B70292" w:rsidRPr="0031605E" w:rsidRDefault="00B70292" w:rsidP="000F6A09">
            <w:pPr>
              <w:spacing w:after="0" w:line="240" w:lineRule="auto"/>
              <w:rPr>
                <w:rFonts w:eastAsia="Times New Roman" w:cstheme="minorHAnsi"/>
                <w:color w:val="000000"/>
                <w:lang w:eastAsia="en-IE"/>
              </w:rPr>
            </w:pPr>
            <w:r w:rsidRPr="0031605E">
              <w:rPr>
                <w:rFonts w:eastAsia="Times New Roman" w:cstheme="minorHAnsi"/>
                <w:color w:val="000000"/>
                <w:lang w:eastAsia="en-IE"/>
              </w:rPr>
              <w:t>34</w:t>
            </w:r>
          </w:p>
        </w:tc>
        <w:tc>
          <w:tcPr>
            <w:tcW w:w="960" w:type="dxa"/>
            <w:tcBorders>
              <w:top w:val="nil"/>
              <w:left w:val="nil"/>
              <w:bottom w:val="single" w:sz="4" w:space="0" w:color="auto"/>
              <w:right w:val="single" w:sz="4" w:space="0" w:color="auto"/>
            </w:tcBorders>
            <w:shd w:val="clear" w:color="auto" w:fill="auto"/>
            <w:noWrap/>
            <w:vAlign w:val="center"/>
            <w:hideMark/>
          </w:tcPr>
          <w:p w:rsidR="00B70292" w:rsidRPr="0031605E" w:rsidRDefault="00B70292" w:rsidP="000F6A09">
            <w:pPr>
              <w:spacing w:after="0" w:line="240" w:lineRule="auto"/>
              <w:rPr>
                <w:rFonts w:eastAsia="Times New Roman" w:cstheme="minorHAnsi"/>
                <w:color w:val="000000"/>
                <w:lang w:eastAsia="en-IE"/>
              </w:rPr>
            </w:pPr>
            <w:r w:rsidRPr="0031605E">
              <w:rPr>
                <w:rFonts w:eastAsia="Times New Roman" w:cstheme="minorHAnsi"/>
                <w:color w:val="000000"/>
                <w:lang w:eastAsia="en-IE"/>
              </w:rPr>
              <w:t>33</w:t>
            </w:r>
          </w:p>
        </w:tc>
        <w:tc>
          <w:tcPr>
            <w:tcW w:w="960" w:type="dxa"/>
            <w:tcBorders>
              <w:top w:val="nil"/>
              <w:left w:val="nil"/>
              <w:bottom w:val="single" w:sz="4" w:space="0" w:color="auto"/>
              <w:right w:val="single" w:sz="8" w:space="0" w:color="auto"/>
            </w:tcBorders>
            <w:shd w:val="clear" w:color="auto" w:fill="auto"/>
            <w:noWrap/>
            <w:vAlign w:val="center"/>
            <w:hideMark/>
          </w:tcPr>
          <w:p w:rsidR="00B70292" w:rsidRPr="0031605E" w:rsidRDefault="00B70292" w:rsidP="000F6A09">
            <w:pPr>
              <w:spacing w:after="0" w:line="240" w:lineRule="auto"/>
              <w:rPr>
                <w:rFonts w:eastAsia="Times New Roman" w:cstheme="minorHAnsi"/>
                <w:color w:val="000000"/>
                <w:lang w:eastAsia="en-IE"/>
              </w:rPr>
            </w:pPr>
            <w:r w:rsidRPr="0031605E">
              <w:rPr>
                <w:rFonts w:eastAsia="Times New Roman" w:cstheme="minorHAnsi"/>
                <w:color w:val="000000"/>
                <w:lang w:eastAsia="en-IE"/>
              </w:rPr>
              <w:t>31</w:t>
            </w:r>
          </w:p>
        </w:tc>
      </w:tr>
      <w:tr w:rsidR="00B70292" w:rsidRPr="0031605E" w:rsidTr="000F6A09">
        <w:trPr>
          <w:trHeight w:val="495"/>
        </w:trPr>
        <w:tc>
          <w:tcPr>
            <w:tcW w:w="1040" w:type="dxa"/>
            <w:tcBorders>
              <w:top w:val="nil"/>
              <w:left w:val="single" w:sz="8" w:space="0" w:color="auto"/>
              <w:bottom w:val="single" w:sz="4" w:space="0" w:color="auto"/>
              <w:right w:val="single" w:sz="4" w:space="0" w:color="auto"/>
            </w:tcBorders>
            <w:shd w:val="clear" w:color="auto" w:fill="auto"/>
            <w:vAlign w:val="center"/>
            <w:hideMark/>
          </w:tcPr>
          <w:p w:rsidR="00B70292" w:rsidRPr="0031605E" w:rsidRDefault="00B70292" w:rsidP="000F6A09">
            <w:pPr>
              <w:spacing w:after="0" w:line="240" w:lineRule="auto"/>
              <w:rPr>
                <w:rFonts w:eastAsia="Times New Roman" w:cstheme="minorHAnsi"/>
                <w:color w:val="000000"/>
                <w:lang w:eastAsia="en-IE"/>
              </w:rPr>
            </w:pPr>
            <w:r w:rsidRPr="0031605E">
              <w:rPr>
                <w:rFonts w:eastAsia="Times New Roman" w:cstheme="minorHAnsi"/>
                <w:color w:val="000000"/>
                <w:lang w:eastAsia="en-IE"/>
              </w:rPr>
              <w:t> </w:t>
            </w:r>
          </w:p>
        </w:tc>
        <w:tc>
          <w:tcPr>
            <w:tcW w:w="1080" w:type="dxa"/>
            <w:tcBorders>
              <w:top w:val="nil"/>
              <w:left w:val="nil"/>
              <w:bottom w:val="single" w:sz="4" w:space="0" w:color="auto"/>
              <w:right w:val="single" w:sz="4" w:space="0" w:color="auto"/>
            </w:tcBorders>
            <w:shd w:val="clear" w:color="auto" w:fill="auto"/>
            <w:vAlign w:val="center"/>
            <w:hideMark/>
          </w:tcPr>
          <w:p w:rsidR="00B70292" w:rsidRPr="0031605E" w:rsidRDefault="00B70292" w:rsidP="000F6A09">
            <w:pPr>
              <w:spacing w:after="0" w:line="240" w:lineRule="auto"/>
              <w:rPr>
                <w:rFonts w:eastAsia="Times New Roman" w:cstheme="minorHAnsi"/>
                <w:color w:val="000000"/>
                <w:lang w:eastAsia="en-IE"/>
              </w:rPr>
            </w:pPr>
            <w:r w:rsidRPr="0031605E">
              <w:rPr>
                <w:rFonts w:eastAsia="Times New Roman" w:cstheme="minorHAnsi"/>
                <w:color w:val="000000"/>
                <w:lang w:eastAsia="en-IE"/>
              </w:rPr>
              <w:t>Missing</w:t>
            </w:r>
          </w:p>
        </w:tc>
        <w:tc>
          <w:tcPr>
            <w:tcW w:w="980" w:type="dxa"/>
            <w:tcBorders>
              <w:top w:val="nil"/>
              <w:left w:val="nil"/>
              <w:bottom w:val="single" w:sz="4" w:space="0" w:color="auto"/>
              <w:right w:val="single" w:sz="4" w:space="0" w:color="auto"/>
            </w:tcBorders>
            <w:shd w:val="clear" w:color="auto" w:fill="auto"/>
            <w:vAlign w:val="center"/>
            <w:hideMark/>
          </w:tcPr>
          <w:p w:rsidR="00B70292" w:rsidRPr="0031605E" w:rsidRDefault="00B70292" w:rsidP="000F6A09">
            <w:pPr>
              <w:spacing w:after="0" w:line="240" w:lineRule="auto"/>
              <w:rPr>
                <w:rFonts w:eastAsia="Times New Roman" w:cstheme="minorHAnsi"/>
                <w:color w:val="000000"/>
                <w:lang w:eastAsia="en-IE"/>
              </w:rPr>
            </w:pPr>
            <w:r w:rsidRPr="0031605E">
              <w:rPr>
                <w:rFonts w:eastAsia="Times New Roman" w:cstheme="minorHAnsi"/>
                <w:color w:val="000000"/>
                <w:lang w:eastAsia="en-IE"/>
              </w:rPr>
              <w:t>0</w:t>
            </w:r>
          </w:p>
        </w:tc>
        <w:tc>
          <w:tcPr>
            <w:tcW w:w="980" w:type="dxa"/>
            <w:tcBorders>
              <w:top w:val="nil"/>
              <w:left w:val="nil"/>
              <w:bottom w:val="single" w:sz="4" w:space="0" w:color="auto"/>
              <w:right w:val="single" w:sz="4" w:space="0" w:color="auto"/>
            </w:tcBorders>
            <w:shd w:val="clear" w:color="auto" w:fill="auto"/>
            <w:vAlign w:val="center"/>
            <w:hideMark/>
          </w:tcPr>
          <w:p w:rsidR="00B70292" w:rsidRPr="0031605E" w:rsidRDefault="00B70292" w:rsidP="000F6A09">
            <w:pPr>
              <w:spacing w:after="0" w:line="240" w:lineRule="auto"/>
              <w:rPr>
                <w:rFonts w:eastAsia="Times New Roman" w:cstheme="minorHAnsi"/>
                <w:color w:val="000000"/>
                <w:lang w:eastAsia="en-IE"/>
              </w:rPr>
            </w:pPr>
            <w:r w:rsidRPr="0031605E">
              <w:rPr>
                <w:rFonts w:eastAsia="Times New Roman" w:cstheme="minorHAnsi"/>
                <w:color w:val="000000"/>
                <w:lang w:eastAsia="en-IE"/>
              </w:rPr>
              <w:t>0</w:t>
            </w:r>
          </w:p>
        </w:tc>
        <w:tc>
          <w:tcPr>
            <w:tcW w:w="980" w:type="dxa"/>
            <w:tcBorders>
              <w:top w:val="nil"/>
              <w:left w:val="nil"/>
              <w:bottom w:val="single" w:sz="4" w:space="0" w:color="auto"/>
              <w:right w:val="single" w:sz="4" w:space="0" w:color="auto"/>
            </w:tcBorders>
            <w:shd w:val="clear" w:color="auto" w:fill="auto"/>
            <w:vAlign w:val="center"/>
            <w:hideMark/>
          </w:tcPr>
          <w:p w:rsidR="00B70292" w:rsidRPr="0031605E" w:rsidRDefault="00B70292" w:rsidP="000F6A09">
            <w:pPr>
              <w:spacing w:after="0" w:line="240" w:lineRule="auto"/>
              <w:rPr>
                <w:rFonts w:eastAsia="Times New Roman" w:cstheme="minorHAnsi"/>
                <w:color w:val="000000"/>
                <w:lang w:eastAsia="en-IE"/>
              </w:rPr>
            </w:pPr>
            <w:r w:rsidRPr="0031605E">
              <w:rPr>
                <w:rFonts w:eastAsia="Times New Roman" w:cstheme="minorHAnsi"/>
                <w:color w:val="000000"/>
                <w:lang w:eastAsia="en-IE"/>
              </w:rPr>
              <w:t>0</w:t>
            </w:r>
          </w:p>
        </w:tc>
        <w:tc>
          <w:tcPr>
            <w:tcW w:w="960" w:type="dxa"/>
            <w:tcBorders>
              <w:top w:val="nil"/>
              <w:left w:val="nil"/>
              <w:bottom w:val="single" w:sz="4" w:space="0" w:color="auto"/>
              <w:right w:val="single" w:sz="4" w:space="0" w:color="auto"/>
            </w:tcBorders>
            <w:shd w:val="clear" w:color="auto" w:fill="auto"/>
            <w:noWrap/>
            <w:vAlign w:val="center"/>
            <w:hideMark/>
          </w:tcPr>
          <w:p w:rsidR="00B70292" w:rsidRPr="0031605E" w:rsidRDefault="00B70292" w:rsidP="000F6A09">
            <w:pPr>
              <w:spacing w:after="0" w:line="240" w:lineRule="auto"/>
              <w:rPr>
                <w:rFonts w:eastAsia="Times New Roman" w:cstheme="minorHAnsi"/>
                <w:color w:val="000000"/>
                <w:lang w:eastAsia="en-IE"/>
              </w:rPr>
            </w:pPr>
            <w:r w:rsidRPr="0031605E">
              <w:rPr>
                <w:rFonts w:eastAsia="Times New Roman" w:cstheme="minorHAnsi"/>
                <w:color w:val="000000"/>
                <w:lang w:eastAsia="en-IE"/>
              </w:rPr>
              <w:t>0</w:t>
            </w:r>
          </w:p>
        </w:tc>
        <w:tc>
          <w:tcPr>
            <w:tcW w:w="960" w:type="dxa"/>
            <w:tcBorders>
              <w:top w:val="nil"/>
              <w:left w:val="nil"/>
              <w:bottom w:val="single" w:sz="4" w:space="0" w:color="auto"/>
              <w:right w:val="single" w:sz="8" w:space="0" w:color="auto"/>
            </w:tcBorders>
            <w:shd w:val="clear" w:color="auto" w:fill="auto"/>
            <w:noWrap/>
            <w:vAlign w:val="center"/>
            <w:hideMark/>
          </w:tcPr>
          <w:p w:rsidR="00B70292" w:rsidRPr="0031605E" w:rsidRDefault="00B70292" w:rsidP="000F6A09">
            <w:pPr>
              <w:spacing w:after="0" w:line="240" w:lineRule="auto"/>
              <w:rPr>
                <w:rFonts w:eastAsia="Times New Roman" w:cstheme="minorHAnsi"/>
                <w:color w:val="000000"/>
                <w:lang w:eastAsia="en-IE"/>
              </w:rPr>
            </w:pPr>
            <w:r w:rsidRPr="0031605E">
              <w:rPr>
                <w:rFonts w:eastAsia="Times New Roman" w:cstheme="minorHAnsi"/>
                <w:color w:val="000000"/>
                <w:lang w:eastAsia="en-IE"/>
              </w:rPr>
              <w:t>0</w:t>
            </w:r>
          </w:p>
        </w:tc>
      </w:tr>
      <w:tr w:rsidR="00B70292" w:rsidRPr="0031605E" w:rsidTr="000F6A09">
        <w:trPr>
          <w:trHeight w:val="735"/>
        </w:trPr>
        <w:tc>
          <w:tcPr>
            <w:tcW w:w="1040" w:type="dxa"/>
            <w:tcBorders>
              <w:top w:val="nil"/>
              <w:left w:val="single" w:sz="8" w:space="0" w:color="auto"/>
              <w:bottom w:val="single" w:sz="4" w:space="0" w:color="auto"/>
              <w:right w:val="single" w:sz="4" w:space="0" w:color="auto"/>
            </w:tcBorders>
            <w:shd w:val="clear" w:color="auto" w:fill="auto"/>
            <w:vAlign w:val="center"/>
            <w:hideMark/>
          </w:tcPr>
          <w:p w:rsidR="00B70292" w:rsidRPr="0031605E" w:rsidRDefault="00B70292" w:rsidP="000F6A09">
            <w:pPr>
              <w:spacing w:after="0" w:line="240" w:lineRule="auto"/>
              <w:rPr>
                <w:rFonts w:eastAsia="Times New Roman" w:cstheme="minorHAnsi"/>
                <w:b/>
                <w:bCs/>
                <w:color w:val="000000"/>
                <w:lang w:eastAsia="en-IE"/>
              </w:rPr>
            </w:pPr>
            <w:r w:rsidRPr="0031605E">
              <w:rPr>
                <w:rFonts w:eastAsia="Times New Roman" w:cstheme="minorHAnsi"/>
                <w:b/>
                <w:bCs/>
                <w:color w:val="000000"/>
                <w:lang w:eastAsia="en-IE"/>
              </w:rPr>
              <w:t>Average</w:t>
            </w:r>
          </w:p>
        </w:tc>
        <w:tc>
          <w:tcPr>
            <w:tcW w:w="1080" w:type="dxa"/>
            <w:tcBorders>
              <w:top w:val="nil"/>
              <w:left w:val="nil"/>
              <w:bottom w:val="single" w:sz="4" w:space="0" w:color="auto"/>
              <w:right w:val="single" w:sz="4" w:space="0" w:color="auto"/>
            </w:tcBorders>
            <w:shd w:val="clear" w:color="auto" w:fill="auto"/>
            <w:vAlign w:val="center"/>
            <w:hideMark/>
          </w:tcPr>
          <w:p w:rsidR="00B70292" w:rsidRPr="0031605E" w:rsidRDefault="00B70292" w:rsidP="000F6A09">
            <w:pPr>
              <w:spacing w:after="0" w:line="240" w:lineRule="auto"/>
              <w:rPr>
                <w:rFonts w:eastAsia="Times New Roman" w:cstheme="minorHAnsi"/>
                <w:b/>
                <w:bCs/>
                <w:color w:val="000000"/>
                <w:lang w:eastAsia="en-IE"/>
              </w:rPr>
            </w:pPr>
            <w:r w:rsidRPr="0031605E">
              <w:rPr>
                <w:rFonts w:eastAsia="Times New Roman" w:cstheme="minorHAnsi"/>
                <w:b/>
                <w:bCs/>
                <w:color w:val="000000"/>
                <w:lang w:eastAsia="en-IE"/>
              </w:rPr>
              <w:t>Median</w:t>
            </w:r>
          </w:p>
        </w:tc>
        <w:tc>
          <w:tcPr>
            <w:tcW w:w="980" w:type="dxa"/>
            <w:tcBorders>
              <w:top w:val="nil"/>
              <w:left w:val="nil"/>
              <w:bottom w:val="single" w:sz="4" w:space="0" w:color="auto"/>
              <w:right w:val="single" w:sz="4" w:space="0" w:color="auto"/>
            </w:tcBorders>
            <w:shd w:val="clear" w:color="auto" w:fill="auto"/>
            <w:vAlign w:val="center"/>
            <w:hideMark/>
          </w:tcPr>
          <w:p w:rsidR="00B70292" w:rsidRPr="0031605E" w:rsidRDefault="00B70292" w:rsidP="000F6A09">
            <w:pPr>
              <w:spacing w:after="0" w:line="240" w:lineRule="auto"/>
              <w:rPr>
                <w:rFonts w:eastAsia="Times New Roman" w:cstheme="minorHAnsi"/>
                <w:b/>
                <w:bCs/>
                <w:color w:val="000000"/>
                <w:lang w:eastAsia="en-IE"/>
              </w:rPr>
            </w:pPr>
            <w:r w:rsidRPr="0031605E">
              <w:rPr>
                <w:rFonts w:eastAsia="Times New Roman" w:cstheme="minorHAnsi"/>
                <w:b/>
                <w:bCs/>
                <w:color w:val="000000"/>
                <w:lang w:eastAsia="en-IE"/>
              </w:rPr>
              <w:t>2,333.00</w:t>
            </w:r>
          </w:p>
        </w:tc>
        <w:tc>
          <w:tcPr>
            <w:tcW w:w="980" w:type="dxa"/>
            <w:tcBorders>
              <w:top w:val="nil"/>
              <w:left w:val="nil"/>
              <w:bottom w:val="single" w:sz="4" w:space="0" w:color="auto"/>
              <w:right w:val="single" w:sz="4" w:space="0" w:color="auto"/>
            </w:tcBorders>
            <w:shd w:val="clear" w:color="auto" w:fill="auto"/>
            <w:vAlign w:val="center"/>
            <w:hideMark/>
          </w:tcPr>
          <w:p w:rsidR="00B70292" w:rsidRPr="0031605E" w:rsidRDefault="00B70292" w:rsidP="000F6A09">
            <w:pPr>
              <w:spacing w:after="0" w:line="240" w:lineRule="auto"/>
              <w:rPr>
                <w:rFonts w:eastAsia="Times New Roman" w:cstheme="minorHAnsi"/>
                <w:b/>
                <w:bCs/>
                <w:color w:val="000000"/>
                <w:lang w:eastAsia="en-IE"/>
              </w:rPr>
            </w:pPr>
            <w:r w:rsidRPr="0031605E">
              <w:rPr>
                <w:rFonts w:eastAsia="Times New Roman" w:cstheme="minorHAnsi"/>
                <w:b/>
                <w:bCs/>
                <w:color w:val="000000"/>
                <w:lang w:eastAsia="en-IE"/>
              </w:rPr>
              <w:t>2,348.00</w:t>
            </w:r>
          </w:p>
        </w:tc>
        <w:tc>
          <w:tcPr>
            <w:tcW w:w="980" w:type="dxa"/>
            <w:tcBorders>
              <w:top w:val="nil"/>
              <w:left w:val="nil"/>
              <w:bottom w:val="single" w:sz="4" w:space="0" w:color="auto"/>
              <w:right w:val="single" w:sz="4" w:space="0" w:color="auto"/>
            </w:tcBorders>
            <w:shd w:val="clear" w:color="auto" w:fill="auto"/>
            <w:vAlign w:val="center"/>
            <w:hideMark/>
          </w:tcPr>
          <w:p w:rsidR="00B70292" w:rsidRPr="0031605E" w:rsidRDefault="00B70292" w:rsidP="000F6A09">
            <w:pPr>
              <w:spacing w:after="0" w:line="240" w:lineRule="auto"/>
              <w:rPr>
                <w:rFonts w:eastAsia="Times New Roman" w:cstheme="minorHAnsi"/>
                <w:b/>
                <w:bCs/>
                <w:color w:val="000000"/>
                <w:lang w:eastAsia="en-IE"/>
              </w:rPr>
            </w:pPr>
            <w:r w:rsidRPr="0031605E">
              <w:rPr>
                <w:rFonts w:eastAsia="Times New Roman" w:cstheme="minorHAnsi"/>
                <w:b/>
                <w:bCs/>
                <w:color w:val="000000"/>
                <w:lang w:eastAsia="en-IE"/>
              </w:rPr>
              <w:t>2,483.50</w:t>
            </w:r>
          </w:p>
        </w:tc>
        <w:tc>
          <w:tcPr>
            <w:tcW w:w="960" w:type="dxa"/>
            <w:tcBorders>
              <w:top w:val="nil"/>
              <w:left w:val="nil"/>
              <w:bottom w:val="single" w:sz="4" w:space="0" w:color="auto"/>
              <w:right w:val="single" w:sz="4" w:space="0" w:color="auto"/>
            </w:tcBorders>
            <w:shd w:val="clear" w:color="auto" w:fill="auto"/>
            <w:noWrap/>
            <w:vAlign w:val="center"/>
            <w:hideMark/>
          </w:tcPr>
          <w:p w:rsidR="00B70292" w:rsidRPr="0031605E" w:rsidRDefault="00B70292" w:rsidP="007D7DD3">
            <w:pPr>
              <w:spacing w:after="0" w:line="240" w:lineRule="auto"/>
              <w:rPr>
                <w:rFonts w:eastAsia="Times New Roman" w:cstheme="minorHAnsi"/>
                <w:b/>
                <w:color w:val="000000"/>
                <w:lang w:eastAsia="en-IE"/>
              </w:rPr>
            </w:pPr>
            <w:r w:rsidRPr="0031605E">
              <w:rPr>
                <w:rFonts w:eastAsia="Times New Roman" w:cstheme="minorHAnsi"/>
                <w:b/>
                <w:color w:val="000000"/>
                <w:lang w:eastAsia="en-IE"/>
              </w:rPr>
              <w:t>2,</w:t>
            </w:r>
            <w:r w:rsidR="007D7DD3">
              <w:rPr>
                <w:rFonts w:eastAsia="Times New Roman" w:cstheme="minorHAnsi"/>
                <w:b/>
                <w:color w:val="000000"/>
                <w:lang w:eastAsia="en-IE"/>
              </w:rPr>
              <w:t>5</w:t>
            </w:r>
            <w:r w:rsidRPr="0031605E">
              <w:rPr>
                <w:rFonts w:eastAsia="Times New Roman" w:cstheme="minorHAnsi"/>
                <w:b/>
                <w:color w:val="000000"/>
                <w:lang w:eastAsia="en-IE"/>
              </w:rPr>
              <w:t>06</w:t>
            </w:r>
            <w:r w:rsidR="007D7DD3">
              <w:rPr>
                <w:rFonts w:eastAsia="Times New Roman" w:cstheme="minorHAnsi"/>
                <w:b/>
                <w:color w:val="000000"/>
                <w:lang w:eastAsia="en-IE"/>
              </w:rPr>
              <w:t>.00</w:t>
            </w:r>
          </w:p>
        </w:tc>
        <w:tc>
          <w:tcPr>
            <w:tcW w:w="960" w:type="dxa"/>
            <w:tcBorders>
              <w:top w:val="nil"/>
              <w:left w:val="nil"/>
              <w:bottom w:val="single" w:sz="4" w:space="0" w:color="auto"/>
              <w:right w:val="single" w:sz="8" w:space="0" w:color="auto"/>
            </w:tcBorders>
            <w:shd w:val="clear" w:color="auto" w:fill="auto"/>
            <w:noWrap/>
            <w:vAlign w:val="center"/>
            <w:hideMark/>
          </w:tcPr>
          <w:p w:rsidR="00B70292" w:rsidRPr="0031605E" w:rsidRDefault="00B70292" w:rsidP="007D7DD3">
            <w:pPr>
              <w:spacing w:after="0" w:line="240" w:lineRule="auto"/>
              <w:rPr>
                <w:rFonts w:eastAsia="Times New Roman" w:cstheme="minorHAnsi"/>
                <w:b/>
                <w:color w:val="000000"/>
                <w:lang w:eastAsia="en-IE"/>
              </w:rPr>
            </w:pPr>
            <w:r w:rsidRPr="0031605E">
              <w:rPr>
                <w:rFonts w:eastAsia="Times New Roman" w:cstheme="minorHAnsi"/>
                <w:b/>
                <w:color w:val="000000"/>
                <w:lang w:eastAsia="en-IE"/>
              </w:rPr>
              <w:t>3,</w:t>
            </w:r>
            <w:r w:rsidR="00D25D40">
              <w:rPr>
                <w:rFonts w:eastAsia="Times New Roman" w:cstheme="minorHAnsi"/>
                <w:b/>
                <w:color w:val="000000"/>
                <w:lang w:eastAsia="en-IE"/>
              </w:rPr>
              <w:t>1</w:t>
            </w:r>
            <w:r w:rsidRPr="0031605E">
              <w:rPr>
                <w:rFonts w:eastAsia="Times New Roman" w:cstheme="minorHAnsi"/>
                <w:b/>
                <w:color w:val="000000"/>
                <w:lang w:eastAsia="en-IE"/>
              </w:rPr>
              <w:t>00</w:t>
            </w:r>
            <w:r w:rsidR="007D7DD3">
              <w:rPr>
                <w:rFonts w:eastAsia="Times New Roman" w:cstheme="minorHAnsi"/>
                <w:b/>
                <w:color w:val="000000"/>
                <w:lang w:eastAsia="en-IE"/>
              </w:rPr>
              <w:t>.00</w:t>
            </w:r>
          </w:p>
        </w:tc>
      </w:tr>
      <w:tr w:rsidR="00B70292" w:rsidRPr="0031605E" w:rsidTr="000F6A09">
        <w:trPr>
          <w:trHeight w:val="735"/>
        </w:trPr>
        <w:tc>
          <w:tcPr>
            <w:tcW w:w="1040" w:type="dxa"/>
            <w:tcBorders>
              <w:top w:val="nil"/>
              <w:left w:val="single" w:sz="8" w:space="0" w:color="auto"/>
              <w:bottom w:val="single" w:sz="8" w:space="0" w:color="auto"/>
              <w:right w:val="single" w:sz="4" w:space="0" w:color="auto"/>
            </w:tcBorders>
            <w:shd w:val="clear" w:color="auto" w:fill="auto"/>
            <w:vAlign w:val="center"/>
            <w:hideMark/>
          </w:tcPr>
          <w:p w:rsidR="00B70292" w:rsidRPr="0031605E" w:rsidRDefault="00B70292" w:rsidP="000F6A09">
            <w:pPr>
              <w:spacing w:after="0" w:line="240" w:lineRule="auto"/>
              <w:rPr>
                <w:rFonts w:eastAsia="Times New Roman" w:cstheme="minorHAnsi"/>
                <w:color w:val="000000"/>
                <w:lang w:eastAsia="en-IE"/>
              </w:rPr>
            </w:pPr>
            <w:r w:rsidRPr="0031605E">
              <w:rPr>
                <w:rFonts w:eastAsia="Times New Roman" w:cstheme="minorHAnsi"/>
                <w:color w:val="000000"/>
                <w:lang w:eastAsia="en-IE"/>
              </w:rPr>
              <w:t> </w:t>
            </w:r>
          </w:p>
        </w:tc>
        <w:tc>
          <w:tcPr>
            <w:tcW w:w="1080" w:type="dxa"/>
            <w:tcBorders>
              <w:top w:val="nil"/>
              <w:left w:val="nil"/>
              <w:bottom w:val="single" w:sz="8" w:space="0" w:color="auto"/>
              <w:right w:val="single" w:sz="4" w:space="0" w:color="auto"/>
            </w:tcBorders>
            <w:shd w:val="clear" w:color="auto" w:fill="auto"/>
            <w:vAlign w:val="center"/>
            <w:hideMark/>
          </w:tcPr>
          <w:p w:rsidR="00B70292" w:rsidRPr="0031605E" w:rsidRDefault="00B70292" w:rsidP="000F6A09">
            <w:pPr>
              <w:spacing w:after="0" w:line="240" w:lineRule="auto"/>
              <w:rPr>
                <w:rFonts w:eastAsia="Times New Roman" w:cstheme="minorHAnsi"/>
                <w:color w:val="000000"/>
                <w:lang w:eastAsia="en-IE"/>
              </w:rPr>
            </w:pPr>
            <w:r w:rsidRPr="0031605E">
              <w:rPr>
                <w:rFonts w:eastAsia="Times New Roman" w:cstheme="minorHAnsi"/>
                <w:color w:val="000000"/>
                <w:lang w:eastAsia="en-IE"/>
              </w:rPr>
              <w:t>Mean</w:t>
            </w:r>
          </w:p>
        </w:tc>
        <w:tc>
          <w:tcPr>
            <w:tcW w:w="980" w:type="dxa"/>
            <w:tcBorders>
              <w:top w:val="nil"/>
              <w:left w:val="nil"/>
              <w:bottom w:val="single" w:sz="8" w:space="0" w:color="auto"/>
              <w:right w:val="single" w:sz="4" w:space="0" w:color="auto"/>
            </w:tcBorders>
            <w:shd w:val="clear" w:color="auto" w:fill="auto"/>
            <w:vAlign w:val="center"/>
            <w:hideMark/>
          </w:tcPr>
          <w:p w:rsidR="00B70292" w:rsidRPr="0031605E" w:rsidRDefault="00B70292" w:rsidP="000F6A09">
            <w:pPr>
              <w:spacing w:after="0" w:line="240" w:lineRule="auto"/>
              <w:rPr>
                <w:rFonts w:eastAsia="Times New Roman" w:cstheme="minorHAnsi"/>
                <w:color w:val="000000"/>
                <w:lang w:eastAsia="en-IE"/>
              </w:rPr>
            </w:pPr>
            <w:r w:rsidRPr="0031605E">
              <w:rPr>
                <w:rFonts w:eastAsia="Times New Roman" w:cstheme="minorHAnsi"/>
                <w:color w:val="000000"/>
                <w:lang w:eastAsia="en-IE"/>
              </w:rPr>
              <w:t>3,766.80</w:t>
            </w:r>
          </w:p>
        </w:tc>
        <w:tc>
          <w:tcPr>
            <w:tcW w:w="980" w:type="dxa"/>
            <w:tcBorders>
              <w:top w:val="nil"/>
              <w:left w:val="nil"/>
              <w:bottom w:val="single" w:sz="8" w:space="0" w:color="auto"/>
              <w:right w:val="single" w:sz="4" w:space="0" w:color="auto"/>
            </w:tcBorders>
            <w:shd w:val="clear" w:color="auto" w:fill="auto"/>
            <w:vAlign w:val="center"/>
            <w:hideMark/>
          </w:tcPr>
          <w:p w:rsidR="00B70292" w:rsidRPr="0031605E" w:rsidRDefault="00B70292" w:rsidP="000F6A09">
            <w:pPr>
              <w:spacing w:after="0" w:line="240" w:lineRule="auto"/>
              <w:rPr>
                <w:rFonts w:eastAsia="Times New Roman" w:cstheme="minorHAnsi"/>
                <w:color w:val="000000"/>
                <w:lang w:eastAsia="en-IE"/>
              </w:rPr>
            </w:pPr>
            <w:r w:rsidRPr="0031605E">
              <w:rPr>
                <w:rFonts w:eastAsia="Times New Roman" w:cstheme="minorHAnsi"/>
                <w:color w:val="000000"/>
                <w:lang w:eastAsia="en-IE"/>
              </w:rPr>
              <w:t>3,847.30</w:t>
            </w:r>
          </w:p>
        </w:tc>
        <w:tc>
          <w:tcPr>
            <w:tcW w:w="980" w:type="dxa"/>
            <w:tcBorders>
              <w:top w:val="nil"/>
              <w:left w:val="nil"/>
              <w:bottom w:val="single" w:sz="8" w:space="0" w:color="auto"/>
              <w:right w:val="single" w:sz="4" w:space="0" w:color="auto"/>
            </w:tcBorders>
            <w:shd w:val="clear" w:color="auto" w:fill="auto"/>
            <w:vAlign w:val="center"/>
            <w:hideMark/>
          </w:tcPr>
          <w:p w:rsidR="00B70292" w:rsidRPr="0031605E" w:rsidRDefault="00B70292" w:rsidP="000F6A09">
            <w:pPr>
              <w:spacing w:after="0" w:line="240" w:lineRule="auto"/>
              <w:rPr>
                <w:rFonts w:eastAsia="Times New Roman" w:cstheme="minorHAnsi"/>
                <w:color w:val="000000"/>
                <w:lang w:eastAsia="en-IE"/>
              </w:rPr>
            </w:pPr>
            <w:r w:rsidRPr="0031605E">
              <w:rPr>
                <w:rFonts w:eastAsia="Times New Roman" w:cstheme="minorHAnsi"/>
                <w:color w:val="000000"/>
                <w:lang w:eastAsia="en-IE"/>
              </w:rPr>
              <w:t>3,853.10</w:t>
            </w:r>
          </w:p>
        </w:tc>
        <w:tc>
          <w:tcPr>
            <w:tcW w:w="960" w:type="dxa"/>
            <w:tcBorders>
              <w:top w:val="nil"/>
              <w:left w:val="nil"/>
              <w:bottom w:val="single" w:sz="8" w:space="0" w:color="auto"/>
              <w:right w:val="single" w:sz="4" w:space="0" w:color="auto"/>
            </w:tcBorders>
            <w:shd w:val="clear" w:color="auto" w:fill="auto"/>
            <w:noWrap/>
            <w:vAlign w:val="center"/>
            <w:hideMark/>
          </w:tcPr>
          <w:p w:rsidR="00B70292" w:rsidRPr="0031605E" w:rsidRDefault="00B70292" w:rsidP="007D7DD3">
            <w:pPr>
              <w:spacing w:after="0" w:line="240" w:lineRule="auto"/>
              <w:rPr>
                <w:rFonts w:eastAsia="Times New Roman" w:cstheme="minorHAnsi"/>
                <w:color w:val="000000"/>
                <w:lang w:eastAsia="en-IE"/>
              </w:rPr>
            </w:pPr>
            <w:r w:rsidRPr="0031605E">
              <w:rPr>
                <w:rFonts w:eastAsia="Times New Roman" w:cstheme="minorHAnsi"/>
                <w:color w:val="000000"/>
                <w:lang w:eastAsia="en-IE"/>
              </w:rPr>
              <w:t>3,9</w:t>
            </w:r>
            <w:r w:rsidR="007D7DD3">
              <w:rPr>
                <w:rFonts w:eastAsia="Times New Roman" w:cstheme="minorHAnsi"/>
                <w:color w:val="000000"/>
                <w:lang w:eastAsia="en-IE"/>
              </w:rPr>
              <w:t>37</w:t>
            </w:r>
            <w:r w:rsidRPr="0031605E">
              <w:rPr>
                <w:rFonts w:eastAsia="Times New Roman" w:cstheme="minorHAnsi"/>
                <w:color w:val="000000"/>
                <w:lang w:eastAsia="en-IE"/>
              </w:rPr>
              <w:t>.</w:t>
            </w:r>
            <w:r w:rsidR="007D7DD3">
              <w:rPr>
                <w:rFonts w:eastAsia="Times New Roman" w:cstheme="minorHAnsi"/>
                <w:color w:val="000000"/>
                <w:lang w:eastAsia="en-IE"/>
              </w:rPr>
              <w:t>82</w:t>
            </w:r>
          </w:p>
        </w:tc>
        <w:tc>
          <w:tcPr>
            <w:tcW w:w="960" w:type="dxa"/>
            <w:tcBorders>
              <w:top w:val="nil"/>
              <w:left w:val="nil"/>
              <w:bottom w:val="single" w:sz="8" w:space="0" w:color="auto"/>
              <w:right w:val="single" w:sz="8" w:space="0" w:color="auto"/>
            </w:tcBorders>
            <w:shd w:val="clear" w:color="auto" w:fill="auto"/>
            <w:noWrap/>
            <w:vAlign w:val="center"/>
            <w:hideMark/>
          </w:tcPr>
          <w:p w:rsidR="00B70292" w:rsidRPr="0031605E" w:rsidRDefault="00B70292" w:rsidP="00D25D40">
            <w:pPr>
              <w:spacing w:after="0" w:line="240" w:lineRule="auto"/>
              <w:rPr>
                <w:rFonts w:eastAsia="Times New Roman" w:cstheme="minorHAnsi"/>
                <w:color w:val="000000"/>
                <w:lang w:eastAsia="en-IE"/>
              </w:rPr>
            </w:pPr>
            <w:r w:rsidRPr="0031605E">
              <w:rPr>
                <w:rFonts w:eastAsia="Times New Roman" w:cstheme="minorHAnsi"/>
                <w:color w:val="000000"/>
                <w:lang w:eastAsia="en-IE"/>
              </w:rPr>
              <w:t>4,</w:t>
            </w:r>
            <w:r w:rsidR="00D25D40">
              <w:rPr>
                <w:rFonts w:eastAsia="Times New Roman" w:cstheme="minorHAnsi"/>
                <w:color w:val="000000"/>
                <w:lang w:eastAsia="en-IE"/>
              </w:rPr>
              <w:t>177</w:t>
            </w:r>
            <w:r w:rsidRPr="0031605E">
              <w:rPr>
                <w:rFonts w:eastAsia="Times New Roman" w:cstheme="minorHAnsi"/>
                <w:color w:val="000000"/>
                <w:lang w:eastAsia="en-IE"/>
              </w:rPr>
              <w:t>.</w:t>
            </w:r>
            <w:r w:rsidR="00D25D40">
              <w:rPr>
                <w:rFonts w:eastAsia="Times New Roman" w:cstheme="minorHAnsi"/>
                <w:color w:val="000000"/>
                <w:lang w:eastAsia="en-IE"/>
              </w:rPr>
              <w:t>77</w:t>
            </w:r>
          </w:p>
        </w:tc>
      </w:tr>
    </w:tbl>
    <w:p w:rsidR="00B70292" w:rsidRDefault="00B70292" w:rsidP="00B70292">
      <w:pPr>
        <w:pStyle w:val="PITableHeading"/>
        <w:rPr>
          <w:rFonts w:asciiTheme="minorHAnsi" w:eastAsiaTheme="minorHAnsi" w:hAnsiTheme="minorHAnsi" w:cstheme="minorHAnsi"/>
          <w:b w:val="0"/>
          <w:bCs w:val="0"/>
          <w:color w:val="auto"/>
          <w:sz w:val="22"/>
          <w:szCs w:val="22"/>
          <w:lang w:eastAsia="en-US"/>
        </w:rPr>
      </w:pPr>
    </w:p>
    <w:p w:rsidR="00B70292" w:rsidRDefault="00B70292" w:rsidP="00B70292">
      <w:pPr>
        <w:pStyle w:val="PITableHeading"/>
        <w:spacing w:line="276" w:lineRule="auto"/>
        <w:rPr>
          <w:rFonts w:asciiTheme="minorHAnsi" w:hAnsiTheme="minorHAnsi" w:cstheme="minorHAnsi"/>
          <w:b w:val="0"/>
          <w:sz w:val="22"/>
          <w:szCs w:val="22"/>
        </w:rPr>
      </w:pPr>
    </w:p>
    <w:p w:rsidR="0064781E" w:rsidRPr="0052202A" w:rsidRDefault="0064781E" w:rsidP="0052202A">
      <w:pPr>
        <w:pStyle w:val="PITableHeading"/>
        <w:spacing w:line="276" w:lineRule="auto"/>
        <w:jc w:val="both"/>
        <w:rPr>
          <w:rFonts w:cstheme="minorHAnsi"/>
          <w:b w:val="0"/>
          <w:sz w:val="22"/>
          <w:szCs w:val="22"/>
        </w:rPr>
      </w:pPr>
      <w:r w:rsidRPr="0052202A">
        <w:rPr>
          <w:rFonts w:cstheme="minorHAnsi"/>
          <w:b w:val="0"/>
          <w:sz w:val="22"/>
          <w:szCs w:val="22"/>
        </w:rPr>
        <w:t xml:space="preserve">*The comparison of data between 2014 and previous years is calculated by comparing the average median and mean of social housing stock that was directly provided by local authorities as at 31/12/2014 with the total number of dwellings in local authority stock as recorded in </w:t>
      </w:r>
      <w:r w:rsidR="0052202A">
        <w:rPr>
          <w:rFonts w:cstheme="minorHAnsi"/>
          <w:b w:val="0"/>
          <w:sz w:val="22"/>
          <w:szCs w:val="22"/>
        </w:rPr>
        <w:t>‘</w:t>
      </w:r>
      <w:r w:rsidRPr="0052202A">
        <w:rPr>
          <w:rFonts w:cstheme="minorHAnsi"/>
          <w:b w:val="0"/>
          <w:sz w:val="22"/>
          <w:szCs w:val="22"/>
        </w:rPr>
        <w:t>Table 31: Current Status of Local A</w:t>
      </w:r>
      <w:r w:rsidR="0052202A">
        <w:rPr>
          <w:rFonts w:cstheme="minorHAnsi"/>
          <w:b w:val="0"/>
          <w:sz w:val="22"/>
          <w:szCs w:val="22"/>
        </w:rPr>
        <w:t>uthority Housing Stock</w:t>
      </w:r>
      <w:r w:rsidRPr="0052202A">
        <w:rPr>
          <w:rFonts w:cstheme="minorHAnsi"/>
          <w:b w:val="0"/>
          <w:sz w:val="22"/>
          <w:szCs w:val="22"/>
        </w:rPr>
        <w:t>/</w:t>
      </w:r>
      <w:r w:rsidR="0052202A">
        <w:rPr>
          <w:rFonts w:cstheme="minorHAnsi"/>
          <w:b w:val="0"/>
          <w:sz w:val="22"/>
          <w:szCs w:val="22"/>
        </w:rPr>
        <w:t>Total N</w:t>
      </w:r>
      <w:r w:rsidRPr="0052202A">
        <w:rPr>
          <w:rFonts w:cstheme="minorHAnsi"/>
          <w:b w:val="0"/>
          <w:sz w:val="22"/>
          <w:szCs w:val="22"/>
        </w:rPr>
        <w:t xml:space="preserve">umber of </w:t>
      </w:r>
      <w:r w:rsidR="0052202A">
        <w:rPr>
          <w:rFonts w:cstheme="minorHAnsi"/>
          <w:b w:val="0"/>
          <w:sz w:val="22"/>
          <w:szCs w:val="22"/>
        </w:rPr>
        <w:t>D</w:t>
      </w:r>
      <w:r w:rsidRPr="0052202A">
        <w:rPr>
          <w:rFonts w:cstheme="minorHAnsi"/>
          <w:b w:val="0"/>
          <w:sz w:val="22"/>
          <w:szCs w:val="22"/>
        </w:rPr>
        <w:t xml:space="preserve">wellings in </w:t>
      </w:r>
      <w:r w:rsidR="0052202A">
        <w:rPr>
          <w:rFonts w:cstheme="minorHAnsi"/>
          <w:b w:val="0"/>
          <w:sz w:val="22"/>
          <w:szCs w:val="22"/>
        </w:rPr>
        <w:t>L</w:t>
      </w:r>
      <w:r w:rsidRPr="0052202A">
        <w:rPr>
          <w:rFonts w:cstheme="minorHAnsi"/>
          <w:b w:val="0"/>
          <w:sz w:val="22"/>
          <w:szCs w:val="22"/>
        </w:rPr>
        <w:t xml:space="preserve">ocal </w:t>
      </w:r>
      <w:r w:rsidR="0052202A">
        <w:rPr>
          <w:rFonts w:cstheme="minorHAnsi"/>
          <w:b w:val="0"/>
          <w:sz w:val="22"/>
          <w:szCs w:val="22"/>
        </w:rPr>
        <w:t>A</w:t>
      </w:r>
      <w:r w:rsidRPr="0052202A">
        <w:rPr>
          <w:rFonts w:cstheme="minorHAnsi"/>
          <w:b w:val="0"/>
          <w:sz w:val="22"/>
          <w:szCs w:val="22"/>
        </w:rPr>
        <w:t xml:space="preserve">uthority </w:t>
      </w:r>
      <w:r w:rsidR="0052202A">
        <w:rPr>
          <w:rFonts w:cstheme="minorHAnsi"/>
          <w:b w:val="0"/>
          <w:sz w:val="22"/>
          <w:szCs w:val="22"/>
        </w:rPr>
        <w:t>S</w:t>
      </w:r>
      <w:r w:rsidRPr="0052202A">
        <w:rPr>
          <w:rFonts w:cstheme="minorHAnsi"/>
          <w:b w:val="0"/>
          <w:sz w:val="22"/>
          <w:szCs w:val="22"/>
        </w:rPr>
        <w:t>tock</w:t>
      </w:r>
      <w:r w:rsidR="0052202A">
        <w:rPr>
          <w:rFonts w:cstheme="minorHAnsi"/>
          <w:b w:val="0"/>
          <w:sz w:val="22"/>
          <w:szCs w:val="22"/>
        </w:rPr>
        <w:t>’</w:t>
      </w:r>
      <w:r w:rsidRPr="0052202A">
        <w:rPr>
          <w:rFonts w:cstheme="minorHAnsi"/>
          <w:b w:val="0"/>
          <w:sz w:val="22"/>
          <w:szCs w:val="22"/>
        </w:rPr>
        <w:t xml:space="preserve"> </w:t>
      </w:r>
      <w:r w:rsidR="0052202A">
        <w:rPr>
          <w:rFonts w:cstheme="minorHAnsi"/>
          <w:b w:val="0"/>
          <w:sz w:val="22"/>
          <w:szCs w:val="22"/>
        </w:rPr>
        <w:t xml:space="preserve">– </w:t>
      </w:r>
      <w:r w:rsidRPr="0052202A">
        <w:rPr>
          <w:rFonts w:cstheme="minorHAnsi"/>
          <w:b w:val="0"/>
          <w:sz w:val="22"/>
          <w:szCs w:val="22"/>
        </w:rPr>
        <w:t>Service Indicators in Local Authorities 2010 - 2013.</w:t>
      </w:r>
    </w:p>
    <w:p w:rsidR="00B70292" w:rsidRPr="003E001D" w:rsidRDefault="00B70292" w:rsidP="00B70292">
      <w:pPr>
        <w:pStyle w:val="PITableHeading"/>
        <w:rPr>
          <w:rFonts w:asciiTheme="minorHAnsi" w:hAnsiTheme="minorHAnsi" w:cstheme="minorHAnsi"/>
          <w:b w:val="0"/>
          <w:sz w:val="22"/>
          <w:szCs w:val="22"/>
        </w:rPr>
      </w:pPr>
    </w:p>
    <w:p w:rsidR="00B70292" w:rsidRDefault="00B70292" w:rsidP="00B70292">
      <w:pPr>
        <w:pStyle w:val="PITableHeading"/>
        <w:rPr>
          <w:rFonts w:asciiTheme="minorHAnsi" w:eastAsiaTheme="minorHAnsi" w:hAnsiTheme="minorHAnsi" w:cstheme="minorHAnsi"/>
          <w:b w:val="0"/>
          <w:bCs w:val="0"/>
          <w:color w:val="auto"/>
          <w:sz w:val="22"/>
          <w:szCs w:val="22"/>
          <w:lang w:eastAsia="en-US"/>
        </w:rPr>
      </w:pPr>
    </w:p>
    <w:p w:rsidR="00B70292" w:rsidRDefault="00B70292" w:rsidP="00B70292">
      <w:pPr>
        <w:pStyle w:val="PITableHeading"/>
        <w:rPr>
          <w:rFonts w:asciiTheme="minorHAnsi" w:eastAsiaTheme="minorHAnsi" w:hAnsiTheme="minorHAnsi" w:cstheme="minorHAnsi"/>
          <w:b w:val="0"/>
          <w:bCs w:val="0"/>
          <w:color w:val="auto"/>
          <w:sz w:val="22"/>
          <w:szCs w:val="22"/>
          <w:lang w:eastAsia="en-US"/>
        </w:rPr>
      </w:pPr>
    </w:p>
    <w:p w:rsidR="00B70292" w:rsidRDefault="00B70292" w:rsidP="00B70292">
      <w:pPr>
        <w:pStyle w:val="PITableHeading"/>
        <w:rPr>
          <w:rFonts w:asciiTheme="minorHAnsi" w:eastAsiaTheme="minorHAnsi" w:hAnsiTheme="minorHAnsi" w:cstheme="minorHAnsi"/>
          <w:b w:val="0"/>
          <w:bCs w:val="0"/>
          <w:color w:val="auto"/>
          <w:sz w:val="22"/>
          <w:szCs w:val="22"/>
          <w:lang w:eastAsia="en-US"/>
        </w:rPr>
      </w:pPr>
    </w:p>
    <w:p w:rsidR="00B70292" w:rsidRDefault="00B70292" w:rsidP="00B70292">
      <w:pPr>
        <w:pStyle w:val="PITableHeading"/>
        <w:rPr>
          <w:rFonts w:asciiTheme="minorHAnsi" w:eastAsiaTheme="minorHAnsi" w:hAnsiTheme="minorHAnsi" w:cstheme="minorHAnsi"/>
          <w:b w:val="0"/>
          <w:bCs w:val="0"/>
          <w:color w:val="auto"/>
          <w:sz w:val="22"/>
          <w:szCs w:val="22"/>
          <w:lang w:eastAsia="en-US"/>
        </w:rPr>
      </w:pPr>
    </w:p>
    <w:p w:rsidR="00B70292" w:rsidRDefault="00B70292" w:rsidP="00B70292">
      <w:pPr>
        <w:pStyle w:val="PITableHeading"/>
        <w:rPr>
          <w:rFonts w:asciiTheme="minorHAnsi" w:eastAsiaTheme="minorHAnsi" w:hAnsiTheme="minorHAnsi" w:cstheme="minorHAnsi"/>
          <w:b w:val="0"/>
          <w:bCs w:val="0"/>
          <w:color w:val="auto"/>
          <w:sz w:val="22"/>
          <w:szCs w:val="22"/>
          <w:lang w:eastAsia="en-US"/>
        </w:rPr>
      </w:pPr>
    </w:p>
    <w:p w:rsidR="00B70292" w:rsidRDefault="00B70292" w:rsidP="00B70292">
      <w:pPr>
        <w:pStyle w:val="PITableHeading"/>
        <w:rPr>
          <w:rFonts w:asciiTheme="minorHAnsi" w:eastAsiaTheme="minorHAnsi" w:hAnsiTheme="minorHAnsi" w:cstheme="minorHAnsi"/>
          <w:b w:val="0"/>
          <w:bCs w:val="0"/>
          <w:color w:val="auto"/>
          <w:sz w:val="22"/>
          <w:szCs w:val="22"/>
          <w:lang w:eastAsia="en-US"/>
        </w:rPr>
      </w:pPr>
    </w:p>
    <w:p w:rsidR="00B70292" w:rsidRDefault="00B70292" w:rsidP="00B70292">
      <w:pPr>
        <w:pStyle w:val="PITableHeading"/>
        <w:rPr>
          <w:rFonts w:asciiTheme="minorHAnsi" w:eastAsiaTheme="minorHAnsi" w:hAnsiTheme="minorHAnsi" w:cstheme="minorHAnsi"/>
          <w:b w:val="0"/>
          <w:bCs w:val="0"/>
          <w:color w:val="auto"/>
          <w:sz w:val="22"/>
          <w:szCs w:val="22"/>
          <w:lang w:eastAsia="en-US"/>
        </w:rPr>
      </w:pPr>
    </w:p>
    <w:p w:rsidR="00B70292" w:rsidRDefault="00B70292" w:rsidP="00B70292">
      <w:pPr>
        <w:pStyle w:val="PITableHeading"/>
        <w:rPr>
          <w:rFonts w:asciiTheme="minorHAnsi" w:eastAsiaTheme="minorHAnsi" w:hAnsiTheme="minorHAnsi" w:cstheme="minorHAnsi"/>
          <w:b w:val="0"/>
          <w:bCs w:val="0"/>
          <w:color w:val="auto"/>
          <w:sz w:val="22"/>
          <w:szCs w:val="22"/>
          <w:lang w:eastAsia="en-US"/>
        </w:rPr>
      </w:pPr>
    </w:p>
    <w:p w:rsidR="00B70292" w:rsidRDefault="00B70292" w:rsidP="00B70292">
      <w:pPr>
        <w:pStyle w:val="PITableHeading"/>
        <w:rPr>
          <w:rFonts w:asciiTheme="minorHAnsi" w:eastAsiaTheme="minorHAnsi" w:hAnsiTheme="minorHAnsi" w:cstheme="minorHAnsi"/>
          <w:b w:val="0"/>
          <w:bCs w:val="0"/>
          <w:color w:val="auto"/>
          <w:sz w:val="22"/>
          <w:szCs w:val="22"/>
          <w:lang w:eastAsia="en-US"/>
        </w:rPr>
      </w:pPr>
    </w:p>
    <w:p w:rsidR="00B70292" w:rsidRDefault="00B70292" w:rsidP="00B70292">
      <w:pPr>
        <w:pStyle w:val="PITableHeading"/>
        <w:rPr>
          <w:rFonts w:asciiTheme="minorHAnsi" w:eastAsiaTheme="minorHAnsi" w:hAnsiTheme="minorHAnsi" w:cstheme="minorHAnsi"/>
          <w:b w:val="0"/>
          <w:bCs w:val="0"/>
          <w:color w:val="auto"/>
          <w:sz w:val="22"/>
          <w:szCs w:val="22"/>
          <w:lang w:eastAsia="en-US"/>
        </w:rPr>
      </w:pPr>
    </w:p>
    <w:p w:rsidR="00B70292" w:rsidRDefault="00B70292" w:rsidP="00B70292">
      <w:pPr>
        <w:pStyle w:val="PITableHeading"/>
        <w:rPr>
          <w:rFonts w:asciiTheme="minorHAnsi" w:eastAsiaTheme="minorHAnsi" w:hAnsiTheme="minorHAnsi" w:cstheme="minorHAnsi"/>
          <w:b w:val="0"/>
          <w:bCs w:val="0"/>
          <w:color w:val="auto"/>
          <w:sz w:val="22"/>
          <w:szCs w:val="22"/>
          <w:lang w:eastAsia="en-US"/>
        </w:rPr>
      </w:pPr>
    </w:p>
    <w:p w:rsidR="00B70292" w:rsidRDefault="00B70292" w:rsidP="00B70292">
      <w:pPr>
        <w:pStyle w:val="PITableHeading"/>
        <w:rPr>
          <w:rFonts w:asciiTheme="minorHAnsi" w:eastAsiaTheme="minorHAnsi" w:hAnsiTheme="minorHAnsi" w:cstheme="minorHAnsi"/>
          <w:b w:val="0"/>
          <w:bCs w:val="0"/>
          <w:color w:val="auto"/>
          <w:sz w:val="22"/>
          <w:szCs w:val="22"/>
          <w:lang w:eastAsia="en-US"/>
        </w:rPr>
      </w:pPr>
    </w:p>
    <w:p w:rsidR="00B70292" w:rsidRDefault="00B70292" w:rsidP="00B70292">
      <w:pPr>
        <w:pStyle w:val="PITableHeading"/>
        <w:rPr>
          <w:rFonts w:asciiTheme="minorHAnsi" w:eastAsiaTheme="minorHAnsi" w:hAnsiTheme="minorHAnsi" w:cstheme="minorHAnsi"/>
          <w:b w:val="0"/>
          <w:bCs w:val="0"/>
          <w:color w:val="auto"/>
          <w:sz w:val="22"/>
          <w:szCs w:val="22"/>
          <w:lang w:eastAsia="en-US"/>
        </w:rPr>
      </w:pPr>
    </w:p>
    <w:p w:rsidR="00B70292" w:rsidRDefault="00B70292" w:rsidP="00B70292">
      <w:pPr>
        <w:pStyle w:val="PITableHeading"/>
        <w:rPr>
          <w:rFonts w:asciiTheme="minorHAnsi" w:eastAsiaTheme="minorHAnsi" w:hAnsiTheme="minorHAnsi" w:cstheme="minorHAnsi"/>
          <w:b w:val="0"/>
          <w:bCs w:val="0"/>
          <w:color w:val="auto"/>
          <w:sz w:val="22"/>
          <w:szCs w:val="22"/>
          <w:lang w:eastAsia="en-US"/>
        </w:rPr>
      </w:pPr>
    </w:p>
    <w:p w:rsidR="00B70292" w:rsidRDefault="00B70292" w:rsidP="00B70292">
      <w:pPr>
        <w:pStyle w:val="PITableHeading"/>
        <w:rPr>
          <w:rFonts w:asciiTheme="minorHAnsi" w:eastAsiaTheme="minorHAnsi" w:hAnsiTheme="minorHAnsi" w:cstheme="minorHAnsi"/>
          <w:b w:val="0"/>
          <w:bCs w:val="0"/>
          <w:color w:val="auto"/>
          <w:sz w:val="22"/>
          <w:szCs w:val="22"/>
          <w:lang w:eastAsia="en-US"/>
        </w:rPr>
      </w:pPr>
    </w:p>
    <w:p w:rsidR="00B70292" w:rsidRDefault="00B70292" w:rsidP="00B70292">
      <w:pPr>
        <w:pStyle w:val="PITableHeading"/>
        <w:rPr>
          <w:rFonts w:asciiTheme="minorHAnsi" w:eastAsiaTheme="minorHAnsi" w:hAnsiTheme="minorHAnsi" w:cstheme="minorHAnsi"/>
          <w:b w:val="0"/>
          <w:bCs w:val="0"/>
          <w:color w:val="auto"/>
          <w:sz w:val="22"/>
          <w:szCs w:val="22"/>
          <w:lang w:eastAsia="en-US"/>
        </w:rPr>
      </w:pPr>
    </w:p>
    <w:p w:rsidR="00B70292" w:rsidRPr="00B97E75" w:rsidRDefault="00B70292" w:rsidP="00B70292">
      <w:pPr>
        <w:pStyle w:val="PITableHeading"/>
        <w:rPr>
          <w:rFonts w:asciiTheme="minorHAnsi" w:hAnsiTheme="minorHAnsi" w:cstheme="minorHAnsi"/>
          <w:sz w:val="22"/>
          <w:szCs w:val="22"/>
        </w:rPr>
      </w:pPr>
      <w:r w:rsidRPr="00B97E75">
        <w:rPr>
          <w:rFonts w:asciiTheme="minorHAnsi" w:hAnsiTheme="minorHAnsi" w:cstheme="minorHAnsi"/>
          <w:sz w:val="22"/>
          <w:szCs w:val="22"/>
        </w:rPr>
        <w:lastRenderedPageBreak/>
        <w:t>Ta</w:t>
      </w:r>
      <w:r>
        <w:rPr>
          <w:rFonts w:asciiTheme="minorHAnsi" w:hAnsiTheme="minorHAnsi" w:cstheme="minorHAnsi"/>
          <w:sz w:val="22"/>
          <w:szCs w:val="22"/>
        </w:rPr>
        <w:t xml:space="preserve">ble 3: </w:t>
      </w:r>
      <w:r w:rsidRPr="003E001D">
        <w:rPr>
          <w:rFonts w:asciiTheme="minorHAnsi" w:hAnsiTheme="minorHAnsi" w:cstheme="minorHAnsi"/>
          <w:b w:val="0"/>
          <w:sz w:val="22"/>
          <w:szCs w:val="22"/>
        </w:rPr>
        <w:t>A</w:t>
      </w:r>
      <w:r>
        <w:rPr>
          <w:rFonts w:asciiTheme="minorHAnsi" w:hAnsiTheme="minorHAnsi" w:cstheme="minorHAnsi"/>
          <w:b w:val="0"/>
          <w:sz w:val="22"/>
          <w:szCs w:val="22"/>
        </w:rPr>
        <w:t xml:space="preserve">verage Re-letting Time &amp; Cost; </w:t>
      </w:r>
      <w:r w:rsidRPr="003E001D">
        <w:rPr>
          <w:rFonts w:asciiTheme="minorHAnsi" w:hAnsiTheme="minorHAnsi" w:cstheme="minorHAnsi"/>
          <w:b w:val="0"/>
          <w:sz w:val="22"/>
          <w:szCs w:val="22"/>
        </w:rPr>
        <w:t>Maintenance Cost by Unit</w:t>
      </w:r>
    </w:p>
    <w:tbl>
      <w:tblPr>
        <w:tblStyle w:val="LightGrid-Accent5"/>
        <w:tblW w:w="7100" w:type="dxa"/>
        <w:tblLook w:val="04A0" w:firstRow="1" w:lastRow="0" w:firstColumn="1" w:lastColumn="0" w:noHBand="0" w:noVBand="1"/>
      </w:tblPr>
      <w:tblGrid>
        <w:gridCol w:w="2840"/>
        <w:gridCol w:w="1379"/>
        <w:gridCol w:w="1367"/>
        <w:gridCol w:w="1514"/>
      </w:tblGrid>
      <w:tr w:rsidR="00B70292" w:rsidRPr="001A12E4" w:rsidTr="000F6A09">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840" w:type="dxa"/>
            <w:noWrap/>
            <w:vAlign w:val="center"/>
            <w:hideMark/>
          </w:tcPr>
          <w:p w:rsidR="00B70292" w:rsidRPr="00D36D20" w:rsidRDefault="00B70292" w:rsidP="000F6A09">
            <w:pPr>
              <w:rPr>
                <w:rFonts w:asciiTheme="minorHAnsi" w:eastAsia="Times New Roman" w:hAnsiTheme="minorHAnsi" w:cstheme="minorHAnsi"/>
                <w:color w:val="000000"/>
                <w:lang w:eastAsia="en-IE"/>
              </w:rPr>
            </w:pPr>
            <w:r w:rsidRPr="00D36D20">
              <w:rPr>
                <w:rFonts w:asciiTheme="minorHAnsi" w:eastAsia="Times New Roman" w:hAnsiTheme="minorHAnsi" w:cstheme="minorHAnsi"/>
                <w:color w:val="000000"/>
                <w:lang w:eastAsia="en-IE"/>
              </w:rPr>
              <w:t>Authority</w:t>
            </w:r>
          </w:p>
        </w:tc>
        <w:tc>
          <w:tcPr>
            <w:tcW w:w="1379" w:type="dxa"/>
            <w:vAlign w:val="center"/>
            <w:hideMark/>
          </w:tcPr>
          <w:p w:rsidR="00B70292" w:rsidRPr="001A12E4" w:rsidRDefault="00B70292" w:rsidP="000F6A0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lang w:eastAsia="en-IE"/>
              </w:rPr>
            </w:pPr>
            <w:r w:rsidRPr="001A12E4">
              <w:rPr>
                <w:rFonts w:asciiTheme="minorHAnsi" w:eastAsia="Times New Roman" w:hAnsiTheme="minorHAnsi" w:cstheme="minorHAnsi"/>
                <w:color w:val="000000"/>
                <w:lang w:eastAsia="en-IE"/>
              </w:rPr>
              <w:t>Re-letting Time (Weeks)</w:t>
            </w:r>
          </w:p>
        </w:tc>
        <w:tc>
          <w:tcPr>
            <w:tcW w:w="1367" w:type="dxa"/>
            <w:vAlign w:val="center"/>
            <w:hideMark/>
          </w:tcPr>
          <w:p w:rsidR="00B70292" w:rsidRPr="001A12E4" w:rsidRDefault="00B70292" w:rsidP="000F6A0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lang w:eastAsia="en-IE"/>
              </w:rPr>
            </w:pPr>
            <w:r w:rsidRPr="001A12E4">
              <w:rPr>
                <w:rFonts w:asciiTheme="minorHAnsi" w:eastAsia="Times New Roman" w:hAnsiTheme="minorHAnsi" w:cstheme="minorHAnsi"/>
                <w:color w:val="000000"/>
                <w:lang w:eastAsia="en-IE"/>
              </w:rPr>
              <w:t>Re-let Cost Average</w:t>
            </w:r>
            <w:r>
              <w:rPr>
                <w:rFonts w:asciiTheme="minorHAnsi" w:eastAsia="Times New Roman" w:hAnsiTheme="minorHAnsi" w:cstheme="minorHAnsi"/>
                <w:color w:val="000000"/>
                <w:lang w:eastAsia="en-IE"/>
              </w:rPr>
              <w:t xml:space="preserve"> (€)</w:t>
            </w:r>
          </w:p>
        </w:tc>
        <w:tc>
          <w:tcPr>
            <w:tcW w:w="1514" w:type="dxa"/>
            <w:vAlign w:val="center"/>
            <w:hideMark/>
          </w:tcPr>
          <w:p w:rsidR="00B70292" w:rsidRPr="001A12E4" w:rsidRDefault="00B70292" w:rsidP="000F6A0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lang w:eastAsia="en-IE"/>
              </w:rPr>
            </w:pPr>
            <w:r w:rsidRPr="001A12E4">
              <w:rPr>
                <w:rFonts w:asciiTheme="minorHAnsi" w:eastAsia="Times New Roman" w:hAnsiTheme="minorHAnsi" w:cstheme="minorHAnsi"/>
                <w:color w:val="000000"/>
                <w:lang w:eastAsia="en-IE"/>
              </w:rPr>
              <w:t>Maintenance Cost by Unit</w:t>
            </w:r>
            <w:r>
              <w:rPr>
                <w:rFonts w:asciiTheme="minorHAnsi" w:eastAsia="Times New Roman" w:hAnsiTheme="minorHAnsi" w:cstheme="minorHAnsi"/>
                <w:color w:val="000000"/>
                <w:lang w:eastAsia="en-IE"/>
              </w:rPr>
              <w:t xml:space="preserve"> (€)</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 </w:t>
            </w:r>
          </w:p>
        </w:tc>
        <w:tc>
          <w:tcPr>
            <w:tcW w:w="1379" w:type="dxa"/>
            <w:hideMark/>
          </w:tcPr>
          <w:p w:rsidR="00B70292" w:rsidRPr="005C4524" w:rsidRDefault="00B70292" w:rsidP="000F6A0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367" w:type="dxa"/>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514" w:type="dxa"/>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Carlow County</w:t>
            </w:r>
          </w:p>
        </w:tc>
        <w:tc>
          <w:tcPr>
            <w:tcW w:w="1379" w:type="dxa"/>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24.66</w:t>
            </w:r>
          </w:p>
        </w:tc>
        <w:tc>
          <w:tcPr>
            <w:tcW w:w="1367"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9,821.28</w:t>
            </w:r>
          </w:p>
        </w:tc>
        <w:tc>
          <w:tcPr>
            <w:tcW w:w="1514"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256.40</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Cavan County</w:t>
            </w:r>
          </w:p>
        </w:tc>
        <w:tc>
          <w:tcPr>
            <w:tcW w:w="1379" w:type="dxa"/>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38.24</w:t>
            </w:r>
          </w:p>
        </w:tc>
        <w:tc>
          <w:tcPr>
            <w:tcW w:w="1367"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1,266.57</w:t>
            </w:r>
          </w:p>
        </w:tc>
        <w:tc>
          <w:tcPr>
            <w:tcW w:w="1514"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343.14</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Clare County</w:t>
            </w:r>
          </w:p>
        </w:tc>
        <w:tc>
          <w:tcPr>
            <w:tcW w:w="1379" w:type="dxa"/>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43.61</w:t>
            </w:r>
          </w:p>
        </w:tc>
        <w:tc>
          <w:tcPr>
            <w:tcW w:w="1367"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9,095.54</w:t>
            </w:r>
          </w:p>
        </w:tc>
        <w:tc>
          <w:tcPr>
            <w:tcW w:w="1514"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551.32</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Cork City</w:t>
            </w:r>
          </w:p>
        </w:tc>
        <w:tc>
          <w:tcPr>
            <w:tcW w:w="1379" w:type="dxa"/>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82.54</w:t>
            </w:r>
          </w:p>
        </w:tc>
        <w:tc>
          <w:tcPr>
            <w:tcW w:w="1367"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35,012.51</w:t>
            </w:r>
          </w:p>
        </w:tc>
        <w:tc>
          <w:tcPr>
            <w:tcW w:w="1514"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1,401.45</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Cork County</w:t>
            </w:r>
          </w:p>
        </w:tc>
        <w:tc>
          <w:tcPr>
            <w:tcW w:w="1379" w:type="dxa"/>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65.82</w:t>
            </w:r>
          </w:p>
        </w:tc>
        <w:tc>
          <w:tcPr>
            <w:tcW w:w="1367"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17,512.21</w:t>
            </w:r>
          </w:p>
        </w:tc>
        <w:tc>
          <w:tcPr>
            <w:tcW w:w="1514"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1,837.31</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Donegal County</w:t>
            </w:r>
          </w:p>
        </w:tc>
        <w:tc>
          <w:tcPr>
            <w:tcW w:w="1379" w:type="dxa"/>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38.02</w:t>
            </w:r>
          </w:p>
        </w:tc>
        <w:tc>
          <w:tcPr>
            <w:tcW w:w="1367"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4,762.10</w:t>
            </w:r>
          </w:p>
        </w:tc>
        <w:tc>
          <w:tcPr>
            <w:tcW w:w="1514"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308.00</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Dublin City</w:t>
            </w:r>
          </w:p>
        </w:tc>
        <w:tc>
          <w:tcPr>
            <w:tcW w:w="1379" w:type="dxa"/>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23.35</w:t>
            </w:r>
          </w:p>
        </w:tc>
        <w:tc>
          <w:tcPr>
            <w:tcW w:w="1367"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15,875.17</w:t>
            </w:r>
          </w:p>
        </w:tc>
        <w:tc>
          <w:tcPr>
            <w:tcW w:w="1514"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2,680.49</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 xml:space="preserve">Dun Laoghaire </w:t>
            </w:r>
            <w:proofErr w:type="spellStart"/>
            <w:r w:rsidRPr="005C4524">
              <w:rPr>
                <w:rFonts w:asciiTheme="minorHAnsi" w:eastAsia="Times New Roman" w:hAnsiTheme="minorHAnsi" w:cstheme="minorHAnsi"/>
                <w:color w:val="000000"/>
                <w:lang w:eastAsia="en-IE"/>
              </w:rPr>
              <w:t>Rathdown</w:t>
            </w:r>
            <w:proofErr w:type="spellEnd"/>
          </w:p>
        </w:tc>
        <w:tc>
          <w:tcPr>
            <w:tcW w:w="1379" w:type="dxa"/>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13.36</w:t>
            </w:r>
          </w:p>
        </w:tc>
        <w:tc>
          <w:tcPr>
            <w:tcW w:w="1367"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4,978.82</w:t>
            </w:r>
          </w:p>
        </w:tc>
        <w:tc>
          <w:tcPr>
            <w:tcW w:w="1514"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1,727.93</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proofErr w:type="spellStart"/>
            <w:r w:rsidRPr="005C4524">
              <w:rPr>
                <w:rFonts w:asciiTheme="minorHAnsi" w:eastAsia="Times New Roman" w:hAnsiTheme="minorHAnsi" w:cstheme="minorHAnsi"/>
                <w:color w:val="000000"/>
                <w:lang w:eastAsia="en-IE"/>
              </w:rPr>
              <w:t>Fingal</w:t>
            </w:r>
            <w:proofErr w:type="spellEnd"/>
            <w:r w:rsidRPr="005C4524">
              <w:rPr>
                <w:rFonts w:asciiTheme="minorHAnsi" w:eastAsia="Times New Roman" w:hAnsiTheme="minorHAnsi" w:cstheme="minorHAnsi"/>
                <w:color w:val="000000"/>
                <w:lang w:eastAsia="en-IE"/>
              </w:rPr>
              <w:t xml:space="preserve"> County</w:t>
            </w:r>
          </w:p>
        </w:tc>
        <w:tc>
          <w:tcPr>
            <w:tcW w:w="1379" w:type="dxa"/>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24.48</w:t>
            </w:r>
          </w:p>
        </w:tc>
        <w:tc>
          <w:tcPr>
            <w:tcW w:w="1367"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10,934.88</w:t>
            </w:r>
          </w:p>
        </w:tc>
        <w:tc>
          <w:tcPr>
            <w:tcW w:w="1514"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758.29</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Galway City</w:t>
            </w:r>
          </w:p>
        </w:tc>
        <w:tc>
          <w:tcPr>
            <w:tcW w:w="1379" w:type="dxa"/>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36</w:t>
            </w:r>
          </w:p>
        </w:tc>
        <w:tc>
          <w:tcPr>
            <w:tcW w:w="1367"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14,000.00</w:t>
            </w:r>
          </w:p>
        </w:tc>
        <w:tc>
          <w:tcPr>
            <w:tcW w:w="1514"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576.54</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Galway County</w:t>
            </w:r>
          </w:p>
        </w:tc>
        <w:tc>
          <w:tcPr>
            <w:tcW w:w="1379" w:type="dxa"/>
            <w:hideMark/>
          </w:tcPr>
          <w:p w:rsidR="00B70292" w:rsidRPr="00086532"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51.19</w:t>
            </w:r>
          </w:p>
        </w:tc>
        <w:tc>
          <w:tcPr>
            <w:tcW w:w="1367"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Pr>
                <w:rFonts w:eastAsia="Times New Roman" w:cstheme="minorHAnsi"/>
                <w:color w:val="000000"/>
                <w:lang w:eastAsia="en-IE"/>
              </w:rPr>
              <w:t xml:space="preserve"> </w:t>
            </w:r>
            <w:r w:rsidRPr="005C4524">
              <w:rPr>
                <w:rFonts w:eastAsia="Times New Roman" w:cstheme="minorHAnsi"/>
                <w:color w:val="000000"/>
                <w:lang w:eastAsia="en-IE"/>
              </w:rPr>
              <w:t>8,033.58</w:t>
            </w:r>
          </w:p>
        </w:tc>
        <w:tc>
          <w:tcPr>
            <w:tcW w:w="1514"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766.15</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Kerry County</w:t>
            </w:r>
          </w:p>
        </w:tc>
        <w:tc>
          <w:tcPr>
            <w:tcW w:w="1379" w:type="dxa"/>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48.84</w:t>
            </w:r>
          </w:p>
        </w:tc>
        <w:tc>
          <w:tcPr>
            <w:tcW w:w="1367"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17,888.28</w:t>
            </w:r>
          </w:p>
        </w:tc>
        <w:tc>
          <w:tcPr>
            <w:tcW w:w="1514"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529.91</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Kildare County</w:t>
            </w:r>
          </w:p>
        </w:tc>
        <w:tc>
          <w:tcPr>
            <w:tcW w:w="1379" w:type="dxa"/>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14.83</w:t>
            </w:r>
          </w:p>
        </w:tc>
        <w:tc>
          <w:tcPr>
            <w:tcW w:w="1367"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11,530.15</w:t>
            </w:r>
          </w:p>
        </w:tc>
        <w:tc>
          <w:tcPr>
            <w:tcW w:w="1514"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506.92</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Kilkenny County</w:t>
            </w:r>
          </w:p>
        </w:tc>
        <w:tc>
          <w:tcPr>
            <w:tcW w:w="1379" w:type="dxa"/>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18.36</w:t>
            </w:r>
          </w:p>
        </w:tc>
        <w:tc>
          <w:tcPr>
            <w:tcW w:w="1367"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9,529.89</w:t>
            </w:r>
          </w:p>
        </w:tc>
        <w:tc>
          <w:tcPr>
            <w:tcW w:w="1514"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946.51</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Laois County</w:t>
            </w:r>
          </w:p>
        </w:tc>
        <w:tc>
          <w:tcPr>
            <w:tcW w:w="1379" w:type="dxa"/>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10.17</w:t>
            </w:r>
          </w:p>
        </w:tc>
        <w:tc>
          <w:tcPr>
            <w:tcW w:w="1367"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3,061.11</w:t>
            </w:r>
          </w:p>
        </w:tc>
        <w:tc>
          <w:tcPr>
            <w:tcW w:w="1514"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868.21</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Leitrim County</w:t>
            </w:r>
          </w:p>
        </w:tc>
        <w:tc>
          <w:tcPr>
            <w:tcW w:w="1379" w:type="dxa"/>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57.8</w:t>
            </w:r>
          </w:p>
        </w:tc>
        <w:tc>
          <w:tcPr>
            <w:tcW w:w="1367"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8,237.84</w:t>
            </w:r>
          </w:p>
        </w:tc>
        <w:tc>
          <w:tcPr>
            <w:tcW w:w="1514"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1,329.85</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Limerick City &amp; County</w:t>
            </w:r>
          </w:p>
        </w:tc>
        <w:tc>
          <w:tcPr>
            <w:tcW w:w="1379" w:type="dxa"/>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67.5</w:t>
            </w:r>
          </w:p>
        </w:tc>
        <w:tc>
          <w:tcPr>
            <w:tcW w:w="1367"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6,653.81</w:t>
            </w:r>
          </w:p>
        </w:tc>
        <w:tc>
          <w:tcPr>
            <w:tcW w:w="1514"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841.28</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Longford County</w:t>
            </w:r>
          </w:p>
        </w:tc>
        <w:tc>
          <w:tcPr>
            <w:tcW w:w="1379" w:type="dxa"/>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16.24</w:t>
            </w:r>
          </w:p>
        </w:tc>
        <w:tc>
          <w:tcPr>
            <w:tcW w:w="1367"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4,734.50</w:t>
            </w:r>
          </w:p>
        </w:tc>
        <w:tc>
          <w:tcPr>
            <w:tcW w:w="1514"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586.26</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Louth County</w:t>
            </w:r>
          </w:p>
        </w:tc>
        <w:tc>
          <w:tcPr>
            <w:tcW w:w="1379" w:type="dxa"/>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25.83</w:t>
            </w:r>
          </w:p>
        </w:tc>
        <w:tc>
          <w:tcPr>
            <w:tcW w:w="1367"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4,022.83</w:t>
            </w:r>
          </w:p>
        </w:tc>
        <w:tc>
          <w:tcPr>
            <w:tcW w:w="1514"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914.42</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Mayo County</w:t>
            </w:r>
          </w:p>
        </w:tc>
        <w:tc>
          <w:tcPr>
            <w:tcW w:w="1379" w:type="dxa"/>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38</w:t>
            </w:r>
          </w:p>
        </w:tc>
        <w:tc>
          <w:tcPr>
            <w:tcW w:w="1367"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7,281.15</w:t>
            </w:r>
          </w:p>
        </w:tc>
        <w:tc>
          <w:tcPr>
            <w:tcW w:w="1514"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384.05</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Meath County</w:t>
            </w:r>
          </w:p>
        </w:tc>
        <w:tc>
          <w:tcPr>
            <w:tcW w:w="1379" w:type="dxa"/>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15</w:t>
            </w:r>
          </w:p>
        </w:tc>
        <w:tc>
          <w:tcPr>
            <w:tcW w:w="1367"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19,999.00</w:t>
            </w:r>
          </w:p>
        </w:tc>
        <w:tc>
          <w:tcPr>
            <w:tcW w:w="1514"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801.00</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Monaghan County</w:t>
            </w:r>
          </w:p>
        </w:tc>
        <w:tc>
          <w:tcPr>
            <w:tcW w:w="1379" w:type="dxa"/>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19.45</w:t>
            </w:r>
          </w:p>
        </w:tc>
        <w:tc>
          <w:tcPr>
            <w:tcW w:w="1367"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4,395.55</w:t>
            </w:r>
          </w:p>
        </w:tc>
        <w:tc>
          <w:tcPr>
            <w:tcW w:w="1514"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836.76</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Offaly County</w:t>
            </w:r>
          </w:p>
        </w:tc>
        <w:tc>
          <w:tcPr>
            <w:tcW w:w="1379" w:type="dxa"/>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37.4</w:t>
            </w:r>
          </w:p>
        </w:tc>
        <w:tc>
          <w:tcPr>
            <w:tcW w:w="1367"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8,375.00</w:t>
            </w:r>
          </w:p>
        </w:tc>
        <w:tc>
          <w:tcPr>
            <w:tcW w:w="1514"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535.00</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Roscommon County</w:t>
            </w:r>
          </w:p>
        </w:tc>
        <w:tc>
          <w:tcPr>
            <w:tcW w:w="1379" w:type="dxa"/>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56.39</w:t>
            </w:r>
          </w:p>
        </w:tc>
        <w:tc>
          <w:tcPr>
            <w:tcW w:w="1367"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7,167.18</w:t>
            </w:r>
          </w:p>
        </w:tc>
        <w:tc>
          <w:tcPr>
            <w:tcW w:w="1514"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474.00</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Sligo County</w:t>
            </w:r>
          </w:p>
        </w:tc>
        <w:tc>
          <w:tcPr>
            <w:tcW w:w="1379" w:type="dxa"/>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12.55</w:t>
            </w:r>
          </w:p>
        </w:tc>
        <w:tc>
          <w:tcPr>
            <w:tcW w:w="1367"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5,989.15</w:t>
            </w:r>
          </w:p>
        </w:tc>
        <w:tc>
          <w:tcPr>
            <w:tcW w:w="1514"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403.51</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South Dublin County</w:t>
            </w:r>
          </w:p>
        </w:tc>
        <w:tc>
          <w:tcPr>
            <w:tcW w:w="1379" w:type="dxa"/>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11.1</w:t>
            </w:r>
          </w:p>
        </w:tc>
        <w:tc>
          <w:tcPr>
            <w:tcW w:w="1367"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12,442.85</w:t>
            </w:r>
          </w:p>
        </w:tc>
        <w:tc>
          <w:tcPr>
            <w:tcW w:w="1514"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1,140.23</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Tipperary County</w:t>
            </w:r>
          </w:p>
        </w:tc>
        <w:tc>
          <w:tcPr>
            <w:tcW w:w="1379" w:type="dxa"/>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21.28</w:t>
            </w:r>
          </w:p>
        </w:tc>
        <w:tc>
          <w:tcPr>
            <w:tcW w:w="1367"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5,716.19</w:t>
            </w:r>
          </w:p>
        </w:tc>
        <w:tc>
          <w:tcPr>
            <w:tcW w:w="1514"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478.93</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Waterford City &amp; County</w:t>
            </w:r>
          </w:p>
        </w:tc>
        <w:tc>
          <w:tcPr>
            <w:tcW w:w="1379" w:type="dxa"/>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21</w:t>
            </w:r>
          </w:p>
        </w:tc>
        <w:tc>
          <w:tcPr>
            <w:tcW w:w="1367"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Pr>
                <w:rFonts w:eastAsia="Times New Roman" w:cstheme="minorHAnsi"/>
                <w:color w:val="000000"/>
                <w:lang w:eastAsia="en-IE"/>
              </w:rPr>
              <w:t>12,712.00</w:t>
            </w:r>
          </w:p>
        </w:tc>
        <w:tc>
          <w:tcPr>
            <w:tcW w:w="1514"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Pr>
                <w:rFonts w:eastAsia="Times New Roman" w:cstheme="minorHAnsi"/>
                <w:color w:val="000000"/>
                <w:lang w:eastAsia="en-IE"/>
              </w:rPr>
              <w:t>477.00</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Westmeath County</w:t>
            </w:r>
          </w:p>
        </w:tc>
        <w:tc>
          <w:tcPr>
            <w:tcW w:w="1379" w:type="dxa"/>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18.47</w:t>
            </w:r>
          </w:p>
        </w:tc>
        <w:tc>
          <w:tcPr>
            <w:tcW w:w="1367"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9,887.07</w:t>
            </w:r>
          </w:p>
        </w:tc>
        <w:tc>
          <w:tcPr>
            <w:tcW w:w="1514"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4,075.28</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Wexford County</w:t>
            </w:r>
          </w:p>
        </w:tc>
        <w:tc>
          <w:tcPr>
            <w:tcW w:w="1379" w:type="dxa"/>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12.78</w:t>
            </w:r>
          </w:p>
        </w:tc>
        <w:tc>
          <w:tcPr>
            <w:tcW w:w="1367"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2,950.00</w:t>
            </w:r>
          </w:p>
        </w:tc>
        <w:tc>
          <w:tcPr>
            <w:tcW w:w="1514" w:type="dxa"/>
            <w:hideMark/>
          </w:tcPr>
          <w:p w:rsidR="00B70292" w:rsidRPr="005C4524" w:rsidRDefault="00B70292" w:rsidP="000F6A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955.45</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0" w:type="dxa"/>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Wicklow County</w:t>
            </w:r>
          </w:p>
        </w:tc>
        <w:tc>
          <w:tcPr>
            <w:tcW w:w="1379" w:type="dxa"/>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20.97</w:t>
            </w:r>
          </w:p>
        </w:tc>
        <w:tc>
          <w:tcPr>
            <w:tcW w:w="1367"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14,016.59</w:t>
            </w:r>
          </w:p>
        </w:tc>
        <w:tc>
          <w:tcPr>
            <w:tcW w:w="1514" w:type="dxa"/>
            <w:hideMark/>
          </w:tcPr>
          <w:p w:rsidR="00B70292" w:rsidRPr="005C4524" w:rsidRDefault="00B70292" w:rsidP="000F6A09">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555.19</w:t>
            </w:r>
          </w:p>
        </w:tc>
      </w:tr>
    </w:tbl>
    <w:p w:rsidR="00B70292" w:rsidRPr="00B97E75" w:rsidRDefault="00B70292" w:rsidP="00B70292">
      <w:pPr>
        <w:spacing w:after="0" w:line="240" w:lineRule="auto"/>
        <w:rPr>
          <w:rFonts w:eastAsia="Times New Roman" w:cstheme="minorHAnsi"/>
          <w:b/>
          <w:bCs/>
          <w:color w:val="000000"/>
          <w:lang w:eastAsia="en-IE"/>
        </w:rPr>
      </w:pPr>
    </w:p>
    <w:p w:rsidR="00B70292" w:rsidRDefault="00B70292" w:rsidP="00B70292">
      <w:pPr>
        <w:spacing w:after="0" w:line="240" w:lineRule="auto"/>
        <w:rPr>
          <w:rFonts w:eastAsia="Times New Roman" w:cstheme="minorHAnsi"/>
          <w:b/>
          <w:bCs/>
          <w:color w:val="000000"/>
          <w:lang w:eastAsia="en-IE"/>
        </w:rPr>
      </w:pPr>
    </w:p>
    <w:p w:rsidR="00B70292" w:rsidRDefault="00B70292" w:rsidP="00B70292">
      <w:pPr>
        <w:spacing w:after="0" w:line="240" w:lineRule="auto"/>
        <w:rPr>
          <w:rFonts w:eastAsia="Times New Roman" w:cstheme="minorHAnsi"/>
          <w:b/>
          <w:bCs/>
          <w:color w:val="000000"/>
          <w:lang w:eastAsia="en-IE"/>
        </w:rPr>
      </w:pPr>
    </w:p>
    <w:p w:rsidR="00B70292" w:rsidRDefault="00B70292" w:rsidP="00B70292">
      <w:pPr>
        <w:spacing w:after="0" w:line="240" w:lineRule="auto"/>
        <w:rPr>
          <w:rFonts w:eastAsia="Times New Roman" w:cstheme="minorHAnsi"/>
          <w:b/>
          <w:bCs/>
          <w:color w:val="000000"/>
          <w:lang w:eastAsia="en-IE"/>
        </w:rPr>
      </w:pPr>
    </w:p>
    <w:p w:rsidR="00B70292" w:rsidRDefault="00B70292" w:rsidP="00B70292">
      <w:pPr>
        <w:spacing w:after="0" w:line="240" w:lineRule="auto"/>
        <w:rPr>
          <w:rFonts w:eastAsia="Times New Roman" w:cstheme="minorHAnsi"/>
          <w:b/>
          <w:bCs/>
          <w:color w:val="000000"/>
          <w:lang w:eastAsia="en-IE"/>
        </w:rPr>
      </w:pPr>
    </w:p>
    <w:p w:rsidR="00B70292" w:rsidRPr="00B97E75" w:rsidRDefault="00B70292" w:rsidP="00B70292">
      <w:pPr>
        <w:spacing w:after="0" w:line="240" w:lineRule="auto"/>
        <w:rPr>
          <w:rFonts w:eastAsia="Times New Roman" w:cstheme="minorHAnsi"/>
          <w:b/>
          <w:bCs/>
          <w:color w:val="000000"/>
          <w:lang w:eastAsia="en-IE"/>
        </w:rPr>
      </w:pPr>
    </w:p>
    <w:p w:rsidR="00B70292" w:rsidRDefault="00B70292" w:rsidP="00B70292">
      <w:pPr>
        <w:spacing w:after="0" w:line="240" w:lineRule="auto"/>
        <w:jc w:val="both"/>
        <w:rPr>
          <w:rFonts w:eastAsia="Times New Roman" w:cstheme="minorHAnsi"/>
          <w:bCs/>
          <w:color w:val="000000"/>
          <w:sz w:val="18"/>
          <w:szCs w:val="18"/>
          <w:lang w:eastAsia="en-IE"/>
        </w:rPr>
      </w:pPr>
    </w:p>
    <w:p w:rsidR="00B70292" w:rsidRPr="009660A3" w:rsidRDefault="00B70292" w:rsidP="00B70292">
      <w:pPr>
        <w:spacing w:after="0" w:line="240" w:lineRule="auto"/>
        <w:jc w:val="both"/>
        <w:rPr>
          <w:rFonts w:eastAsia="Times New Roman" w:cstheme="minorHAnsi"/>
          <w:bCs/>
          <w:color w:val="000000"/>
          <w:sz w:val="18"/>
          <w:szCs w:val="18"/>
          <w:lang w:eastAsia="en-IE"/>
        </w:rPr>
      </w:pPr>
    </w:p>
    <w:p w:rsidR="00B70292" w:rsidRPr="00B97E75" w:rsidRDefault="00B70292" w:rsidP="00B70292">
      <w:pPr>
        <w:spacing w:after="0" w:line="240" w:lineRule="auto"/>
        <w:rPr>
          <w:rFonts w:eastAsia="Times New Roman" w:cstheme="minorHAnsi"/>
          <w:b/>
          <w:bCs/>
          <w:color w:val="000000"/>
          <w:lang w:eastAsia="en-IE"/>
        </w:rPr>
      </w:pPr>
    </w:p>
    <w:tbl>
      <w:tblPr>
        <w:tblW w:w="5964" w:type="dxa"/>
        <w:tblInd w:w="98" w:type="dxa"/>
        <w:tblLook w:val="04A0" w:firstRow="1" w:lastRow="0" w:firstColumn="1" w:lastColumn="0" w:noHBand="0" w:noVBand="1"/>
      </w:tblPr>
      <w:tblGrid>
        <w:gridCol w:w="1995"/>
        <w:gridCol w:w="2835"/>
        <w:gridCol w:w="1134"/>
      </w:tblGrid>
      <w:tr w:rsidR="00B70292" w:rsidRPr="00B97E75" w:rsidTr="000F6A09">
        <w:trPr>
          <w:trHeight w:val="315"/>
        </w:trPr>
        <w:tc>
          <w:tcPr>
            <w:tcW w:w="596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 Re-letting Time, Cost &amp; Maintenance Cost</w:t>
            </w:r>
          </w:p>
        </w:tc>
      </w:tr>
      <w:tr w:rsidR="00B70292" w:rsidRPr="00B97E75" w:rsidTr="000F6A09">
        <w:trPr>
          <w:trHeight w:val="315"/>
        </w:trPr>
        <w:tc>
          <w:tcPr>
            <w:tcW w:w="483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Re-letting Time (Weeks)</w:t>
            </w:r>
          </w:p>
        </w:tc>
        <w:tc>
          <w:tcPr>
            <w:tcW w:w="1134" w:type="dxa"/>
            <w:tcBorders>
              <w:top w:val="nil"/>
              <w:left w:val="nil"/>
              <w:bottom w:val="single" w:sz="8" w:space="0" w:color="auto"/>
              <w:right w:val="single" w:sz="8" w:space="0" w:color="auto"/>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2014</w:t>
            </w:r>
          </w:p>
        </w:tc>
      </w:tr>
      <w:tr w:rsidR="00B70292" w:rsidRPr="00B97E75" w:rsidTr="000F6A09">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N</w:t>
            </w:r>
          </w:p>
        </w:tc>
        <w:tc>
          <w:tcPr>
            <w:tcW w:w="2835" w:type="dxa"/>
            <w:tcBorders>
              <w:top w:val="nil"/>
              <w:left w:val="nil"/>
              <w:bottom w:val="single" w:sz="8" w:space="0" w:color="auto"/>
              <w:right w:val="nil"/>
            </w:tcBorders>
            <w:shd w:val="clear" w:color="auto" w:fill="auto"/>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Valid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D25D40">
            <w:pPr>
              <w:spacing w:after="0" w:line="240" w:lineRule="auto"/>
              <w:jc w:val="right"/>
              <w:rPr>
                <w:rFonts w:eastAsia="Times New Roman" w:cstheme="minorHAnsi"/>
                <w:color w:val="000000"/>
                <w:lang w:eastAsia="en-IE"/>
              </w:rPr>
            </w:pPr>
            <w:r w:rsidRPr="00B97E75">
              <w:rPr>
                <w:rFonts w:eastAsia="Times New Roman" w:cstheme="minorHAnsi"/>
                <w:color w:val="000000"/>
                <w:lang w:val="en-US" w:eastAsia="en-IE"/>
              </w:rPr>
              <w:t>31</w:t>
            </w:r>
          </w:p>
        </w:tc>
      </w:tr>
      <w:tr w:rsidR="00B70292" w:rsidRPr="00B97E75" w:rsidTr="000F6A09">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835" w:type="dxa"/>
            <w:tcBorders>
              <w:top w:val="nil"/>
              <w:left w:val="nil"/>
              <w:bottom w:val="single" w:sz="8" w:space="0" w:color="auto"/>
              <w:right w:val="nil"/>
            </w:tcBorders>
            <w:shd w:val="clear" w:color="auto" w:fill="auto"/>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Missing</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D25D40">
            <w:pPr>
              <w:spacing w:after="0" w:line="240" w:lineRule="auto"/>
              <w:jc w:val="right"/>
              <w:rPr>
                <w:rFonts w:eastAsia="Times New Roman" w:cstheme="minorHAnsi"/>
                <w:color w:val="000000"/>
                <w:lang w:eastAsia="en-IE"/>
              </w:rPr>
            </w:pPr>
            <w:r w:rsidRPr="00B97E75">
              <w:rPr>
                <w:rFonts w:eastAsia="Times New Roman" w:cstheme="minorHAnsi"/>
                <w:color w:val="000000"/>
                <w:lang w:val="en-US" w:eastAsia="en-IE"/>
              </w:rPr>
              <w:t>0</w:t>
            </w:r>
          </w:p>
        </w:tc>
      </w:tr>
      <w:tr w:rsidR="00B70292" w:rsidRPr="00B97E75" w:rsidTr="000F6A09">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Average</w:t>
            </w:r>
          </w:p>
        </w:tc>
        <w:tc>
          <w:tcPr>
            <w:tcW w:w="2835" w:type="dxa"/>
            <w:tcBorders>
              <w:top w:val="nil"/>
              <w:left w:val="nil"/>
              <w:bottom w:val="single" w:sz="8" w:space="0" w:color="auto"/>
              <w:right w:val="nil"/>
            </w:tcBorders>
            <w:shd w:val="clear" w:color="auto" w:fill="auto"/>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Median</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D25D40">
            <w:pPr>
              <w:spacing w:after="0" w:line="240" w:lineRule="auto"/>
              <w:jc w:val="right"/>
              <w:rPr>
                <w:rFonts w:eastAsia="Times New Roman" w:cstheme="minorHAnsi"/>
                <w:b/>
                <w:bCs/>
                <w:color w:val="000000"/>
                <w:lang w:eastAsia="en-IE"/>
              </w:rPr>
            </w:pPr>
            <w:r w:rsidRPr="00B97E75">
              <w:rPr>
                <w:rFonts w:eastAsia="Times New Roman" w:cstheme="minorHAnsi"/>
                <w:b/>
                <w:bCs/>
                <w:color w:val="000000"/>
                <w:lang w:eastAsia="en-IE"/>
              </w:rPr>
              <w:t>24.48</w:t>
            </w:r>
          </w:p>
        </w:tc>
      </w:tr>
      <w:tr w:rsidR="00B70292" w:rsidRPr="00B97E75" w:rsidTr="000F6A09">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835" w:type="dxa"/>
            <w:tcBorders>
              <w:top w:val="nil"/>
              <w:left w:val="nil"/>
              <w:bottom w:val="single" w:sz="8" w:space="0" w:color="auto"/>
              <w:right w:val="nil"/>
            </w:tcBorders>
            <w:shd w:val="clear" w:color="auto" w:fill="auto"/>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Mean</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D25D40">
            <w:pPr>
              <w:spacing w:after="0" w:line="240" w:lineRule="auto"/>
              <w:jc w:val="right"/>
              <w:rPr>
                <w:rFonts w:eastAsia="Times New Roman" w:cstheme="minorHAnsi"/>
                <w:color w:val="000000"/>
                <w:lang w:eastAsia="en-IE"/>
              </w:rPr>
            </w:pPr>
            <w:r w:rsidRPr="00B97E75">
              <w:rPr>
                <w:rFonts w:eastAsia="Times New Roman" w:cstheme="minorHAnsi"/>
                <w:color w:val="000000"/>
                <w:lang w:eastAsia="en-IE"/>
              </w:rPr>
              <w:t>31.78</w:t>
            </w:r>
          </w:p>
        </w:tc>
      </w:tr>
      <w:tr w:rsidR="00B70292" w:rsidRPr="00B97E75" w:rsidTr="000F6A09">
        <w:trPr>
          <w:trHeight w:val="315"/>
        </w:trPr>
        <w:tc>
          <w:tcPr>
            <w:tcW w:w="4830" w:type="dxa"/>
            <w:gridSpan w:val="2"/>
            <w:tcBorders>
              <w:top w:val="single" w:sz="8" w:space="0" w:color="auto"/>
              <w:left w:val="single" w:sz="8" w:space="0" w:color="auto"/>
              <w:bottom w:val="single" w:sz="8" w:space="0" w:color="auto"/>
              <w:right w:val="nil"/>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Re-let Cost Average (€)</w:t>
            </w:r>
          </w:p>
        </w:tc>
        <w:tc>
          <w:tcPr>
            <w:tcW w:w="1134" w:type="dxa"/>
            <w:tcBorders>
              <w:top w:val="nil"/>
              <w:left w:val="single" w:sz="8" w:space="0" w:color="auto"/>
              <w:bottom w:val="single" w:sz="8" w:space="0" w:color="auto"/>
              <w:right w:val="single" w:sz="8" w:space="0" w:color="auto"/>
            </w:tcBorders>
            <w:shd w:val="clear" w:color="auto" w:fill="B6DDE8" w:themeFill="accent5" w:themeFillTint="66"/>
            <w:vAlign w:val="center"/>
            <w:hideMark/>
          </w:tcPr>
          <w:p w:rsidR="00B70292" w:rsidRPr="00B97E75" w:rsidRDefault="00B70292" w:rsidP="000F6A09">
            <w:pPr>
              <w:spacing w:after="0" w:line="240" w:lineRule="auto"/>
              <w:jc w:val="right"/>
              <w:rPr>
                <w:rFonts w:eastAsia="Times New Roman" w:cstheme="minorHAnsi"/>
                <w:b/>
                <w:bCs/>
                <w:color w:val="000000"/>
                <w:lang w:eastAsia="en-IE"/>
              </w:rPr>
            </w:pPr>
            <w:r w:rsidRPr="00B97E75">
              <w:rPr>
                <w:rFonts w:eastAsia="Times New Roman" w:cstheme="minorHAnsi"/>
                <w:b/>
                <w:bCs/>
                <w:color w:val="000000"/>
                <w:lang w:val="en-US" w:eastAsia="en-IE"/>
              </w:rPr>
              <w:t>2014</w:t>
            </w:r>
          </w:p>
        </w:tc>
      </w:tr>
      <w:tr w:rsidR="00B70292" w:rsidRPr="00B97E75" w:rsidTr="000F6A09">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N</w:t>
            </w:r>
          </w:p>
        </w:tc>
        <w:tc>
          <w:tcPr>
            <w:tcW w:w="2835" w:type="dxa"/>
            <w:tcBorders>
              <w:top w:val="nil"/>
              <w:left w:val="nil"/>
              <w:bottom w:val="single" w:sz="8" w:space="0" w:color="auto"/>
              <w:right w:val="nil"/>
            </w:tcBorders>
            <w:shd w:val="clear" w:color="auto" w:fill="auto"/>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Valid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jc w:val="right"/>
              <w:rPr>
                <w:rFonts w:eastAsia="Times New Roman" w:cstheme="minorHAnsi"/>
                <w:color w:val="000000"/>
                <w:lang w:eastAsia="en-IE"/>
              </w:rPr>
            </w:pPr>
            <w:r w:rsidRPr="00B97E75">
              <w:rPr>
                <w:rFonts w:eastAsia="Times New Roman" w:cstheme="minorHAnsi"/>
                <w:color w:val="000000"/>
                <w:lang w:val="en-US" w:eastAsia="en-IE"/>
              </w:rPr>
              <w:t>31</w:t>
            </w:r>
          </w:p>
        </w:tc>
      </w:tr>
      <w:tr w:rsidR="00B70292" w:rsidRPr="00B97E75" w:rsidTr="000F6A09">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835" w:type="dxa"/>
            <w:tcBorders>
              <w:top w:val="nil"/>
              <w:left w:val="nil"/>
              <w:bottom w:val="single" w:sz="8" w:space="0" w:color="auto"/>
              <w:right w:val="nil"/>
            </w:tcBorders>
            <w:shd w:val="clear" w:color="auto" w:fill="auto"/>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Missing</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jc w:val="right"/>
              <w:rPr>
                <w:rFonts w:eastAsia="Times New Roman" w:cstheme="minorHAnsi"/>
                <w:color w:val="000000"/>
                <w:lang w:eastAsia="en-IE"/>
              </w:rPr>
            </w:pPr>
            <w:r w:rsidRPr="00B97E75">
              <w:rPr>
                <w:rFonts w:eastAsia="Times New Roman" w:cstheme="minorHAnsi"/>
                <w:color w:val="000000"/>
                <w:lang w:val="en-US" w:eastAsia="en-IE"/>
              </w:rPr>
              <w:t>0</w:t>
            </w:r>
          </w:p>
        </w:tc>
      </w:tr>
      <w:tr w:rsidR="00B70292" w:rsidRPr="00B97E75" w:rsidTr="000F6A09">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Average</w:t>
            </w:r>
          </w:p>
        </w:tc>
        <w:tc>
          <w:tcPr>
            <w:tcW w:w="2835" w:type="dxa"/>
            <w:tcBorders>
              <w:top w:val="nil"/>
              <w:left w:val="nil"/>
              <w:bottom w:val="single" w:sz="8" w:space="0" w:color="auto"/>
              <w:right w:val="single" w:sz="8" w:space="0" w:color="auto"/>
            </w:tcBorders>
            <w:shd w:val="clear" w:color="auto" w:fill="auto"/>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Median</w:t>
            </w:r>
          </w:p>
        </w:tc>
        <w:tc>
          <w:tcPr>
            <w:tcW w:w="1134"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jc w:val="right"/>
              <w:rPr>
                <w:rFonts w:eastAsia="Times New Roman" w:cstheme="minorHAnsi"/>
                <w:b/>
                <w:bCs/>
                <w:color w:val="000000"/>
                <w:lang w:eastAsia="en-IE"/>
              </w:rPr>
            </w:pPr>
            <w:r w:rsidRPr="00B97E75">
              <w:rPr>
                <w:rFonts w:eastAsia="Times New Roman" w:cstheme="minorHAnsi"/>
                <w:b/>
                <w:bCs/>
                <w:color w:val="000000"/>
                <w:lang w:eastAsia="en-IE"/>
              </w:rPr>
              <w:t>8,375.00</w:t>
            </w:r>
          </w:p>
        </w:tc>
      </w:tr>
      <w:tr w:rsidR="00B70292" w:rsidRPr="00B97E75" w:rsidTr="000F6A09">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835" w:type="dxa"/>
            <w:tcBorders>
              <w:top w:val="nil"/>
              <w:left w:val="nil"/>
              <w:bottom w:val="single" w:sz="8" w:space="0" w:color="auto"/>
              <w:right w:val="single" w:sz="8" w:space="0" w:color="auto"/>
            </w:tcBorders>
            <w:shd w:val="clear" w:color="auto" w:fill="auto"/>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Mean</w:t>
            </w:r>
          </w:p>
        </w:tc>
        <w:tc>
          <w:tcPr>
            <w:tcW w:w="1134"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jc w:val="right"/>
              <w:rPr>
                <w:rFonts w:eastAsia="Times New Roman" w:cstheme="minorHAnsi"/>
                <w:color w:val="000000"/>
                <w:lang w:eastAsia="en-IE"/>
              </w:rPr>
            </w:pPr>
            <w:r>
              <w:rPr>
                <w:rFonts w:eastAsia="Times New Roman" w:cstheme="minorHAnsi"/>
                <w:color w:val="000000"/>
                <w:lang w:eastAsia="en-IE"/>
              </w:rPr>
              <w:t>9,931.70</w:t>
            </w:r>
          </w:p>
        </w:tc>
      </w:tr>
      <w:tr w:rsidR="00B70292" w:rsidRPr="00B97E75" w:rsidTr="000F6A09">
        <w:trPr>
          <w:trHeight w:val="315"/>
        </w:trPr>
        <w:tc>
          <w:tcPr>
            <w:tcW w:w="483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Maintenance Cost by Unit (€)</w:t>
            </w:r>
          </w:p>
        </w:tc>
        <w:tc>
          <w:tcPr>
            <w:tcW w:w="1134" w:type="dxa"/>
            <w:tcBorders>
              <w:top w:val="nil"/>
              <w:left w:val="nil"/>
              <w:bottom w:val="single" w:sz="8" w:space="0" w:color="auto"/>
              <w:right w:val="single" w:sz="8" w:space="0" w:color="auto"/>
            </w:tcBorders>
            <w:shd w:val="clear" w:color="auto" w:fill="B6DDE8" w:themeFill="accent5" w:themeFillTint="66"/>
            <w:vAlign w:val="center"/>
            <w:hideMark/>
          </w:tcPr>
          <w:p w:rsidR="00B70292" w:rsidRPr="00B97E75" w:rsidRDefault="00B70292" w:rsidP="000F6A09">
            <w:pPr>
              <w:spacing w:after="0" w:line="240" w:lineRule="auto"/>
              <w:jc w:val="right"/>
              <w:rPr>
                <w:rFonts w:eastAsia="Times New Roman" w:cstheme="minorHAnsi"/>
                <w:b/>
                <w:bCs/>
                <w:color w:val="000000"/>
                <w:lang w:eastAsia="en-IE"/>
              </w:rPr>
            </w:pPr>
            <w:r w:rsidRPr="00B97E75">
              <w:rPr>
                <w:rFonts w:eastAsia="Times New Roman" w:cstheme="minorHAnsi"/>
                <w:b/>
                <w:bCs/>
                <w:color w:val="000000"/>
                <w:lang w:val="en-US" w:eastAsia="en-IE"/>
              </w:rPr>
              <w:t>2014</w:t>
            </w:r>
          </w:p>
        </w:tc>
      </w:tr>
      <w:tr w:rsidR="00B70292" w:rsidRPr="00B97E75" w:rsidTr="000F6A09">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N</w:t>
            </w:r>
          </w:p>
        </w:tc>
        <w:tc>
          <w:tcPr>
            <w:tcW w:w="2835" w:type="dxa"/>
            <w:tcBorders>
              <w:top w:val="nil"/>
              <w:left w:val="nil"/>
              <w:bottom w:val="single" w:sz="8" w:space="0" w:color="auto"/>
              <w:right w:val="single" w:sz="8" w:space="0" w:color="auto"/>
            </w:tcBorders>
            <w:shd w:val="clear" w:color="auto" w:fill="auto"/>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Valid</w:t>
            </w:r>
          </w:p>
        </w:tc>
        <w:tc>
          <w:tcPr>
            <w:tcW w:w="1134"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jc w:val="right"/>
              <w:rPr>
                <w:rFonts w:eastAsia="Times New Roman" w:cstheme="minorHAnsi"/>
                <w:color w:val="000000"/>
                <w:lang w:eastAsia="en-IE"/>
              </w:rPr>
            </w:pPr>
            <w:r w:rsidRPr="00B97E75">
              <w:rPr>
                <w:rFonts w:eastAsia="Times New Roman" w:cstheme="minorHAnsi"/>
                <w:color w:val="000000"/>
                <w:lang w:val="en-US" w:eastAsia="en-IE"/>
              </w:rPr>
              <w:t>31</w:t>
            </w:r>
          </w:p>
        </w:tc>
      </w:tr>
      <w:tr w:rsidR="00B70292" w:rsidRPr="00B97E75" w:rsidTr="000F6A09">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835" w:type="dxa"/>
            <w:tcBorders>
              <w:top w:val="nil"/>
              <w:left w:val="nil"/>
              <w:bottom w:val="single" w:sz="8" w:space="0" w:color="auto"/>
              <w:right w:val="single" w:sz="8" w:space="0" w:color="auto"/>
            </w:tcBorders>
            <w:shd w:val="clear" w:color="auto" w:fill="auto"/>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Missing</w:t>
            </w:r>
          </w:p>
        </w:tc>
        <w:tc>
          <w:tcPr>
            <w:tcW w:w="1134"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jc w:val="right"/>
              <w:rPr>
                <w:rFonts w:eastAsia="Times New Roman" w:cstheme="minorHAnsi"/>
                <w:color w:val="000000"/>
                <w:lang w:eastAsia="en-IE"/>
              </w:rPr>
            </w:pPr>
            <w:r w:rsidRPr="00B97E75">
              <w:rPr>
                <w:rFonts w:eastAsia="Times New Roman" w:cstheme="minorHAnsi"/>
                <w:color w:val="000000"/>
                <w:lang w:val="en-US" w:eastAsia="en-IE"/>
              </w:rPr>
              <w:t>0</w:t>
            </w:r>
          </w:p>
        </w:tc>
      </w:tr>
      <w:tr w:rsidR="00B70292" w:rsidRPr="00B97E75" w:rsidTr="000F6A09">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Average</w:t>
            </w:r>
          </w:p>
        </w:tc>
        <w:tc>
          <w:tcPr>
            <w:tcW w:w="2835" w:type="dxa"/>
            <w:tcBorders>
              <w:top w:val="nil"/>
              <w:left w:val="nil"/>
              <w:bottom w:val="single" w:sz="8" w:space="0" w:color="auto"/>
              <w:right w:val="single" w:sz="8" w:space="0" w:color="auto"/>
            </w:tcBorders>
            <w:shd w:val="clear" w:color="auto" w:fill="auto"/>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Median</w:t>
            </w:r>
          </w:p>
        </w:tc>
        <w:tc>
          <w:tcPr>
            <w:tcW w:w="1134"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jc w:val="right"/>
              <w:rPr>
                <w:rFonts w:eastAsia="Times New Roman" w:cstheme="minorHAnsi"/>
                <w:b/>
                <w:bCs/>
                <w:color w:val="000000"/>
                <w:lang w:eastAsia="en-IE"/>
              </w:rPr>
            </w:pPr>
            <w:r w:rsidRPr="00B97E75">
              <w:rPr>
                <w:rFonts w:eastAsia="Times New Roman" w:cstheme="minorHAnsi"/>
                <w:b/>
                <w:bCs/>
                <w:color w:val="000000"/>
                <w:lang w:eastAsia="en-IE"/>
              </w:rPr>
              <w:t>758.29</w:t>
            </w:r>
          </w:p>
        </w:tc>
      </w:tr>
      <w:tr w:rsidR="00B70292" w:rsidRPr="00B97E75" w:rsidTr="000F6A09">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835" w:type="dxa"/>
            <w:tcBorders>
              <w:top w:val="nil"/>
              <w:left w:val="nil"/>
              <w:bottom w:val="single" w:sz="8" w:space="0" w:color="auto"/>
              <w:right w:val="single" w:sz="8" w:space="0" w:color="auto"/>
            </w:tcBorders>
            <w:shd w:val="clear" w:color="auto" w:fill="auto"/>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Mean</w:t>
            </w:r>
          </w:p>
        </w:tc>
        <w:tc>
          <w:tcPr>
            <w:tcW w:w="1134"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jc w:val="right"/>
              <w:rPr>
                <w:rFonts w:eastAsia="Times New Roman" w:cstheme="minorHAnsi"/>
                <w:color w:val="000000"/>
                <w:lang w:eastAsia="en-IE"/>
              </w:rPr>
            </w:pPr>
            <w:r>
              <w:rPr>
                <w:rFonts w:eastAsia="Times New Roman" w:cstheme="minorHAnsi"/>
                <w:color w:val="000000"/>
                <w:lang w:eastAsia="en-IE"/>
              </w:rPr>
              <w:t>930.54</w:t>
            </w:r>
          </w:p>
        </w:tc>
      </w:tr>
    </w:tbl>
    <w:p w:rsidR="00B70292" w:rsidRDefault="00B70292" w:rsidP="00B70292">
      <w:pPr>
        <w:pStyle w:val="PITableHeading"/>
        <w:rPr>
          <w:rFonts w:asciiTheme="minorHAnsi" w:hAnsiTheme="minorHAnsi" w:cstheme="minorHAnsi"/>
          <w:sz w:val="22"/>
          <w:szCs w:val="22"/>
        </w:rPr>
      </w:pPr>
    </w:p>
    <w:tbl>
      <w:tblPr>
        <w:tblW w:w="7500" w:type="dxa"/>
        <w:tblInd w:w="98" w:type="dxa"/>
        <w:tblLook w:val="04A0" w:firstRow="1" w:lastRow="0" w:firstColumn="1" w:lastColumn="0" w:noHBand="0" w:noVBand="1"/>
      </w:tblPr>
      <w:tblGrid>
        <w:gridCol w:w="967"/>
        <w:gridCol w:w="959"/>
        <w:gridCol w:w="1218"/>
        <w:gridCol w:w="1218"/>
        <w:gridCol w:w="1218"/>
        <w:gridCol w:w="960"/>
        <w:gridCol w:w="960"/>
      </w:tblGrid>
      <w:tr w:rsidR="00B70292" w:rsidRPr="00DF7EC2" w:rsidTr="000F6A09">
        <w:trPr>
          <w:trHeight w:val="552"/>
        </w:trPr>
        <w:tc>
          <w:tcPr>
            <w:tcW w:w="750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B70292" w:rsidRPr="00DF7EC2" w:rsidRDefault="00B70292" w:rsidP="000F6A09">
            <w:pPr>
              <w:spacing w:after="0" w:line="240" w:lineRule="auto"/>
              <w:rPr>
                <w:rFonts w:ascii="Calibri" w:eastAsia="Times New Roman" w:hAnsi="Calibri" w:cs="Calibri"/>
                <w:b/>
                <w:bCs/>
                <w:color w:val="000000"/>
                <w:lang w:eastAsia="en-IE"/>
              </w:rPr>
            </w:pPr>
            <w:r w:rsidRPr="00DF7EC2">
              <w:rPr>
                <w:rFonts w:ascii="Calibri" w:eastAsia="Times New Roman" w:hAnsi="Calibri" w:cs="Calibri"/>
                <w:b/>
                <w:bCs/>
                <w:color w:val="000000"/>
                <w:lang w:eastAsia="en-IE"/>
              </w:rPr>
              <w:t>Summary Statistics 2010 - 2014</w:t>
            </w:r>
          </w:p>
        </w:tc>
      </w:tr>
      <w:tr w:rsidR="00B70292" w:rsidRPr="00DF7EC2" w:rsidTr="000F6A09">
        <w:trPr>
          <w:trHeight w:val="315"/>
        </w:trPr>
        <w:tc>
          <w:tcPr>
            <w:tcW w:w="7500" w:type="dxa"/>
            <w:gridSpan w:val="7"/>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B70292" w:rsidRPr="00DF7EC2" w:rsidRDefault="00B70292" w:rsidP="000F6A09">
            <w:pPr>
              <w:spacing w:after="0" w:line="240" w:lineRule="auto"/>
              <w:rPr>
                <w:rFonts w:ascii="Calibri" w:eastAsia="Times New Roman" w:hAnsi="Calibri" w:cs="Calibri"/>
                <w:b/>
                <w:bCs/>
                <w:color w:val="000000"/>
                <w:lang w:eastAsia="en-IE"/>
              </w:rPr>
            </w:pPr>
            <w:r w:rsidRPr="00DF7EC2">
              <w:rPr>
                <w:rFonts w:ascii="Calibri" w:eastAsia="Times New Roman" w:hAnsi="Calibri" w:cs="Calibri"/>
                <w:b/>
                <w:bCs/>
                <w:color w:val="000000"/>
                <w:lang w:eastAsia="en-IE"/>
              </w:rPr>
              <w:t>Re-letting Time (Weeks)*</w:t>
            </w:r>
          </w:p>
        </w:tc>
      </w:tr>
      <w:tr w:rsidR="00B70292" w:rsidRPr="00DF7EC2" w:rsidTr="000F6A09">
        <w:trPr>
          <w:trHeight w:val="315"/>
        </w:trPr>
        <w:tc>
          <w:tcPr>
            <w:tcW w:w="960" w:type="dxa"/>
            <w:tcBorders>
              <w:top w:val="nil"/>
              <w:left w:val="single" w:sz="8" w:space="0" w:color="auto"/>
              <w:bottom w:val="single" w:sz="8" w:space="0" w:color="auto"/>
              <w:right w:val="nil"/>
            </w:tcBorders>
            <w:shd w:val="clear" w:color="auto" w:fill="FFFFFF" w:themeFill="background1"/>
            <w:vAlign w:val="center"/>
            <w:hideMark/>
          </w:tcPr>
          <w:p w:rsidR="00B70292" w:rsidRPr="00DF7EC2" w:rsidRDefault="00B70292" w:rsidP="000F6A09">
            <w:pPr>
              <w:spacing w:after="0" w:line="240" w:lineRule="auto"/>
              <w:rPr>
                <w:rFonts w:ascii="Calibri" w:eastAsia="Times New Roman" w:hAnsi="Calibri" w:cs="Calibri"/>
                <w:b/>
                <w:bCs/>
                <w:color w:val="000000"/>
                <w:lang w:eastAsia="en-IE"/>
              </w:rPr>
            </w:pPr>
            <w:r w:rsidRPr="00DF7EC2">
              <w:rPr>
                <w:rFonts w:ascii="Calibri" w:eastAsia="Times New Roman" w:hAnsi="Calibri" w:cs="Calibri"/>
                <w:b/>
                <w:bCs/>
                <w:color w:val="000000"/>
                <w:lang w:eastAsia="en-IE"/>
              </w:rPr>
              <w:t> </w:t>
            </w:r>
          </w:p>
        </w:tc>
        <w:tc>
          <w:tcPr>
            <w:tcW w:w="960" w:type="dxa"/>
            <w:tcBorders>
              <w:top w:val="nil"/>
              <w:left w:val="nil"/>
              <w:bottom w:val="single" w:sz="8" w:space="0" w:color="auto"/>
              <w:right w:val="nil"/>
            </w:tcBorders>
            <w:shd w:val="clear" w:color="auto" w:fill="FFFFFF" w:themeFill="background1"/>
            <w:vAlign w:val="center"/>
            <w:hideMark/>
          </w:tcPr>
          <w:p w:rsidR="00B70292" w:rsidRPr="00DF7EC2" w:rsidRDefault="00B70292" w:rsidP="000F6A09">
            <w:pPr>
              <w:spacing w:after="0" w:line="240" w:lineRule="auto"/>
              <w:rPr>
                <w:rFonts w:ascii="Calibri" w:eastAsia="Times New Roman" w:hAnsi="Calibri" w:cs="Calibri"/>
                <w:b/>
                <w:bCs/>
                <w:color w:val="000000"/>
                <w:lang w:eastAsia="en-IE"/>
              </w:rPr>
            </w:pPr>
            <w:r w:rsidRPr="00DF7EC2">
              <w:rPr>
                <w:rFonts w:ascii="Calibri" w:eastAsia="Times New Roman" w:hAnsi="Calibri" w:cs="Calibri"/>
                <w:b/>
                <w:bCs/>
                <w:color w:val="000000"/>
                <w:lang w:eastAsia="en-IE"/>
              </w:rPr>
              <w:t> </w:t>
            </w:r>
          </w:p>
        </w:tc>
        <w:tc>
          <w:tcPr>
            <w:tcW w:w="1220" w:type="dxa"/>
            <w:tcBorders>
              <w:top w:val="nil"/>
              <w:left w:val="single" w:sz="4" w:space="0" w:color="auto"/>
              <w:bottom w:val="single" w:sz="8" w:space="0" w:color="auto"/>
              <w:right w:val="single" w:sz="4" w:space="0" w:color="auto"/>
            </w:tcBorders>
            <w:shd w:val="clear" w:color="auto" w:fill="FFFFFF" w:themeFill="background1"/>
            <w:vAlign w:val="center"/>
            <w:hideMark/>
          </w:tcPr>
          <w:p w:rsidR="00B70292" w:rsidRPr="00DF7EC2" w:rsidRDefault="00B70292" w:rsidP="000F6A09">
            <w:pPr>
              <w:spacing w:after="0" w:line="240" w:lineRule="auto"/>
              <w:rPr>
                <w:rFonts w:ascii="Calibri" w:eastAsia="Times New Roman" w:hAnsi="Calibri" w:cs="Calibri"/>
                <w:b/>
                <w:bCs/>
                <w:color w:val="000000"/>
                <w:lang w:eastAsia="en-IE"/>
              </w:rPr>
            </w:pPr>
            <w:r w:rsidRPr="00DF7EC2">
              <w:rPr>
                <w:rFonts w:ascii="Calibri" w:eastAsia="Times New Roman" w:hAnsi="Calibri" w:cs="Calibri"/>
                <w:b/>
                <w:bCs/>
                <w:color w:val="000000"/>
                <w:lang w:eastAsia="en-IE"/>
              </w:rPr>
              <w:t>2010</w:t>
            </w:r>
          </w:p>
        </w:tc>
        <w:tc>
          <w:tcPr>
            <w:tcW w:w="1220" w:type="dxa"/>
            <w:tcBorders>
              <w:top w:val="nil"/>
              <w:left w:val="nil"/>
              <w:bottom w:val="single" w:sz="8" w:space="0" w:color="auto"/>
              <w:right w:val="single" w:sz="4" w:space="0" w:color="auto"/>
            </w:tcBorders>
            <w:shd w:val="clear" w:color="auto" w:fill="FFFFFF" w:themeFill="background1"/>
            <w:vAlign w:val="center"/>
            <w:hideMark/>
          </w:tcPr>
          <w:p w:rsidR="00B70292" w:rsidRPr="00DF7EC2" w:rsidRDefault="00B70292" w:rsidP="000F6A09">
            <w:pPr>
              <w:spacing w:after="0" w:line="240" w:lineRule="auto"/>
              <w:rPr>
                <w:rFonts w:ascii="Calibri" w:eastAsia="Times New Roman" w:hAnsi="Calibri" w:cs="Calibri"/>
                <w:b/>
                <w:bCs/>
                <w:color w:val="000000"/>
                <w:lang w:eastAsia="en-IE"/>
              </w:rPr>
            </w:pPr>
            <w:r w:rsidRPr="00DF7EC2">
              <w:rPr>
                <w:rFonts w:ascii="Calibri" w:eastAsia="Times New Roman" w:hAnsi="Calibri" w:cs="Calibri"/>
                <w:b/>
                <w:bCs/>
                <w:color w:val="000000"/>
                <w:lang w:eastAsia="en-IE"/>
              </w:rPr>
              <w:t>2011</w:t>
            </w:r>
          </w:p>
        </w:tc>
        <w:tc>
          <w:tcPr>
            <w:tcW w:w="1220" w:type="dxa"/>
            <w:tcBorders>
              <w:top w:val="nil"/>
              <w:left w:val="nil"/>
              <w:bottom w:val="single" w:sz="8" w:space="0" w:color="auto"/>
              <w:right w:val="single" w:sz="4" w:space="0" w:color="auto"/>
            </w:tcBorders>
            <w:shd w:val="clear" w:color="auto" w:fill="FFFFFF" w:themeFill="background1"/>
            <w:vAlign w:val="center"/>
            <w:hideMark/>
          </w:tcPr>
          <w:p w:rsidR="00B70292" w:rsidRPr="00DF7EC2" w:rsidRDefault="00B70292" w:rsidP="000F6A09">
            <w:pPr>
              <w:spacing w:after="0" w:line="240" w:lineRule="auto"/>
              <w:rPr>
                <w:rFonts w:ascii="Calibri" w:eastAsia="Times New Roman" w:hAnsi="Calibri" w:cs="Calibri"/>
                <w:b/>
                <w:bCs/>
                <w:color w:val="000000"/>
                <w:lang w:eastAsia="en-IE"/>
              </w:rPr>
            </w:pPr>
            <w:r w:rsidRPr="00DF7EC2">
              <w:rPr>
                <w:rFonts w:ascii="Calibri" w:eastAsia="Times New Roman" w:hAnsi="Calibri" w:cs="Calibri"/>
                <w:b/>
                <w:bCs/>
                <w:color w:val="000000"/>
                <w:lang w:eastAsia="en-IE"/>
              </w:rPr>
              <w:t>2012</w:t>
            </w:r>
          </w:p>
        </w:tc>
        <w:tc>
          <w:tcPr>
            <w:tcW w:w="960" w:type="dxa"/>
            <w:tcBorders>
              <w:top w:val="nil"/>
              <w:left w:val="nil"/>
              <w:bottom w:val="single" w:sz="8" w:space="0" w:color="auto"/>
              <w:right w:val="single" w:sz="4" w:space="0" w:color="auto"/>
            </w:tcBorders>
            <w:shd w:val="clear" w:color="auto" w:fill="FFFFFF" w:themeFill="background1"/>
            <w:vAlign w:val="center"/>
            <w:hideMark/>
          </w:tcPr>
          <w:p w:rsidR="00B70292" w:rsidRPr="00DF7EC2" w:rsidRDefault="00B70292" w:rsidP="000F6A09">
            <w:pPr>
              <w:spacing w:after="0" w:line="240" w:lineRule="auto"/>
              <w:rPr>
                <w:rFonts w:ascii="Calibri" w:eastAsia="Times New Roman" w:hAnsi="Calibri" w:cs="Calibri"/>
                <w:b/>
                <w:bCs/>
                <w:color w:val="000000"/>
                <w:lang w:eastAsia="en-IE"/>
              </w:rPr>
            </w:pPr>
            <w:r w:rsidRPr="00DF7EC2">
              <w:rPr>
                <w:rFonts w:ascii="Calibri" w:eastAsia="Times New Roman" w:hAnsi="Calibri" w:cs="Calibri"/>
                <w:b/>
                <w:bCs/>
                <w:color w:val="000000"/>
                <w:lang w:eastAsia="en-IE"/>
              </w:rPr>
              <w:t>2013</w:t>
            </w:r>
          </w:p>
        </w:tc>
        <w:tc>
          <w:tcPr>
            <w:tcW w:w="960" w:type="dxa"/>
            <w:tcBorders>
              <w:top w:val="nil"/>
              <w:left w:val="nil"/>
              <w:bottom w:val="single" w:sz="8" w:space="0" w:color="auto"/>
              <w:right w:val="single" w:sz="8" w:space="0" w:color="auto"/>
            </w:tcBorders>
            <w:shd w:val="clear" w:color="auto" w:fill="FFFFFF" w:themeFill="background1"/>
            <w:vAlign w:val="center"/>
            <w:hideMark/>
          </w:tcPr>
          <w:p w:rsidR="00B70292" w:rsidRPr="00DF7EC2" w:rsidRDefault="00B70292" w:rsidP="000F6A09">
            <w:pPr>
              <w:spacing w:after="0" w:line="240" w:lineRule="auto"/>
              <w:rPr>
                <w:rFonts w:ascii="Calibri" w:eastAsia="Times New Roman" w:hAnsi="Calibri" w:cs="Calibri"/>
                <w:b/>
                <w:bCs/>
                <w:color w:val="000000"/>
                <w:lang w:eastAsia="en-IE"/>
              </w:rPr>
            </w:pPr>
            <w:r w:rsidRPr="00DF7EC2">
              <w:rPr>
                <w:rFonts w:ascii="Calibri" w:eastAsia="Times New Roman" w:hAnsi="Calibri" w:cs="Calibri"/>
                <w:b/>
                <w:bCs/>
                <w:color w:val="000000"/>
                <w:lang w:eastAsia="en-IE"/>
              </w:rPr>
              <w:t>2014</w:t>
            </w:r>
          </w:p>
        </w:tc>
      </w:tr>
      <w:tr w:rsidR="00B70292" w:rsidRPr="00DF7EC2" w:rsidTr="000F6A09">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70292" w:rsidRPr="00DF7EC2" w:rsidRDefault="00B70292" w:rsidP="000F6A09">
            <w:pPr>
              <w:spacing w:after="0" w:line="240" w:lineRule="auto"/>
              <w:rPr>
                <w:rFonts w:ascii="Calibri" w:eastAsia="Times New Roman" w:hAnsi="Calibri" w:cs="Calibri"/>
                <w:color w:val="000000"/>
                <w:lang w:eastAsia="en-IE"/>
              </w:rPr>
            </w:pPr>
            <w:r w:rsidRPr="00DF7EC2">
              <w:rPr>
                <w:rFonts w:ascii="Calibri" w:eastAsia="Times New Roman" w:hAnsi="Calibri" w:cs="Calibri"/>
                <w:color w:val="000000"/>
                <w:lang w:eastAsia="en-IE"/>
              </w:rPr>
              <w:t>N</w:t>
            </w:r>
          </w:p>
        </w:tc>
        <w:tc>
          <w:tcPr>
            <w:tcW w:w="960" w:type="dxa"/>
            <w:tcBorders>
              <w:top w:val="nil"/>
              <w:left w:val="nil"/>
              <w:bottom w:val="single" w:sz="4" w:space="0" w:color="auto"/>
              <w:right w:val="single" w:sz="4" w:space="0" w:color="auto"/>
            </w:tcBorders>
            <w:shd w:val="clear" w:color="auto" w:fill="auto"/>
            <w:vAlign w:val="center"/>
            <w:hideMark/>
          </w:tcPr>
          <w:p w:rsidR="00B70292" w:rsidRPr="00DF7EC2" w:rsidRDefault="00B70292" w:rsidP="000F6A09">
            <w:pPr>
              <w:spacing w:after="0" w:line="240" w:lineRule="auto"/>
              <w:rPr>
                <w:rFonts w:ascii="Calibri" w:eastAsia="Times New Roman" w:hAnsi="Calibri" w:cs="Calibri"/>
                <w:color w:val="000000"/>
                <w:lang w:eastAsia="en-IE"/>
              </w:rPr>
            </w:pPr>
            <w:r w:rsidRPr="00DF7EC2">
              <w:rPr>
                <w:rFonts w:ascii="Calibri" w:eastAsia="Times New Roman" w:hAnsi="Calibri" w:cs="Calibri"/>
                <w:color w:val="000000"/>
                <w:lang w:eastAsia="en-IE"/>
              </w:rPr>
              <w:t>Valid</w:t>
            </w:r>
          </w:p>
        </w:tc>
        <w:tc>
          <w:tcPr>
            <w:tcW w:w="1220" w:type="dxa"/>
            <w:tcBorders>
              <w:top w:val="nil"/>
              <w:left w:val="nil"/>
              <w:bottom w:val="single" w:sz="4" w:space="0" w:color="auto"/>
              <w:right w:val="single" w:sz="4" w:space="0" w:color="auto"/>
            </w:tcBorders>
            <w:shd w:val="clear" w:color="auto" w:fill="auto"/>
            <w:vAlign w:val="center"/>
            <w:hideMark/>
          </w:tcPr>
          <w:p w:rsidR="00B70292" w:rsidRPr="00DF7EC2" w:rsidRDefault="00B70292" w:rsidP="000F6A09">
            <w:pPr>
              <w:spacing w:after="0" w:line="240" w:lineRule="auto"/>
              <w:rPr>
                <w:rFonts w:ascii="Calibri" w:eastAsia="Times New Roman" w:hAnsi="Calibri" w:cs="Calibri"/>
                <w:color w:val="000000"/>
                <w:lang w:eastAsia="en-IE"/>
              </w:rPr>
            </w:pPr>
            <w:r w:rsidRPr="00DF7EC2">
              <w:rPr>
                <w:rFonts w:ascii="Calibri" w:eastAsia="Times New Roman" w:hAnsi="Calibri" w:cs="Calibri"/>
                <w:color w:val="000000"/>
                <w:lang w:eastAsia="en-IE"/>
              </w:rPr>
              <w:t>34</w:t>
            </w:r>
          </w:p>
        </w:tc>
        <w:tc>
          <w:tcPr>
            <w:tcW w:w="1220" w:type="dxa"/>
            <w:tcBorders>
              <w:top w:val="nil"/>
              <w:left w:val="nil"/>
              <w:bottom w:val="single" w:sz="4" w:space="0" w:color="auto"/>
              <w:right w:val="single" w:sz="4" w:space="0" w:color="auto"/>
            </w:tcBorders>
            <w:shd w:val="clear" w:color="auto" w:fill="auto"/>
            <w:vAlign w:val="center"/>
            <w:hideMark/>
          </w:tcPr>
          <w:p w:rsidR="00B70292" w:rsidRPr="00DF7EC2" w:rsidRDefault="00B70292" w:rsidP="000F6A09">
            <w:pPr>
              <w:spacing w:after="0" w:line="240" w:lineRule="auto"/>
              <w:rPr>
                <w:rFonts w:ascii="Calibri" w:eastAsia="Times New Roman" w:hAnsi="Calibri" w:cs="Calibri"/>
                <w:color w:val="000000"/>
                <w:lang w:eastAsia="en-IE"/>
              </w:rPr>
            </w:pPr>
            <w:r w:rsidRPr="00DF7EC2">
              <w:rPr>
                <w:rFonts w:ascii="Calibri" w:eastAsia="Times New Roman" w:hAnsi="Calibri" w:cs="Calibri"/>
                <w:color w:val="000000"/>
                <w:lang w:eastAsia="en-IE"/>
              </w:rPr>
              <w:t>33</w:t>
            </w:r>
          </w:p>
        </w:tc>
        <w:tc>
          <w:tcPr>
            <w:tcW w:w="1220" w:type="dxa"/>
            <w:tcBorders>
              <w:top w:val="nil"/>
              <w:left w:val="nil"/>
              <w:bottom w:val="single" w:sz="4" w:space="0" w:color="auto"/>
              <w:right w:val="single" w:sz="4" w:space="0" w:color="auto"/>
            </w:tcBorders>
            <w:shd w:val="clear" w:color="auto" w:fill="auto"/>
            <w:vAlign w:val="center"/>
            <w:hideMark/>
          </w:tcPr>
          <w:p w:rsidR="00B70292" w:rsidRPr="00DF7EC2" w:rsidRDefault="00B70292" w:rsidP="000F6A09">
            <w:pPr>
              <w:spacing w:after="0" w:line="240" w:lineRule="auto"/>
              <w:rPr>
                <w:rFonts w:ascii="Calibri" w:eastAsia="Times New Roman" w:hAnsi="Calibri" w:cs="Calibri"/>
                <w:color w:val="000000"/>
                <w:lang w:eastAsia="en-IE"/>
              </w:rPr>
            </w:pPr>
            <w:r w:rsidRPr="00DF7EC2">
              <w:rPr>
                <w:rFonts w:ascii="Calibri" w:eastAsia="Times New Roman" w:hAnsi="Calibri" w:cs="Calibri"/>
                <w:color w:val="000000"/>
                <w:lang w:eastAsia="en-IE"/>
              </w:rPr>
              <w:t>34</w:t>
            </w:r>
          </w:p>
        </w:tc>
        <w:tc>
          <w:tcPr>
            <w:tcW w:w="960" w:type="dxa"/>
            <w:tcBorders>
              <w:top w:val="nil"/>
              <w:left w:val="nil"/>
              <w:bottom w:val="single" w:sz="4" w:space="0" w:color="auto"/>
              <w:right w:val="single" w:sz="4" w:space="0" w:color="auto"/>
            </w:tcBorders>
            <w:shd w:val="clear" w:color="auto" w:fill="auto"/>
            <w:noWrap/>
            <w:vAlign w:val="center"/>
            <w:hideMark/>
          </w:tcPr>
          <w:p w:rsidR="00B70292" w:rsidRPr="00DF7EC2" w:rsidRDefault="00B70292" w:rsidP="000F6A09">
            <w:pPr>
              <w:spacing w:after="0" w:line="240" w:lineRule="auto"/>
              <w:rPr>
                <w:rFonts w:ascii="Calibri" w:eastAsia="Times New Roman" w:hAnsi="Calibri" w:cs="Calibri"/>
                <w:color w:val="000000"/>
                <w:lang w:eastAsia="en-IE"/>
              </w:rPr>
            </w:pPr>
            <w:r w:rsidRPr="00DF7EC2">
              <w:rPr>
                <w:rFonts w:ascii="Calibri" w:eastAsia="Times New Roman" w:hAnsi="Calibri" w:cs="Calibri"/>
                <w:color w:val="000000"/>
                <w:lang w:eastAsia="en-IE"/>
              </w:rPr>
              <w:t>33</w:t>
            </w:r>
          </w:p>
        </w:tc>
        <w:tc>
          <w:tcPr>
            <w:tcW w:w="960" w:type="dxa"/>
            <w:tcBorders>
              <w:top w:val="nil"/>
              <w:left w:val="nil"/>
              <w:bottom w:val="single" w:sz="4" w:space="0" w:color="auto"/>
              <w:right w:val="single" w:sz="8" w:space="0" w:color="auto"/>
            </w:tcBorders>
            <w:shd w:val="clear" w:color="auto" w:fill="auto"/>
            <w:noWrap/>
            <w:vAlign w:val="center"/>
            <w:hideMark/>
          </w:tcPr>
          <w:p w:rsidR="00B70292" w:rsidRPr="00DF7EC2" w:rsidRDefault="00B70292" w:rsidP="000F6A09">
            <w:pPr>
              <w:spacing w:after="0" w:line="240" w:lineRule="auto"/>
              <w:rPr>
                <w:rFonts w:ascii="Calibri" w:eastAsia="Times New Roman" w:hAnsi="Calibri" w:cs="Calibri"/>
                <w:color w:val="000000"/>
                <w:lang w:eastAsia="en-IE"/>
              </w:rPr>
            </w:pPr>
            <w:r w:rsidRPr="00DF7EC2">
              <w:rPr>
                <w:rFonts w:ascii="Calibri" w:eastAsia="Times New Roman" w:hAnsi="Calibri" w:cs="Calibri"/>
                <w:color w:val="000000"/>
                <w:lang w:eastAsia="en-IE"/>
              </w:rPr>
              <w:t>31</w:t>
            </w:r>
          </w:p>
        </w:tc>
      </w:tr>
      <w:tr w:rsidR="00B70292" w:rsidRPr="00DF7EC2" w:rsidTr="000F6A09">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70292" w:rsidRPr="00DF7EC2" w:rsidRDefault="00B70292" w:rsidP="000F6A09">
            <w:pPr>
              <w:spacing w:after="0" w:line="240" w:lineRule="auto"/>
              <w:rPr>
                <w:rFonts w:ascii="Calibri" w:eastAsia="Times New Roman" w:hAnsi="Calibri" w:cs="Calibri"/>
                <w:color w:val="000000"/>
                <w:lang w:eastAsia="en-IE"/>
              </w:rPr>
            </w:pPr>
            <w:r w:rsidRPr="00DF7EC2">
              <w:rPr>
                <w:rFonts w:ascii="Calibri" w:eastAsia="Times New Roman" w:hAnsi="Calibri" w:cs="Calibri"/>
                <w:color w:val="000000"/>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rsidR="00B70292" w:rsidRPr="00DF7EC2" w:rsidRDefault="00B70292" w:rsidP="000F6A09">
            <w:pPr>
              <w:spacing w:after="0" w:line="240" w:lineRule="auto"/>
              <w:rPr>
                <w:rFonts w:ascii="Calibri" w:eastAsia="Times New Roman" w:hAnsi="Calibri" w:cs="Calibri"/>
                <w:color w:val="000000"/>
                <w:lang w:eastAsia="en-IE"/>
              </w:rPr>
            </w:pPr>
            <w:r w:rsidRPr="00DF7EC2">
              <w:rPr>
                <w:rFonts w:ascii="Calibri" w:eastAsia="Times New Roman" w:hAnsi="Calibri" w:cs="Calibri"/>
                <w:color w:val="000000"/>
                <w:lang w:eastAsia="en-IE"/>
              </w:rPr>
              <w:t>Missing</w:t>
            </w:r>
          </w:p>
        </w:tc>
        <w:tc>
          <w:tcPr>
            <w:tcW w:w="1220" w:type="dxa"/>
            <w:tcBorders>
              <w:top w:val="nil"/>
              <w:left w:val="nil"/>
              <w:bottom w:val="single" w:sz="4" w:space="0" w:color="auto"/>
              <w:right w:val="single" w:sz="4" w:space="0" w:color="auto"/>
            </w:tcBorders>
            <w:shd w:val="clear" w:color="auto" w:fill="auto"/>
            <w:vAlign w:val="center"/>
            <w:hideMark/>
          </w:tcPr>
          <w:p w:rsidR="00B70292" w:rsidRPr="00DF7EC2" w:rsidRDefault="00B70292" w:rsidP="000F6A09">
            <w:pPr>
              <w:spacing w:after="0" w:line="240" w:lineRule="auto"/>
              <w:rPr>
                <w:rFonts w:ascii="Calibri" w:eastAsia="Times New Roman" w:hAnsi="Calibri" w:cs="Calibri"/>
                <w:color w:val="000000"/>
                <w:lang w:eastAsia="en-IE"/>
              </w:rPr>
            </w:pPr>
            <w:r w:rsidRPr="00DF7EC2">
              <w:rPr>
                <w:rFonts w:ascii="Calibri" w:eastAsia="Times New Roman" w:hAnsi="Calibri" w:cs="Calibri"/>
                <w:color w:val="000000"/>
                <w:lang w:eastAsia="en-IE"/>
              </w:rPr>
              <w:t>0</w:t>
            </w:r>
          </w:p>
        </w:tc>
        <w:tc>
          <w:tcPr>
            <w:tcW w:w="1220" w:type="dxa"/>
            <w:tcBorders>
              <w:top w:val="nil"/>
              <w:left w:val="nil"/>
              <w:bottom w:val="single" w:sz="4" w:space="0" w:color="auto"/>
              <w:right w:val="single" w:sz="4" w:space="0" w:color="auto"/>
            </w:tcBorders>
            <w:shd w:val="clear" w:color="auto" w:fill="auto"/>
            <w:vAlign w:val="center"/>
            <w:hideMark/>
          </w:tcPr>
          <w:p w:rsidR="00B70292" w:rsidRPr="00DF7EC2" w:rsidRDefault="00B70292" w:rsidP="000F6A09">
            <w:pPr>
              <w:spacing w:after="0" w:line="240" w:lineRule="auto"/>
              <w:rPr>
                <w:rFonts w:ascii="Calibri" w:eastAsia="Times New Roman" w:hAnsi="Calibri" w:cs="Calibri"/>
                <w:color w:val="000000"/>
                <w:lang w:eastAsia="en-IE"/>
              </w:rPr>
            </w:pPr>
            <w:r w:rsidRPr="00DF7EC2">
              <w:rPr>
                <w:rFonts w:ascii="Calibri" w:eastAsia="Times New Roman" w:hAnsi="Calibri" w:cs="Calibri"/>
                <w:color w:val="000000"/>
                <w:lang w:eastAsia="en-IE"/>
              </w:rPr>
              <w:t>1</w:t>
            </w:r>
          </w:p>
        </w:tc>
        <w:tc>
          <w:tcPr>
            <w:tcW w:w="1220" w:type="dxa"/>
            <w:tcBorders>
              <w:top w:val="nil"/>
              <w:left w:val="nil"/>
              <w:bottom w:val="single" w:sz="4" w:space="0" w:color="auto"/>
              <w:right w:val="single" w:sz="4" w:space="0" w:color="auto"/>
            </w:tcBorders>
            <w:shd w:val="clear" w:color="auto" w:fill="auto"/>
            <w:vAlign w:val="center"/>
            <w:hideMark/>
          </w:tcPr>
          <w:p w:rsidR="00B70292" w:rsidRPr="00DF7EC2" w:rsidRDefault="00B70292" w:rsidP="000F6A09">
            <w:pPr>
              <w:spacing w:after="0" w:line="240" w:lineRule="auto"/>
              <w:rPr>
                <w:rFonts w:ascii="Calibri" w:eastAsia="Times New Roman" w:hAnsi="Calibri" w:cs="Calibri"/>
                <w:color w:val="000000"/>
                <w:lang w:eastAsia="en-IE"/>
              </w:rPr>
            </w:pPr>
            <w:r w:rsidRPr="00DF7EC2">
              <w:rPr>
                <w:rFonts w:ascii="Calibri" w:eastAsia="Times New Roman" w:hAnsi="Calibri" w:cs="Calibri"/>
                <w:color w:val="000000"/>
                <w:lang w:eastAsia="en-IE"/>
              </w:rPr>
              <w:t>0</w:t>
            </w:r>
          </w:p>
        </w:tc>
        <w:tc>
          <w:tcPr>
            <w:tcW w:w="960" w:type="dxa"/>
            <w:tcBorders>
              <w:top w:val="nil"/>
              <w:left w:val="nil"/>
              <w:bottom w:val="single" w:sz="4" w:space="0" w:color="auto"/>
              <w:right w:val="single" w:sz="4" w:space="0" w:color="auto"/>
            </w:tcBorders>
            <w:shd w:val="clear" w:color="auto" w:fill="auto"/>
            <w:noWrap/>
            <w:vAlign w:val="center"/>
            <w:hideMark/>
          </w:tcPr>
          <w:p w:rsidR="00B70292" w:rsidRPr="00DF7EC2" w:rsidRDefault="00B70292" w:rsidP="000F6A09">
            <w:pPr>
              <w:spacing w:after="0" w:line="240" w:lineRule="auto"/>
              <w:rPr>
                <w:rFonts w:ascii="Calibri" w:eastAsia="Times New Roman" w:hAnsi="Calibri" w:cs="Calibri"/>
                <w:color w:val="000000"/>
                <w:lang w:eastAsia="en-IE"/>
              </w:rPr>
            </w:pPr>
            <w:r w:rsidRPr="00DF7EC2">
              <w:rPr>
                <w:rFonts w:ascii="Calibri" w:eastAsia="Times New Roman" w:hAnsi="Calibri" w:cs="Calibri"/>
                <w:color w:val="000000"/>
                <w:lang w:eastAsia="en-IE"/>
              </w:rPr>
              <w:t>0</w:t>
            </w:r>
          </w:p>
        </w:tc>
        <w:tc>
          <w:tcPr>
            <w:tcW w:w="960" w:type="dxa"/>
            <w:tcBorders>
              <w:top w:val="nil"/>
              <w:left w:val="nil"/>
              <w:bottom w:val="single" w:sz="4" w:space="0" w:color="auto"/>
              <w:right w:val="single" w:sz="8" w:space="0" w:color="auto"/>
            </w:tcBorders>
            <w:shd w:val="clear" w:color="auto" w:fill="auto"/>
            <w:noWrap/>
            <w:vAlign w:val="center"/>
            <w:hideMark/>
          </w:tcPr>
          <w:p w:rsidR="00B70292" w:rsidRPr="00DF7EC2" w:rsidRDefault="00B70292" w:rsidP="000F6A09">
            <w:pPr>
              <w:spacing w:after="0" w:line="240" w:lineRule="auto"/>
              <w:rPr>
                <w:rFonts w:ascii="Calibri" w:eastAsia="Times New Roman" w:hAnsi="Calibri" w:cs="Calibri"/>
                <w:color w:val="000000"/>
                <w:lang w:eastAsia="en-IE"/>
              </w:rPr>
            </w:pPr>
            <w:r w:rsidRPr="00DF7EC2">
              <w:rPr>
                <w:rFonts w:ascii="Calibri" w:eastAsia="Times New Roman" w:hAnsi="Calibri" w:cs="Calibri"/>
                <w:color w:val="000000"/>
                <w:lang w:eastAsia="en-IE"/>
              </w:rPr>
              <w:t>0</w:t>
            </w:r>
          </w:p>
        </w:tc>
      </w:tr>
      <w:tr w:rsidR="00B70292" w:rsidRPr="00DF7EC2" w:rsidTr="000F6A09">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B70292" w:rsidRPr="00DF7EC2" w:rsidRDefault="00B70292" w:rsidP="000F6A09">
            <w:pPr>
              <w:spacing w:after="0" w:line="240" w:lineRule="auto"/>
              <w:rPr>
                <w:rFonts w:ascii="Calibri" w:eastAsia="Times New Roman" w:hAnsi="Calibri" w:cs="Calibri"/>
                <w:b/>
                <w:bCs/>
                <w:color w:val="000000"/>
                <w:lang w:eastAsia="en-IE"/>
              </w:rPr>
            </w:pPr>
            <w:r w:rsidRPr="00DF7EC2">
              <w:rPr>
                <w:rFonts w:ascii="Calibri" w:eastAsia="Times New Roman" w:hAnsi="Calibri" w:cs="Calibri"/>
                <w:b/>
                <w:bCs/>
                <w:color w:val="000000"/>
                <w:lang w:eastAsia="en-IE"/>
              </w:rPr>
              <w:t>Average</w:t>
            </w:r>
          </w:p>
        </w:tc>
        <w:tc>
          <w:tcPr>
            <w:tcW w:w="960" w:type="dxa"/>
            <w:tcBorders>
              <w:top w:val="nil"/>
              <w:left w:val="nil"/>
              <w:bottom w:val="single" w:sz="4" w:space="0" w:color="auto"/>
              <w:right w:val="single" w:sz="4" w:space="0" w:color="auto"/>
            </w:tcBorders>
            <w:shd w:val="clear" w:color="auto" w:fill="auto"/>
            <w:vAlign w:val="center"/>
            <w:hideMark/>
          </w:tcPr>
          <w:p w:rsidR="00B70292" w:rsidRPr="00DF7EC2" w:rsidRDefault="00B70292" w:rsidP="000F6A09">
            <w:pPr>
              <w:spacing w:after="0" w:line="240" w:lineRule="auto"/>
              <w:rPr>
                <w:rFonts w:ascii="Calibri" w:eastAsia="Times New Roman" w:hAnsi="Calibri" w:cs="Calibri"/>
                <w:b/>
                <w:bCs/>
                <w:color w:val="000000"/>
                <w:lang w:eastAsia="en-IE"/>
              </w:rPr>
            </w:pPr>
            <w:r w:rsidRPr="00DF7EC2">
              <w:rPr>
                <w:rFonts w:ascii="Calibri" w:eastAsia="Times New Roman" w:hAnsi="Calibri" w:cs="Calibri"/>
                <w:b/>
                <w:bCs/>
                <w:color w:val="000000"/>
                <w:lang w:eastAsia="en-IE"/>
              </w:rPr>
              <w:t>Median</w:t>
            </w:r>
          </w:p>
        </w:tc>
        <w:tc>
          <w:tcPr>
            <w:tcW w:w="1220" w:type="dxa"/>
            <w:tcBorders>
              <w:top w:val="nil"/>
              <w:left w:val="nil"/>
              <w:bottom w:val="single" w:sz="4" w:space="0" w:color="auto"/>
              <w:right w:val="single" w:sz="4" w:space="0" w:color="auto"/>
            </w:tcBorders>
            <w:shd w:val="clear" w:color="auto" w:fill="auto"/>
            <w:vAlign w:val="center"/>
            <w:hideMark/>
          </w:tcPr>
          <w:p w:rsidR="00B70292" w:rsidRPr="00DF7EC2" w:rsidRDefault="00B70292" w:rsidP="000F6A09">
            <w:pPr>
              <w:spacing w:after="0" w:line="240" w:lineRule="auto"/>
              <w:rPr>
                <w:rFonts w:ascii="Calibri" w:eastAsia="Times New Roman" w:hAnsi="Calibri" w:cs="Calibri"/>
                <w:b/>
                <w:bCs/>
                <w:color w:val="000000"/>
                <w:lang w:eastAsia="en-IE"/>
              </w:rPr>
            </w:pPr>
            <w:r w:rsidRPr="00DF7EC2">
              <w:rPr>
                <w:rFonts w:ascii="Calibri" w:eastAsia="Times New Roman" w:hAnsi="Calibri" w:cs="Calibri"/>
                <w:b/>
                <w:bCs/>
                <w:color w:val="000000"/>
                <w:lang w:eastAsia="en-IE"/>
              </w:rPr>
              <w:t>24.33</w:t>
            </w:r>
          </w:p>
        </w:tc>
        <w:tc>
          <w:tcPr>
            <w:tcW w:w="1220" w:type="dxa"/>
            <w:tcBorders>
              <w:top w:val="nil"/>
              <w:left w:val="nil"/>
              <w:bottom w:val="single" w:sz="4" w:space="0" w:color="auto"/>
              <w:right w:val="single" w:sz="4" w:space="0" w:color="auto"/>
            </w:tcBorders>
            <w:shd w:val="clear" w:color="auto" w:fill="auto"/>
            <w:vAlign w:val="center"/>
            <w:hideMark/>
          </w:tcPr>
          <w:p w:rsidR="00B70292" w:rsidRPr="00DF7EC2" w:rsidRDefault="00B70292" w:rsidP="000F6A09">
            <w:pPr>
              <w:spacing w:after="0" w:line="240" w:lineRule="auto"/>
              <w:rPr>
                <w:rFonts w:ascii="Calibri" w:eastAsia="Times New Roman" w:hAnsi="Calibri" w:cs="Calibri"/>
                <w:b/>
                <w:bCs/>
                <w:color w:val="000000"/>
                <w:lang w:eastAsia="en-IE"/>
              </w:rPr>
            </w:pPr>
            <w:r w:rsidRPr="00DF7EC2">
              <w:rPr>
                <w:rFonts w:ascii="Calibri" w:eastAsia="Times New Roman" w:hAnsi="Calibri" w:cs="Calibri"/>
                <w:b/>
                <w:bCs/>
                <w:color w:val="000000"/>
                <w:lang w:eastAsia="en-IE"/>
              </w:rPr>
              <w:t>26.6</w:t>
            </w:r>
          </w:p>
        </w:tc>
        <w:tc>
          <w:tcPr>
            <w:tcW w:w="1220" w:type="dxa"/>
            <w:tcBorders>
              <w:top w:val="nil"/>
              <w:left w:val="nil"/>
              <w:bottom w:val="single" w:sz="4" w:space="0" w:color="auto"/>
              <w:right w:val="single" w:sz="4" w:space="0" w:color="auto"/>
            </w:tcBorders>
            <w:shd w:val="clear" w:color="auto" w:fill="auto"/>
            <w:vAlign w:val="center"/>
            <w:hideMark/>
          </w:tcPr>
          <w:p w:rsidR="00B70292" w:rsidRPr="00DF7EC2" w:rsidRDefault="00B70292" w:rsidP="000F6A09">
            <w:pPr>
              <w:spacing w:after="0" w:line="240" w:lineRule="auto"/>
              <w:rPr>
                <w:rFonts w:ascii="Calibri" w:eastAsia="Times New Roman" w:hAnsi="Calibri" w:cs="Calibri"/>
                <w:b/>
                <w:bCs/>
                <w:color w:val="000000"/>
                <w:lang w:eastAsia="en-IE"/>
              </w:rPr>
            </w:pPr>
            <w:r w:rsidRPr="00DF7EC2">
              <w:rPr>
                <w:rFonts w:ascii="Calibri" w:eastAsia="Times New Roman" w:hAnsi="Calibri" w:cs="Calibri"/>
                <w:b/>
                <w:bCs/>
                <w:color w:val="000000"/>
                <w:lang w:eastAsia="en-IE"/>
              </w:rPr>
              <w:t>23.85</w:t>
            </w:r>
          </w:p>
        </w:tc>
        <w:tc>
          <w:tcPr>
            <w:tcW w:w="960" w:type="dxa"/>
            <w:tcBorders>
              <w:top w:val="nil"/>
              <w:left w:val="nil"/>
              <w:bottom w:val="single" w:sz="4" w:space="0" w:color="auto"/>
              <w:right w:val="single" w:sz="4" w:space="0" w:color="auto"/>
            </w:tcBorders>
            <w:shd w:val="clear" w:color="auto" w:fill="auto"/>
            <w:noWrap/>
            <w:vAlign w:val="center"/>
            <w:hideMark/>
          </w:tcPr>
          <w:p w:rsidR="00B70292" w:rsidRPr="00D25D40" w:rsidRDefault="00B70292" w:rsidP="000F6A09">
            <w:pPr>
              <w:spacing w:after="0" w:line="240" w:lineRule="auto"/>
              <w:rPr>
                <w:rFonts w:ascii="Calibri" w:eastAsia="Times New Roman" w:hAnsi="Calibri" w:cs="Calibri"/>
                <w:b/>
                <w:color w:val="000000"/>
                <w:lang w:eastAsia="en-IE"/>
              </w:rPr>
            </w:pPr>
            <w:r w:rsidRPr="00D25D40">
              <w:rPr>
                <w:rFonts w:ascii="Calibri" w:eastAsia="Times New Roman" w:hAnsi="Calibri" w:cs="Calibri"/>
                <w:b/>
                <w:color w:val="000000"/>
                <w:lang w:eastAsia="en-IE"/>
              </w:rPr>
              <w:t>22.20</w:t>
            </w:r>
          </w:p>
        </w:tc>
        <w:tc>
          <w:tcPr>
            <w:tcW w:w="960" w:type="dxa"/>
            <w:tcBorders>
              <w:top w:val="nil"/>
              <w:left w:val="nil"/>
              <w:bottom w:val="single" w:sz="4" w:space="0" w:color="auto"/>
              <w:right w:val="single" w:sz="8" w:space="0" w:color="auto"/>
            </w:tcBorders>
            <w:shd w:val="clear" w:color="auto" w:fill="auto"/>
            <w:noWrap/>
            <w:vAlign w:val="center"/>
            <w:hideMark/>
          </w:tcPr>
          <w:p w:rsidR="00B70292" w:rsidRPr="00D25D40" w:rsidRDefault="00B70292" w:rsidP="000F6A09">
            <w:pPr>
              <w:spacing w:after="0" w:line="240" w:lineRule="auto"/>
              <w:rPr>
                <w:rFonts w:ascii="Calibri" w:eastAsia="Times New Roman" w:hAnsi="Calibri" w:cs="Calibri"/>
                <w:b/>
                <w:color w:val="000000"/>
                <w:lang w:eastAsia="en-IE"/>
              </w:rPr>
            </w:pPr>
            <w:r w:rsidRPr="00D25D40">
              <w:rPr>
                <w:rFonts w:ascii="Calibri" w:eastAsia="Times New Roman" w:hAnsi="Calibri" w:cs="Calibri"/>
                <w:b/>
                <w:color w:val="000000"/>
                <w:lang w:eastAsia="en-IE"/>
              </w:rPr>
              <w:t>24.48</w:t>
            </w:r>
          </w:p>
        </w:tc>
      </w:tr>
      <w:tr w:rsidR="00B70292" w:rsidRPr="00DF7EC2" w:rsidTr="000F6A09">
        <w:trPr>
          <w:trHeight w:val="315"/>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B70292" w:rsidRPr="00DF7EC2" w:rsidRDefault="00B70292" w:rsidP="000F6A09">
            <w:pPr>
              <w:spacing w:after="0" w:line="240" w:lineRule="auto"/>
              <w:rPr>
                <w:rFonts w:ascii="Calibri" w:eastAsia="Times New Roman" w:hAnsi="Calibri" w:cs="Calibri"/>
                <w:color w:val="000000"/>
                <w:lang w:eastAsia="en-IE"/>
              </w:rPr>
            </w:pPr>
            <w:r w:rsidRPr="00DF7EC2">
              <w:rPr>
                <w:rFonts w:ascii="Calibri" w:eastAsia="Times New Roman" w:hAnsi="Calibri" w:cs="Calibri"/>
                <w:color w:val="000000"/>
                <w:lang w:eastAsia="en-IE"/>
              </w:rPr>
              <w:t> </w:t>
            </w:r>
          </w:p>
        </w:tc>
        <w:tc>
          <w:tcPr>
            <w:tcW w:w="960" w:type="dxa"/>
            <w:tcBorders>
              <w:top w:val="nil"/>
              <w:left w:val="nil"/>
              <w:bottom w:val="single" w:sz="8" w:space="0" w:color="auto"/>
              <w:right w:val="single" w:sz="4" w:space="0" w:color="auto"/>
            </w:tcBorders>
            <w:shd w:val="clear" w:color="auto" w:fill="auto"/>
            <w:vAlign w:val="center"/>
            <w:hideMark/>
          </w:tcPr>
          <w:p w:rsidR="00B70292" w:rsidRPr="00DF7EC2" w:rsidRDefault="00B70292" w:rsidP="000F6A09">
            <w:pPr>
              <w:spacing w:after="0" w:line="240" w:lineRule="auto"/>
              <w:rPr>
                <w:rFonts w:ascii="Calibri" w:eastAsia="Times New Roman" w:hAnsi="Calibri" w:cs="Calibri"/>
                <w:color w:val="000000"/>
                <w:lang w:eastAsia="en-IE"/>
              </w:rPr>
            </w:pPr>
            <w:r w:rsidRPr="00DF7EC2">
              <w:rPr>
                <w:rFonts w:ascii="Calibri" w:eastAsia="Times New Roman" w:hAnsi="Calibri" w:cs="Calibri"/>
                <w:color w:val="000000"/>
                <w:lang w:eastAsia="en-IE"/>
              </w:rPr>
              <w:t>Mean</w:t>
            </w:r>
          </w:p>
        </w:tc>
        <w:tc>
          <w:tcPr>
            <w:tcW w:w="1220" w:type="dxa"/>
            <w:tcBorders>
              <w:top w:val="nil"/>
              <w:left w:val="nil"/>
              <w:bottom w:val="single" w:sz="8" w:space="0" w:color="auto"/>
              <w:right w:val="single" w:sz="4" w:space="0" w:color="auto"/>
            </w:tcBorders>
            <w:shd w:val="clear" w:color="auto" w:fill="auto"/>
            <w:vAlign w:val="center"/>
            <w:hideMark/>
          </w:tcPr>
          <w:p w:rsidR="00B70292" w:rsidRPr="00DF7EC2" w:rsidRDefault="00B70292" w:rsidP="000F6A09">
            <w:pPr>
              <w:spacing w:after="0" w:line="240" w:lineRule="auto"/>
              <w:rPr>
                <w:rFonts w:ascii="Calibri" w:eastAsia="Times New Roman" w:hAnsi="Calibri" w:cs="Calibri"/>
                <w:color w:val="000000"/>
                <w:lang w:eastAsia="en-IE"/>
              </w:rPr>
            </w:pPr>
            <w:r w:rsidRPr="00DF7EC2">
              <w:rPr>
                <w:rFonts w:ascii="Calibri" w:eastAsia="Times New Roman" w:hAnsi="Calibri" w:cs="Calibri"/>
                <w:color w:val="000000"/>
                <w:lang w:eastAsia="en-IE"/>
              </w:rPr>
              <w:t>25.76</w:t>
            </w:r>
          </w:p>
        </w:tc>
        <w:tc>
          <w:tcPr>
            <w:tcW w:w="1220" w:type="dxa"/>
            <w:tcBorders>
              <w:top w:val="nil"/>
              <w:left w:val="nil"/>
              <w:bottom w:val="single" w:sz="8" w:space="0" w:color="auto"/>
              <w:right w:val="single" w:sz="4" w:space="0" w:color="auto"/>
            </w:tcBorders>
            <w:shd w:val="clear" w:color="auto" w:fill="auto"/>
            <w:vAlign w:val="center"/>
            <w:hideMark/>
          </w:tcPr>
          <w:p w:rsidR="00B70292" w:rsidRPr="00DF7EC2" w:rsidRDefault="00B70292" w:rsidP="000F6A09">
            <w:pPr>
              <w:spacing w:after="0" w:line="240" w:lineRule="auto"/>
              <w:rPr>
                <w:rFonts w:ascii="Calibri" w:eastAsia="Times New Roman" w:hAnsi="Calibri" w:cs="Calibri"/>
                <w:color w:val="000000"/>
                <w:lang w:eastAsia="en-IE"/>
              </w:rPr>
            </w:pPr>
            <w:r w:rsidRPr="00DF7EC2">
              <w:rPr>
                <w:rFonts w:ascii="Calibri" w:eastAsia="Times New Roman" w:hAnsi="Calibri" w:cs="Calibri"/>
                <w:color w:val="000000"/>
                <w:lang w:eastAsia="en-IE"/>
              </w:rPr>
              <w:t>30.41</w:t>
            </w:r>
          </w:p>
        </w:tc>
        <w:tc>
          <w:tcPr>
            <w:tcW w:w="1220" w:type="dxa"/>
            <w:tcBorders>
              <w:top w:val="nil"/>
              <w:left w:val="nil"/>
              <w:bottom w:val="single" w:sz="8" w:space="0" w:color="auto"/>
              <w:right w:val="single" w:sz="4" w:space="0" w:color="auto"/>
            </w:tcBorders>
            <w:shd w:val="clear" w:color="auto" w:fill="auto"/>
            <w:vAlign w:val="center"/>
            <w:hideMark/>
          </w:tcPr>
          <w:p w:rsidR="00B70292" w:rsidRPr="00DF7EC2" w:rsidRDefault="00B70292" w:rsidP="000F6A09">
            <w:pPr>
              <w:spacing w:after="0" w:line="240" w:lineRule="auto"/>
              <w:rPr>
                <w:rFonts w:ascii="Calibri" w:eastAsia="Times New Roman" w:hAnsi="Calibri" w:cs="Calibri"/>
                <w:color w:val="000000"/>
                <w:lang w:eastAsia="en-IE"/>
              </w:rPr>
            </w:pPr>
            <w:r w:rsidRPr="00DF7EC2">
              <w:rPr>
                <w:rFonts w:ascii="Calibri" w:eastAsia="Times New Roman" w:hAnsi="Calibri" w:cs="Calibri"/>
                <w:color w:val="000000"/>
                <w:lang w:eastAsia="en-IE"/>
              </w:rPr>
              <w:t>26.95</w:t>
            </w:r>
          </w:p>
        </w:tc>
        <w:tc>
          <w:tcPr>
            <w:tcW w:w="960" w:type="dxa"/>
            <w:tcBorders>
              <w:top w:val="nil"/>
              <w:left w:val="nil"/>
              <w:bottom w:val="single" w:sz="8" w:space="0" w:color="auto"/>
              <w:right w:val="single" w:sz="4" w:space="0" w:color="auto"/>
            </w:tcBorders>
            <w:shd w:val="clear" w:color="auto" w:fill="auto"/>
            <w:noWrap/>
            <w:vAlign w:val="center"/>
            <w:hideMark/>
          </w:tcPr>
          <w:p w:rsidR="00B70292" w:rsidRPr="00DF7EC2" w:rsidRDefault="00B70292" w:rsidP="000F6A09">
            <w:pPr>
              <w:spacing w:after="0" w:line="240" w:lineRule="auto"/>
              <w:rPr>
                <w:rFonts w:ascii="Calibri" w:eastAsia="Times New Roman" w:hAnsi="Calibri" w:cs="Calibri"/>
                <w:color w:val="000000"/>
                <w:lang w:eastAsia="en-IE"/>
              </w:rPr>
            </w:pPr>
            <w:r w:rsidRPr="00DF7EC2">
              <w:rPr>
                <w:rFonts w:ascii="Calibri" w:eastAsia="Times New Roman" w:hAnsi="Calibri" w:cs="Calibri"/>
                <w:color w:val="000000"/>
                <w:lang w:eastAsia="en-IE"/>
              </w:rPr>
              <w:t>24.71</w:t>
            </w:r>
          </w:p>
        </w:tc>
        <w:tc>
          <w:tcPr>
            <w:tcW w:w="960" w:type="dxa"/>
            <w:tcBorders>
              <w:top w:val="nil"/>
              <w:left w:val="nil"/>
              <w:bottom w:val="single" w:sz="8" w:space="0" w:color="auto"/>
              <w:right w:val="single" w:sz="8" w:space="0" w:color="auto"/>
            </w:tcBorders>
            <w:shd w:val="clear" w:color="auto" w:fill="auto"/>
            <w:noWrap/>
            <w:vAlign w:val="center"/>
            <w:hideMark/>
          </w:tcPr>
          <w:p w:rsidR="00B70292" w:rsidRPr="00DF7EC2" w:rsidRDefault="00B70292" w:rsidP="000F6A09">
            <w:pPr>
              <w:spacing w:after="0" w:line="240" w:lineRule="auto"/>
              <w:rPr>
                <w:rFonts w:ascii="Calibri" w:eastAsia="Times New Roman" w:hAnsi="Calibri" w:cs="Calibri"/>
                <w:color w:val="000000"/>
                <w:lang w:eastAsia="en-IE"/>
              </w:rPr>
            </w:pPr>
            <w:r w:rsidRPr="00DF7EC2">
              <w:rPr>
                <w:rFonts w:ascii="Calibri" w:eastAsia="Times New Roman" w:hAnsi="Calibri" w:cs="Calibri"/>
                <w:color w:val="000000"/>
                <w:lang w:eastAsia="en-IE"/>
              </w:rPr>
              <w:t>31.78</w:t>
            </w:r>
          </w:p>
        </w:tc>
      </w:tr>
    </w:tbl>
    <w:p w:rsidR="00B70292" w:rsidRDefault="00B70292" w:rsidP="00B70292">
      <w:pPr>
        <w:pStyle w:val="PITableHeading"/>
        <w:spacing w:line="276" w:lineRule="auto"/>
        <w:jc w:val="both"/>
        <w:rPr>
          <w:rFonts w:asciiTheme="minorHAnsi" w:eastAsiaTheme="minorHAnsi" w:hAnsiTheme="minorHAnsi" w:cstheme="minorHAnsi"/>
          <w:b w:val="0"/>
          <w:bCs w:val="0"/>
          <w:color w:val="auto"/>
          <w:sz w:val="22"/>
          <w:szCs w:val="22"/>
          <w:lang w:eastAsia="en-US"/>
        </w:rPr>
      </w:pPr>
    </w:p>
    <w:p w:rsidR="00B70292" w:rsidRDefault="00B70292" w:rsidP="00B70292">
      <w:pPr>
        <w:pStyle w:val="PITableHeading"/>
        <w:spacing w:line="276" w:lineRule="auto"/>
        <w:jc w:val="both"/>
        <w:rPr>
          <w:rFonts w:asciiTheme="minorHAnsi" w:hAnsiTheme="minorHAnsi" w:cstheme="minorHAnsi"/>
          <w:b w:val="0"/>
          <w:sz w:val="22"/>
          <w:szCs w:val="22"/>
        </w:rPr>
      </w:pPr>
      <w:r>
        <w:rPr>
          <w:rFonts w:asciiTheme="minorHAnsi" w:eastAsiaTheme="minorHAnsi" w:hAnsiTheme="minorHAnsi" w:cstheme="minorHAnsi"/>
          <w:b w:val="0"/>
          <w:bCs w:val="0"/>
          <w:color w:val="auto"/>
          <w:sz w:val="22"/>
          <w:szCs w:val="22"/>
          <w:lang w:eastAsia="en-US"/>
        </w:rPr>
        <w:t>*The comparison of data between 2014 and 2013 is calculated by comparing the average median and mean of the re-letting time (weeks) 2014</w:t>
      </w:r>
      <w:r>
        <w:rPr>
          <w:rFonts w:asciiTheme="minorHAnsi" w:hAnsiTheme="minorHAnsi" w:cstheme="minorHAnsi"/>
          <w:b w:val="0"/>
          <w:sz w:val="22"/>
          <w:szCs w:val="22"/>
        </w:rPr>
        <w:t xml:space="preserve"> with the total of the average time taken (in weeks) from the date of vacation and from the works </w:t>
      </w:r>
      <w:r w:rsidRPr="0043289E">
        <w:rPr>
          <w:rFonts w:asciiTheme="minorHAnsi" w:hAnsiTheme="minorHAnsi" w:cstheme="minorHAnsi"/>
          <w:b w:val="0"/>
          <w:sz w:val="22"/>
          <w:szCs w:val="22"/>
        </w:rPr>
        <w:t>being completed to the date of the first rent debit</w:t>
      </w:r>
      <w:r>
        <w:rPr>
          <w:rFonts w:asciiTheme="minorHAnsi" w:hAnsiTheme="minorHAnsi" w:cstheme="minorHAnsi"/>
          <w:b w:val="0"/>
          <w:sz w:val="22"/>
          <w:szCs w:val="22"/>
        </w:rPr>
        <w:t xml:space="preserve"> (</w:t>
      </w:r>
      <w:r w:rsidR="00130886">
        <w:rPr>
          <w:rFonts w:asciiTheme="minorHAnsi" w:hAnsiTheme="minorHAnsi" w:cstheme="minorHAnsi"/>
          <w:b w:val="0"/>
          <w:sz w:val="22"/>
          <w:szCs w:val="22"/>
        </w:rPr>
        <w:t>‘</w:t>
      </w:r>
      <w:r>
        <w:rPr>
          <w:rFonts w:asciiTheme="minorHAnsi" w:hAnsiTheme="minorHAnsi" w:cstheme="minorHAnsi"/>
          <w:b w:val="0"/>
          <w:sz w:val="22"/>
          <w:szCs w:val="22"/>
        </w:rPr>
        <w:t>Table 31</w:t>
      </w:r>
      <w:r w:rsidR="00D25D40">
        <w:rPr>
          <w:rFonts w:asciiTheme="minorHAnsi" w:hAnsiTheme="minorHAnsi" w:cstheme="minorHAnsi"/>
          <w:b w:val="0"/>
          <w:sz w:val="22"/>
          <w:szCs w:val="22"/>
        </w:rPr>
        <w:t>: Current Status of Local</w:t>
      </w:r>
      <w:r w:rsidR="00130886">
        <w:rPr>
          <w:rFonts w:asciiTheme="minorHAnsi" w:hAnsiTheme="minorHAnsi" w:cstheme="minorHAnsi"/>
          <w:b w:val="0"/>
          <w:sz w:val="22"/>
          <w:szCs w:val="22"/>
        </w:rPr>
        <w:t xml:space="preserve"> Authority Housing Stock/Total Number of Dw</w:t>
      </w:r>
      <w:r w:rsidR="00D25D40">
        <w:rPr>
          <w:rFonts w:asciiTheme="minorHAnsi" w:hAnsiTheme="minorHAnsi" w:cstheme="minorHAnsi"/>
          <w:b w:val="0"/>
          <w:sz w:val="22"/>
          <w:szCs w:val="22"/>
        </w:rPr>
        <w:t xml:space="preserve">ellings in </w:t>
      </w:r>
      <w:r w:rsidR="00130886">
        <w:rPr>
          <w:rFonts w:asciiTheme="minorHAnsi" w:hAnsiTheme="minorHAnsi" w:cstheme="minorHAnsi"/>
          <w:b w:val="0"/>
          <w:sz w:val="22"/>
          <w:szCs w:val="22"/>
        </w:rPr>
        <w:t>Local A</w:t>
      </w:r>
      <w:r w:rsidR="00D25D40">
        <w:rPr>
          <w:rFonts w:asciiTheme="minorHAnsi" w:hAnsiTheme="minorHAnsi" w:cstheme="minorHAnsi"/>
          <w:b w:val="0"/>
          <w:sz w:val="22"/>
          <w:szCs w:val="22"/>
        </w:rPr>
        <w:t xml:space="preserve">uthority </w:t>
      </w:r>
      <w:r w:rsidR="00130886">
        <w:rPr>
          <w:rFonts w:asciiTheme="minorHAnsi" w:hAnsiTheme="minorHAnsi" w:cstheme="minorHAnsi"/>
          <w:b w:val="0"/>
          <w:sz w:val="22"/>
          <w:szCs w:val="22"/>
        </w:rPr>
        <w:t>S</w:t>
      </w:r>
      <w:r w:rsidR="00D25D40">
        <w:rPr>
          <w:rFonts w:asciiTheme="minorHAnsi" w:hAnsiTheme="minorHAnsi" w:cstheme="minorHAnsi"/>
          <w:b w:val="0"/>
          <w:sz w:val="22"/>
          <w:szCs w:val="22"/>
        </w:rPr>
        <w:t>tock</w:t>
      </w:r>
      <w:r w:rsidR="00130886">
        <w:rPr>
          <w:rFonts w:asciiTheme="minorHAnsi" w:hAnsiTheme="minorHAnsi" w:cstheme="minorHAnsi"/>
          <w:b w:val="0"/>
          <w:sz w:val="22"/>
          <w:szCs w:val="22"/>
        </w:rPr>
        <w:t xml:space="preserve">’ </w:t>
      </w:r>
      <w:r>
        <w:rPr>
          <w:rFonts w:asciiTheme="minorHAnsi" w:hAnsiTheme="minorHAnsi" w:cstheme="minorHAnsi"/>
          <w:b w:val="0"/>
          <w:sz w:val="22"/>
          <w:szCs w:val="22"/>
        </w:rPr>
        <w:t>in previous years’ Service Indicator reports)</w:t>
      </w:r>
    </w:p>
    <w:p w:rsidR="00B70292" w:rsidRDefault="00B70292" w:rsidP="00B70292">
      <w:pPr>
        <w:pStyle w:val="PITableHeading"/>
        <w:rPr>
          <w:rFonts w:asciiTheme="minorHAnsi" w:hAnsiTheme="minorHAnsi" w:cstheme="minorHAnsi"/>
          <w:sz w:val="22"/>
          <w:szCs w:val="22"/>
        </w:rPr>
      </w:pPr>
    </w:p>
    <w:p w:rsidR="00B70292" w:rsidRDefault="00B70292" w:rsidP="00B70292">
      <w:pPr>
        <w:pStyle w:val="PITableHeading"/>
        <w:rPr>
          <w:rFonts w:asciiTheme="minorHAnsi" w:hAnsiTheme="minorHAnsi" w:cstheme="minorHAnsi"/>
          <w:sz w:val="22"/>
          <w:szCs w:val="22"/>
        </w:rPr>
      </w:pPr>
    </w:p>
    <w:p w:rsidR="00B70292" w:rsidRDefault="00B70292" w:rsidP="00B70292">
      <w:pPr>
        <w:pStyle w:val="PITableHeading"/>
        <w:rPr>
          <w:rFonts w:asciiTheme="minorHAnsi" w:hAnsiTheme="minorHAnsi" w:cstheme="minorHAnsi"/>
          <w:sz w:val="22"/>
          <w:szCs w:val="22"/>
        </w:rPr>
      </w:pPr>
    </w:p>
    <w:p w:rsidR="00B70292" w:rsidRDefault="00B70292" w:rsidP="00B70292">
      <w:pPr>
        <w:pStyle w:val="PITableHeading"/>
        <w:rPr>
          <w:rFonts w:asciiTheme="minorHAnsi" w:hAnsiTheme="minorHAnsi" w:cstheme="minorHAnsi"/>
          <w:sz w:val="22"/>
          <w:szCs w:val="22"/>
        </w:rPr>
      </w:pPr>
    </w:p>
    <w:p w:rsidR="00B70292" w:rsidRDefault="00B70292" w:rsidP="00B70292">
      <w:pPr>
        <w:pStyle w:val="PITableHeading"/>
        <w:rPr>
          <w:rFonts w:asciiTheme="minorHAnsi" w:hAnsiTheme="minorHAnsi" w:cstheme="minorHAnsi"/>
          <w:sz w:val="22"/>
          <w:szCs w:val="22"/>
        </w:rPr>
      </w:pPr>
    </w:p>
    <w:p w:rsidR="00B70292" w:rsidRDefault="00B70292" w:rsidP="00B70292">
      <w:pPr>
        <w:pStyle w:val="PITableHeading"/>
        <w:rPr>
          <w:rFonts w:asciiTheme="minorHAnsi" w:hAnsiTheme="minorHAnsi" w:cstheme="minorHAnsi"/>
          <w:sz w:val="22"/>
          <w:szCs w:val="22"/>
        </w:rPr>
      </w:pPr>
    </w:p>
    <w:p w:rsidR="00B70292" w:rsidRDefault="00B70292" w:rsidP="00B70292">
      <w:pPr>
        <w:pStyle w:val="PITableHeading"/>
        <w:rPr>
          <w:rFonts w:asciiTheme="minorHAnsi" w:hAnsiTheme="minorHAnsi" w:cstheme="minorHAnsi"/>
          <w:sz w:val="22"/>
          <w:szCs w:val="22"/>
        </w:rPr>
      </w:pPr>
    </w:p>
    <w:p w:rsidR="00B70292" w:rsidRPr="003E001D" w:rsidRDefault="00B70292" w:rsidP="00B70292">
      <w:pPr>
        <w:pStyle w:val="PITableHeading"/>
        <w:rPr>
          <w:rFonts w:asciiTheme="minorHAnsi" w:hAnsiTheme="minorHAnsi" w:cstheme="minorHAnsi"/>
          <w:b w:val="0"/>
          <w:sz w:val="22"/>
          <w:szCs w:val="22"/>
        </w:rPr>
      </w:pPr>
      <w:r>
        <w:rPr>
          <w:rFonts w:asciiTheme="minorHAnsi" w:hAnsiTheme="minorHAnsi" w:cstheme="minorHAnsi"/>
          <w:sz w:val="22"/>
          <w:szCs w:val="22"/>
        </w:rPr>
        <w:lastRenderedPageBreak/>
        <w:t>Table 4</w:t>
      </w:r>
      <w:r w:rsidRPr="00B97E75">
        <w:rPr>
          <w:rFonts w:asciiTheme="minorHAnsi" w:hAnsiTheme="minorHAnsi" w:cstheme="minorHAnsi"/>
          <w:sz w:val="22"/>
          <w:szCs w:val="22"/>
        </w:rPr>
        <w:t xml:space="preserve">: </w:t>
      </w:r>
      <w:r w:rsidR="005F6CA3">
        <w:rPr>
          <w:rFonts w:asciiTheme="minorHAnsi" w:hAnsiTheme="minorHAnsi" w:cstheme="minorHAnsi"/>
          <w:b w:val="0"/>
          <w:sz w:val="22"/>
          <w:szCs w:val="22"/>
        </w:rPr>
        <w:t>Private R</w:t>
      </w:r>
      <w:r w:rsidRPr="003E001D">
        <w:rPr>
          <w:rFonts w:asciiTheme="minorHAnsi" w:hAnsiTheme="minorHAnsi" w:cstheme="minorHAnsi"/>
          <w:b w:val="0"/>
          <w:sz w:val="22"/>
          <w:szCs w:val="22"/>
        </w:rPr>
        <w:t xml:space="preserve">ented </w:t>
      </w:r>
      <w:r w:rsidR="005F6CA3">
        <w:rPr>
          <w:rFonts w:asciiTheme="minorHAnsi" w:hAnsiTheme="minorHAnsi" w:cstheme="minorHAnsi"/>
          <w:b w:val="0"/>
          <w:sz w:val="22"/>
          <w:szCs w:val="22"/>
        </w:rPr>
        <w:t>S</w:t>
      </w:r>
      <w:r w:rsidRPr="003E001D">
        <w:rPr>
          <w:rFonts w:asciiTheme="minorHAnsi" w:hAnsiTheme="minorHAnsi" w:cstheme="minorHAnsi"/>
          <w:b w:val="0"/>
          <w:sz w:val="22"/>
          <w:szCs w:val="22"/>
        </w:rPr>
        <w:t xml:space="preserve">ector </w:t>
      </w:r>
      <w:r w:rsidR="005F6CA3">
        <w:rPr>
          <w:rFonts w:asciiTheme="minorHAnsi" w:hAnsiTheme="minorHAnsi" w:cstheme="minorHAnsi"/>
          <w:b w:val="0"/>
          <w:sz w:val="22"/>
          <w:szCs w:val="22"/>
        </w:rPr>
        <w:t>I</w:t>
      </w:r>
      <w:r w:rsidRPr="003E001D">
        <w:rPr>
          <w:rFonts w:asciiTheme="minorHAnsi" w:hAnsiTheme="minorHAnsi" w:cstheme="minorHAnsi"/>
          <w:b w:val="0"/>
          <w:sz w:val="22"/>
          <w:szCs w:val="22"/>
        </w:rPr>
        <w:t>nspections; Long term Homeless Adults</w:t>
      </w:r>
    </w:p>
    <w:tbl>
      <w:tblPr>
        <w:tblStyle w:val="LightGrid-Accent5"/>
        <w:tblW w:w="5000" w:type="pct"/>
        <w:tblLayout w:type="fixed"/>
        <w:tblLook w:val="04A0" w:firstRow="1" w:lastRow="0" w:firstColumn="1" w:lastColumn="0" w:noHBand="0" w:noVBand="1"/>
      </w:tblPr>
      <w:tblGrid>
        <w:gridCol w:w="2801"/>
        <w:gridCol w:w="1276"/>
        <w:gridCol w:w="1419"/>
        <w:gridCol w:w="1275"/>
        <w:gridCol w:w="2471"/>
      </w:tblGrid>
      <w:tr w:rsidR="00B70292" w:rsidRPr="005C4524" w:rsidTr="000F6A09">
        <w:trPr>
          <w:cnfStyle w:val="100000000000" w:firstRow="1" w:lastRow="0" w:firstColumn="0" w:lastColumn="0" w:oddVBand="0" w:evenVBand="0" w:oddHBand="0"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1515" w:type="pct"/>
            <w:noWrap/>
            <w:vAlign w:val="center"/>
            <w:hideMark/>
          </w:tcPr>
          <w:p w:rsidR="00B70292" w:rsidRPr="00D36D20" w:rsidRDefault="00B70292" w:rsidP="000F6A09">
            <w:pPr>
              <w:rPr>
                <w:rFonts w:asciiTheme="minorHAnsi" w:eastAsia="Times New Roman" w:hAnsiTheme="minorHAnsi" w:cstheme="minorHAnsi"/>
                <w:color w:val="000000"/>
                <w:lang w:eastAsia="en-IE"/>
              </w:rPr>
            </w:pPr>
            <w:r w:rsidRPr="00D36D20">
              <w:rPr>
                <w:rFonts w:asciiTheme="minorHAnsi" w:eastAsia="Times New Roman" w:hAnsiTheme="minorHAnsi" w:cstheme="minorHAnsi"/>
                <w:color w:val="000000"/>
                <w:lang w:eastAsia="en-IE"/>
              </w:rPr>
              <w:t>Authority</w:t>
            </w:r>
          </w:p>
        </w:tc>
        <w:tc>
          <w:tcPr>
            <w:tcW w:w="690" w:type="pct"/>
            <w:vAlign w:val="center"/>
            <w:hideMark/>
          </w:tcPr>
          <w:p w:rsidR="00B70292" w:rsidRPr="005C4524" w:rsidRDefault="00B70292" w:rsidP="000F6A0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Total Number of Registered Tenancies</w:t>
            </w:r>
            <w:r>
              <w:rPr>
                <w:rFonts w:asciiTheme="minorHAnsi" w:eastAsia="Times New Roman" w:hAnsiTheme="minorHAnsi" w:cstheme="minorHAnsi"/>
                <w:color w:val="000000"/>
                <w:lang w:eastAsia="en-IE"/>
              </w:rPr>
              <w:t xml:space="preserve"> at end 2014</w:t>
            </w:r>
          </w:p>
        </w:tc>
        <w:tc>
          <w:tcPr>
            <w:tcW w:w="767" w:type="pct"/>
            <w:vAlign w:val="center"/>
            <w:hideMark/>
          </w:tcPr>
          <w:p w:rsidR="00B70292" w:rsidRPr="005C4524" w:rsidRDefault="00B70292" w:rsidP="000F6A0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 xml:space="preserve">Number of </w:t>
            </w:r>
            <w:r>
              <w:rPr>
                <w:rFonts w:asciiTheme="minorHAnsi" w:eastAsia="Times New Roman" w:hAnsiTheme="minorHAnsi" w:cstheme="minorHAnsi"/>
                <w:color w:val="000000"/>
                <w:lang w:eastAsia="en-IE"/>
              </w:rPr>
              <w:t>Private Rented Inspections Carried O</w:t>
            </w:r>
            <w:r w:rsidRPr="005C4524">
              <w:rPr>
                <w:rFonts w:asciiTheme="minorHAnsi" w:eastAsia="Times New Roman" w:hAnsiTheme="minorHAnsi" w:cstheme="minorHAnsi"/>
                <w:color w:val="000000"/>
                <w:lang w:eastAsia="en-IE"/>
              </w:rPr>
              <w:t>ut</w:t>
            </w:r>
          </w:p>
        </w:tc>
        <w:tc>
          <w:tcPr>
            <w:tcW w:w="690" w:type="pct"/>
            <w:vAlign w:val="center"/>
            <w:hideMark/>
          </w:tcPr>
          <w:p w:rsidR="00B70292" w:rsidRPr="005C4524" w:rsidRDefault="00B70292" w:rsidP="000F6A0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IE"/>
              </w:rPr>
            </w:pPr>
            <w:proofErr w:type="spellStart"/>
            <w:r>
              <w:rPr>
                <w:rFonts w:asciiTheme="minorHAnsi" w:eastAsia="Times New Roman" w:hAnsiTheme="minorHAnsi" w:cstheme="minorHAnsi"/>
                <w:color w:val="000000"/>
                <w:lang w:eastAsia="en-IE"/>
              </w:rPr>
              <w:t>Nos</w:t>
            </w:r>
            <w:proofErr w:type="spellEnd"/>
            <w:r>
              <w:rPr>
                <w:rFonts w:asciiTheme="minorHAnsi" w:eastAsia="Times New Roman" w:hAnsiTheme="minorHAnsi" w:cstheme="minorHAnsi"/>
                <w:color w:val="000000"/>
                <w:lang w:eastAsia="en-IE"/>
              </w:rPr>
              <w:t xml:space="preserve"> of Adults in Emergency </w:t>
            </w:r>
            <w:proofErr w:type="spellStart"/>
            <w:r>
              <w:rPr>
                <w:rFonts w:asciiTheme="minorHAnsi" w:eastAsia="Times New Roman" w:hAnsiTheme="minorHAnsi" w:cstheme="minorHAnsi"/>
                <w:color w:val="000000"/>
                <w:lang w:eastAsia="en-IE"/>
              </w:rPr>
              <w:t>Accomd</w:t>
            </w:r>
            <w:proofErr w:type="spellEnd"/>
            <w:r>
              <w:rPr>
                <w:rFonts w:asciiTheme="minorHAnsi" w:eastAsia="Times New Roman" w:hAnsiTheme="minorHAnsi" w:cstheme="minorHAnsi"/>
                <w:color w:val="000000"/>
                <w:lang w:eastAsia="en-IE"/>
              </w:rPr>
              <w:t>.  on 31/12/14</w:t>
            </w:r>
          </w:p>
        </w:tc>
        <w:tc>
          <w:tcPr>
            <w:tcW w:w="1337" w:type="pct"/>
            <w:vAlign w:val="center"/>
          </w:tcPr>
          <w:p w:rsidR="00B70292" w:rsidRPr="005C4524" w:rsidRDefault="00B70292" w:rsidP="000F6A0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IE"/>
              </w:rPr>
            </w:pPr>
            <w:r>
              <w:rPr>
                <w:rFonts w:asciiTheme="minorHAnsi" w:eastAsia="Times New Roman" w:hAnsiTheme="minorHAnsi" w:cstheme="minorHAnsi"/>
                <w:color w:val="000000"/>
                <w:lang w:eastAsia="en-IE"/>
              </w:rPr>
              <w:t xml:space="preserve">% of persons in Emergency Accommodation  at 31/12/2014 </w:t>
            </w:r>
            <w:r w:rsidRPr="006B4E70">
              <w:rPr>
                <w:rFonts w:asciiTheme="minorHAnsi" w:hAnsiTheme="minorHAnsi"/>
                <w:sz w:val="24"/>
                <w:szCs w:val="24"/>
              </w:rPr>
              <w:t xml:space="preserve">using emergency accommodation services in excess of </w:t>
            </w:r>
            <w:r>
              <w:rPr>
                <w:rFonts w:asciiTheme="minorHAnsi" w:hAnsiTheme="minorHAnsi"/>
                <w:sz w:val="24"/>
                <w:szCs w:val="24"/>
              </w:rPr>
              <w:t xml:space="preserve">6 </w:t>
            </w:r>
            <w:r w:rsidRPr="006B4E70">
              <w:rPr>
                <w:rFonts w:asciiTheme="minorHAnsi" w:hAnsiTheme="minorHAnsi"/>
                <w:sz w:val="24"/>
                <w:szCs w:val="24"/>
              </w:rPr>
              <w:t>months</w:t>
            </w:r>
            <w:r>
              <w:rPr>
                <w:rFonts w:asciiTheme="minorHAnsi" w:hAnsiTheme="minorHAnsi"/>
                <w:sz w:val="24"/>
                <w:szCs w:val="24"/>
              </w:rPr>
              <w:t xml:space="preserve"> </w:t>
            </w:r>
            <w:r w:rsidRPr="006B4E70">
              <w:rPr>
                <w:rFonts w:asciiTheme="minorHAnsi" w:hAnsiTheme="minorHAnsi"/>
                <w:sz w:val="24"/>
                <w:szCs w:val="24"/>
              </w:rPr>
              <w:t>over the year</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 </w:t>
            </w:r>
          </w:p>
        </w:tc>
        <w:tc>
          <w:tcPr>
            <w:tcW w:w="690" w:type="pct"/>
            <w:hideMark/>
          </w:tcPr>
          <w:p w:rsidR="00B70292" w:rsidRPr="005C4524" w:rsidRDefault="00B70292" w:rsidP="000F6A0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767"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690" w:type="pct"/>
            <w:hideMark/>
          </w:tcPr>
          <w:p w:rsidR="00B70292" w:rsidRPr="005C4524" w:rsidRDefault="00B70292" w:rsidP="000F6A0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IE"/>
              </w:rPr>
            </w:pPr>
            <w:r w:rsidRPr="005C4524">
              <w:rPr>
                <w:rFonts w:eastAsia="Times New Roman" w:cstheme="minorHAnsi"/>
                <w:lang w:eastAsia="en-IE"/>
              </w:rPr>
              <w:t> </w:t>
            </w:r>
          </w:p>
        </w:tc>
        <w:tc>
          <w:tcPr>
            <w:tcW w:w="1337" w:type="pct"/>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Carlow County</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3320</w:t>
            </w:r>
          </w:p>
        </w:tc>
        <w:tc>
          <w:tcPr>
            <w:tcW w:w="767" w:type="pct"/>
            <w:noWrap/>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328</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lang w:eastAsia="en-IE"/>
              </w:rPr>
            </w:pPr>
            <w:r w:rsidRPr="005C4524">
              <w:rPr>
                <w:rFonts w:eastAsia="Times New Roman" w:cstheme="minorHAnsi"/>
                <w:lang w:eastAsia="en-IE"/>
              </w:rPr>
              <w:t>10</w:t>
            </w:r>
          </w:p>
        </w:tc>
        <w:tc>
          <w:tcPr>
            <w:tcW w:w="1337" w:type="pct"/>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Cavan County</w:t>
            </w:r>
          </w:p>
        </w:tc>
        <w:tc>
          <w:tcPr>
            <w:tcW w:w="69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2356</w:t>
            </w:r>
          </w:p>
        </w:tc>
        <w:tc>
          <w:tcPr>
            <w:tcW w:w="767"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808</w:t>
            </w:r>
          </w:p>
        </w:tc>
        <w:tc>
          <w:tcPr>
            <w:tcW w:w="69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IE"/>
              </w:rPr>
            </w:pPr>
            <w:r w:rsidRPr="005C4524">
              <w:rPr>
                <w:rFonts w:eastAsia="Times New Roman" w:cstheme="minorHAnsi"/>
                <w:lang w:eastAsia="en-IE"/>
              </w:rPr>
              <w:t>0</w:t>
            </w:r>
          </w:p>
        </w:tc>
        <w:tc>
          <w:tcPr>
            <w:tcW w:w="1337" w:type="pct"/>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Clare County</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4400</w:t>
            </w:r>
          </w:p>
        </w:tc>
        <w:tc>
          <w:tcPr>
            <w:tcW w:w="767" w:type="pct"/>
            <w:noWrap/>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391</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lang w:eastAsia="en-IE"/>
              </w:rPr>
            </w:pPr>
            <w:r w:rsidRPr="005C4524">
              <w:rPr>
                <w:rFonts w:eastAsia="Times New Roman" w:cstheme="minorHAnsi"/>
                <w:lang w:eastAsia="en-IE"/>
              </w:rPr>
              <w:t>19</w:t>
            </w:r>
          </w:p>
        </w:tc>
        <w:tc>
          <w:tcPr>
            <w:tcW w:w="1337" w:type="pct"/>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15.79</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Cork City</w:t>
            </w:r>
          </w:p>
        </w:tc>
        <w:tc>
          <w:tcPr>
            <w:tcW w:w="69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15988</w:t>
            </w:r>
          </w:p>
        </w:tc>
        <w:tc>
          <w:tcPr>
            <w:tcW w:w="767"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1211</w:t>
            </w:r>
          </w:p>
        </w:tc>
        <w:tc>
          <w:tcPr>
            <w:tcW w:w="69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IE"/>
              </w:rPr>
            </w:pPr>
            <w:r w:rsidRPr="005C4524">
              <w:rPr>
                <w:rFonts w:eastAsia="Times New Roman" w:cstheme="minorHAnsi"/>
                <w:lang w:eastAsia="en-IE"/>
              </w:rPr>
              <w:t>173</w:t>
            </w:r>
          </w:p>
        </w:tc>
        <w:tc>
          <w:tcPr>
            <w:tcW w:w="1337" w:type="pct"/>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20.23</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Cork County</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16728</w:t>
            </w:r>
          </w:p>
        </w:tc>
        <w:tc>
          <w:tcPr>
            <w:tcW w:w="767" w:type="pct"/>
            <w:noWrap/>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802</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lang w:eastAsia="en-IE"/>
              </w:rPr>
            </w:pPr>
            <w:r w:rsidRPr="005C4524">
              <w:rPr>
                <w:rFonts w:eastAsia="Times New Roman" w:cstheme="minorHAnsi"/>
                <w:lang w:eastAsia="en-IE"/>
              </w:rPr>
              <w:t>2</w:t>
            </w:r>
          </w:p>
        </w:tc>
        <w:tc>
          <w:tcPr>
            <w:tcW w:w="1337" w:type="pct"/>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Donegal County</w:t>
            </w:r>
          </w:p>
        </w:tc>
        <w:tc>
          <w:tcPr>
            <w:tcW w:w="69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5567</w:t>
            </w:r>
          </w:p>
        </w:tc>
        <w:tc>
          <w:tcPr>
            <w:tcW w:w="767"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576</w:t>
            </w:r>
          </w:p>
        </w:tc>
        <w:tc>
          <w:tcPr>
            <w:tcW w:w="69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IE"/>
              </w:rPr>
            </w:pPr>
            <w:r w:rsidRPr="005C4524">
              <w:rPr>
                <w:rFonts w:eastAsia="Times New Roman" w:cstheme="minorHAnsi"/>
                <w:lang w:eastAsia="en-IE"/>
              </w:rPr>
              <w:t>21</w:t>
            </w:r>
          </w:p>
        </w:tc>
        <w:tc>
          <w:tcPr>
            <w:tcW w:w="1337" w:type="pct"/>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19.05</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Dublin City</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69396</w:t>
            </w:r>
          </w:p>
        </w:tc>
        <w:tc>
          <w:tcPr>
            <w:tcW w:w="767" w:type="pct"/>
            <w:noWrap/>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2511</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vertAlign w:val="superscript"/>
                <w:lang w:eastAsia="en-IE"/>
              </w:rPr>
            </w:pPr>
            <w:r w:rsidRPr="005C4524">
              <w:rPr>
                <w:rFonts w:eastAsia="Times New Roman" w:cstheme="minorHAnsi"/>
                <w:lang w:eastAsia="en-IE"/>
              </w:rPr>
              <w:t>1692</w:t>
            </w:r>
            <w:r>
              <w:rPr>
                <w:rFonts w:eastAsia="Times New Roman" w:cstheme="minorHAnsi"/>
                <w:vertAlign w:val="superscript"/>
                <w:lang w:eastAsia="en-IE"/>
              </w:rPr>
              <w:t>a</w:t>
            </w:r>
          </w:p>
        </w:tc>
        <w:tc>
          <w:tcPr>
            <w:tcW w:w="1337" w:type="pct"/>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54.43</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 xml:space="preserve">Dun Laoghaire </w:t>
            </w:r>
            <w:proofErr w:type="spellStart"/>
            <w:r w:rsidRPr="005C4524">
              <w:rPr>
                <w:rFonts w:asciiTheme="minorHAnsi" w:eastAsia="Times New Roman" w:hAnsiTheme="minorHAnsi" w:cstheme="minorHAnsi"/>
                <w:color w:val="000000"/>
                <w:lang w:eastAsia="en-IE"/>
              </w:rPr>
              <w:t>Rathdown</w:t>
            </w:r>
            <w:proofErr w:type="spellEnd"/>
            <w:r w:rsidRPr="005C4524">
              <w:rPr>
                <w:rFonts w:asciiTheme="minorHAnsi" w:eastAsia="Times New Roman" w:hAnsiTheme="minorHAnsi" w:cstheme="minorHAnsi"/>
                <w:color w:val="000000"/>
                <w:lang w:eastAsia="en-IE"/>
              </w:rPr>
              <w:t xml:space="preserve"> </w:t>
            </w:r>
          </w:p>
        </w:tc>
        <w:tc>
          <w:tcPr>
            <w:tcW w:w="69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14850</w:t>
            </w:r>
          </w:p>
        </w:tc>
        <w:tc>
          <w:tcPr>
            <w:tcW w:w="767"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683</w:t>
            </w:r>
          </w:p>
        </w:tc>
        <w:tc>
          <w:tcPr>
            <w:tcW w:w="690" w:type="pct"/>
            <w:noWrap/>
            <w:hideMark/>
          </w:tcPr>
          <w:p w:rsidR="00B70292" w:rsidRPr="009C5732"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vertAlign w:val="superscript"/>
                <w:lang w:eastAsia="en-IE"/>
              </w:rPr>
            </w:pPr>
            <w:r>
              <w:rPr>
                <w:rFonts w:eastAsia="Times New Roman" w:cstheme="minorHAnsi"/>
                <w:vertAlign w:val="superscript"/>
                <w:lang w:eastAsia="en-IE"/>
              </w:rPr>
              <w:t>a</w:t>
            </w:r>
          </w:p>
        </w:tc>
        <w:tc>
          <w:tcPr>
            <w:tcW w:w="1337" w:type="pct"/>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proofErr w:type="spellStart"/>
            <w:r w:rsidRPr="005C4524">
              <w:rPr>
                <w:rFonts w:asciiTheme="minorHAnsi" w:eastAsia="Times New Roman" w:hAnsiTheme="minorHAnsi" w:cstheme="minorHAnsi"/>
                <w:color w:val="000000"/>
                <w:lang w:eastAsia="en-IE"/>
              </w:rPr>
              <w:t>Fingal</w:t>
            </w:r>
            <w:proofErr w:type="spellEnd"/>
            <w:r w:rsidRPr="005C4524">
              <w:rPr>
                <w:rFonts w:asciiTheme="minorHAnsi" w:eastAsia="Times New Roman" w:hAnsiTheme="minorHAnsi" w:cstheme="minorHAnsi"/>
                <w:color w:val="000000"/>
                <w:lang w:eastAsia="en-IE"/>
              </w:rPr>
              <w:t xml:space="preserve"> County</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19652</w:t>
            </w:r>
          </w:p>
        </w:tc>
        <w:tc>
          <w:tcPr>
            <w:tcW w:w="767" w:type="pct"/>
            <w:noWrap/>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397</w:t>
            </w:r>
          </w:p>
        </w:tc>
        <w:tc>
          <w:tcPr>
            <w:tcW w:w="690" w:type="pct"/>
            <w:hideMark/>
          </w:tcPr>
          <w:p w:rsidR="00B70292" w:rsidRPr="009C5732"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vertAlign w:val="superscript"/>
                <w:lang w:eastAsia="en-IE"/>
              </w:rPr>
            </w:pPr>
            <w:r>
              <w:rPr>
                <w:rFonts w:eastAsia="Times New Roman" w:cstheme="minorHAnsi"/>
                <w:vertAlign w:val="superscript"/>
                <w:lang w:eastAsia="en-IE"/>
              </w:rPr>
              <w:t>a</w:t>
            </w:r>
          </w:p>
        </w:tc>
        <w:tc>
          <w:tcPr>
            <w:tcW w:w="1337" w:type="pct"/>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Galway City</w:t>
            </w:r>
          </w:p>
        </w:tc>
        <w:tc>
          <w:tcPr>
            <w:tcW w:w="69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12123</w:t>
            </w:r>
          </w:p>
        </w:tc>
        <w:tc>
          <w:tcPr>
            <w:tcW w:w="767"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138</w:t>
            </w:r>
          </w:p>
        </w:tc>
        <w:tc>
          <w:tcPr>
            <w:tcW w:w="69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IE"/>
              </w:rPr>
            </w:pPr>
            <w:r w:rsidRPr="005C4524">
              <w:rPr>
                <w:rFonts w:eastAsia="Times New Roman" w:cstheme="minorHAnsi"/>
                <w:lang w:eastAsia="en-IE"/>
              </w:rPr>
              <w:t>59</w:t>
            </w:r>
          </w:p>
        </w:tc>
        <w:tc>
          <w:tcPr>
            <w:tcW w:w="1337" w:type="pct"/>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32.2</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Galway County</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5944</w:t>
            </w:r>
          </w:p>
        </w:tc>
        <w:tc>
          <w:tcPr>
            <w:tcW w:w="767" w:type="pct"/>
            <w:noWrap/>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57</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lang w:eastAsia="en-IE"/>
              </w:rPr>
            </w:pPr>
            <w:r w:rsidRPr="005C4524">
              <w:rPr>
                <w:rFonts w:eastAsia="Times New Roman" w:cstheme="minorHAnsi"/>
                <w:lang w:eastAsia="en-IE"/>
              </w:rPr>
              <w:t>24</w:t>
            </w:r>
          </w:p>
        </w:tc>
        <w:tc>
          <w:tcPr>
            <w:tcW w:w="1337" w:type="pct"/>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45.83</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Kerry County</w:t>
            </w:r>
          </w:p>
        </w:tc>
        <w:tc>
          <w:tcPr>
            <w:tcW w:w="69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7156</w:t>
            </w:r>
          </w:p>
        </w:tc>
        <w:tc>
          <w:tcPr>
            <w:tcW w:w="767"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714</w:t>
            </w:r>
          </w:p>
        </w:tc>
        <w:tc>
          <w:tcPr>
            <w:tcW w:w="69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IE"/>
              </w:rPr>
            </w:pPr>
            <w:r w:rsidRPr="005C4524">
              <w:rPr>
                <w:rFonts w:eastAsia="Times New Roman" w:cstheme="minorHAnsi"/>
                <w:lang w:eastAsia="en-IE"/>
              </w:rPr>
              <w:t>31</w:t>
            </w:r>
          </w:p>
        </w:tc>
        <w:tc>
          <w:tcPr>
            <w:tcW w:w="1337" w:type="pct"/>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35.48</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Kildare County</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11452</w:t>
            </w:r>
          </w:p>
        </w:tc>
        <w:tc>
          <w:tcPr>
            <w:tcW w:w="767" w:type="pct"/>
            <w:noWrap/>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579</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lang w:eastAsia="en-IE"/>
              </w:rPr>
            </w:pPr>
            <w:r w:rsidRPr="005C4524">
              <w:rPr>
                <w:rFonts w:eastAsia="Times New Roman" w:cstheme="minorHAnsi"/>
                <w:lang w:eastAsia="en-IE"/>
              </w:rPr>
              <w:t>53</w:t>
            </w:r>
          </w:p>
        </w:tc>
        <w:tc>
          <w:tcPr>
            <w:tcW w:w="1337" w:type="pct"/>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52.83</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Kilkenny County</w:t>
            </w:r>
          </w:p>
        </w:tc>
        <w:tc>
          <w:tcPr>
            <w:tcW w:w="69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3895</w:t>
            </w:r>
          </w:p>
        </w:tc>
        <w:tc>
          <w:tcPr>
            <w:tcW w:w="767"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381</w:t>
            </w:r>
          </w:p>
        </w:tc>
        <w:tc>
          <w:tcPr>
            <w:tcW w:w="69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IE"/>
              </w:rPr>
            </w:pPr>
            <w:r w:rsidRPr="005C4524">
              <w:rPr>
                <w:rFonts w:eastAsia="Times New Roman" w:cstheme="minorHAnsi"/>
                <w:lang w:eastAsia="en-IE"/>
              </w:rPr>
              <w:t>42</w:t>
            </w:r>
          </w:p>
        </w:tc>
        <w:tc>
          <w:tcPr>
            <w:tcW w:w="1337" w:type="pct"/>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47.62</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Laois County</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3589</w:t>
            </w:r>
          </w:p>
        </w:tc>
        <w:tc>
          <w:tcPr>
            <w:tcW w:w="767" w:type="pct"/>
            <w:noWrap/>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162</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lang w:eastAsia="en-IE"/>
              </w:rPr>
            </w:pPr>
            <w:r w:rsidRPr="005C4524">
              <w:rPr>
                <w:rFonts w:eastAsia="Times New Roman" w:cstheme="minorHAnsi"/>
                <w:lang w:eastAsia="en-IE"/>
              </w:rPr>
              <w:t>3</w:t>
            </w:r>
          </w:p>
        </w:tc>
        <w:tc>
          <w:tcPr>
            <w:tcW w:w="1337" w:type="pct"/>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33.33</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Leitrim County</w:t>
            </w:r>
          </w:p>
        </w:tc>
        <w:tc>
          <w:tcPr>
            <w:tcW w:w="69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1289</w:t>
            </w:r>
          </w:p>
        </w:tc>
        <w:tc>
          <w:tcPr>
            <w:tcW w:w="767"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62</w:t>
            </w:r>
          </w:p>
        </w:tc>
        <w:tc>
          <w:tcPr>
            <w:tcW w:w="69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IE"/>
              </w:rPr>
            </w:pPr>
            <w:r w:rsidRPr="005C4524">
              <w:rPr>
                <w:rFonts w:eastAsia="Times New Roman" w:cstheme="minorHAnsi"/>
                <w:lang w:eastAsia="en-IE"/>
              </w:rPr>
              <w:t>0</w:t>
            </w:r>
          </w:p>
        </w:tc>
        <w:tc>
          <w:tcPr>
            <w:tcW w:w="1337" w:type="pct"/>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Limerick City &amp; County</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12043</w:t>
            </w:r>
          </w:p>
        </w:tc>
        <w:tc>
          <w:tcPr>
            <w:tcW w:w="767" w:type="pct"/>
            <w:noWrap/>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402</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lang w:eastAsia="en-IE"/>
              </w:rPr>
            </w:pPr>
            <w:r w:rsidRPr="005C4524">
              <w:rPr>
                <w:rFonts w:eastAsia="Times New Roman" w:cstheme="minorHAnsi"/>
                <w:lang w:eastAsia="en-IE"/>
              </w:rPr>
              <w:t>245</w:t>
            </w:r>
          </w:p>
        </w:tc>
        <w:tc>
          <w:tcPr>
            <w:tcW w:w="1337" w:type="pct"/>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33.88</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Longford County</w:t>
            </w:r>
          </w:p>
        </w:tc>
        <w:tc>
          <w:tcPr>
            <w:tcW w:w="69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2065</w:t>
            </w:r>
          </w:p>
        </w:tc>
        <w:tc>
          <w:tcPr>
            <w:tcW w:w="767"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173</w:t>
            </w:r>
          </w:p>
        </w:tc>
        <w:tc>
          <w:tcPr>
            <w:tcW w:w="69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IE"/>
              </w:rPr>
            </w:pPr>
            <w:r w:rsidRPr="005C4524">
              <w:rPr>
                <w:rFonts w:eastAsia="Times New Roman" w:cstheme="minorHAnsi"/>
                <w:lang w:eastAsia="en-IE"/>
              </w:rPr>
              <w:t>14</w:t>
            </w:r>
          </w:p>
        </w:tc>
        <w:tc>
          <w:tcPr>
            <w:tcW w:w="1337" w:type="pct"/>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50</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Louth County</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5510</w:t>
            </w:r>
          </w:p>
        </w:tc>
        <w:tc>
          <w:tcPr>
            <w:tcW w:w="767" w:type="pct"/>
            <w:noWrap/>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23</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lang w:eastAsia="en-IE"/>
              </w:rPr>
            </w:pPr>
            <w:r w:rsidRPr="005C4524">
              <w:rPr>
                <w:rFonts w:eastAsia="Times New Roman" w:cstheme="minorHAnsi"/>
                <w:lang w:eastAsia="en-IE"/>
              </w:rPr>
              <w:t>25</w:t>
            </w:r>
          </w:p>
        </w:tc>
        <w:tc>
          <w:tcPr>
            <w:tcW w:w="1337" w:type="pct"/>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Mayo County</w:t>
            </w:r>
          </w:p>
        </w:tc>
        <w:tc>
          <w:tcPr>
            <w:tcW w:w="69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5535</w:t>
            </w:r>
          </w:p>
        </w:tc>
        <w:tc>
          <w:tcPr>
            <w:tcW w:w="767"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322</w:t>
            </w:r>
          </w:p>
        </w:tc>
        <w:tc>
          <w:tcPr>
            <w:tcW w:w="69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IE"/>
              </w:rPr>
            </w:pPr>
            <w:r w:rsidRPr="005C4524">
              <w:rPr>
                <w:rFonts w:eastAsia="Times New Roman" w:cstheme="minorHAnsi"/>
                <w:lang w:eastAsia="en-IE"/>
              </w:rPr>
              <w:t>0</w:t>
            </w:r>
          </w:p>
        </w:tc>
        <w:tc>
          <w:tcPr>
            <w:tcW w:w="1337" w:type="pct"/>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Meath County</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6929</w:t>
            </w:r>
          </w:p>
        </w:tc>
        <w:tc>
          <w:tcPr>
            <w:tcW w:w="767" w:type="pct"/>
            <w:noWrap/>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122</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lang w:eastAsia="en-IE"/>
              </w:rPr>
            </w:pPr>
            <w:r w:rsidRPr="005C4524">
              <w:rPr>
                <w:rFonts w:eastAsia="Times New Roman" w:cstheme="minorHAnsi"/>
                <w:lang w:eastAsia="en-IE"/>
              </w:rPr>
              <w:t>35</w:t>
            </w:r>
          </w:p>
        </w:tc>
        <w:tc>
          <w:tcPr>
            <w:tcW w:w="1337" w:type="pct"/>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5.71</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Monaghan County</w:t>
            </w:r>
          </w:p>
        </w:tc>
        <w:tc>
          <w:tcPr>
            <w:tcW w:w="69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1583</w:t>
            </w:r>
          </w:p>
        </w:tc>
        <w:tc>
          <w:tcPr>
            <w:tcW w:w="767"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221</w:t>
            </w:r>
          </w:p>
        </w:tc>
        <w:tc>
          <w:tcPr>
            <w:tcW w:w="69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IE"/>
              </w:rPr>
            </w:pPr>
            <w:r w:rsidRPr="005C4524">
              <w:rPr>
                <w:rFonts w:eastAsia="Times New Roman" w:cstheme="minorHAnsi"/>
                <w:lang w:eastAsia="en-IE"/>
              </w:rPr>
              <w:t>1</w:t>
            </w:r>
          </w:p>
        </w:tc>
        <w:tc>
          <w:tcPr>
            <w:tcW w:w="1337" w:type="pct"/>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Offaly County</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3011</w:t>
            </w:r>
          </w:p>
        </w:tc>
        <w:tc>
          <w:tcPr>
            <w:tcW w:w="767" w:type="pct"/>
            <w:noWrap/>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50</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lang w:eastAsia="en-IE"/>
              </w:rPr>
            </w:pPr>
            <w:r w:rsidRPr="005C4524">
              <w:rPr>
                <w:rFonts w:eastAsia="Times New Roman" w:cstheme="minorHAnsi"/>
                <w:lang w:eastAsia="en-IE"/>
              </w:rPr>
              <w:t>6</w:t>
            </w:r>
          </w:p>
        </w:tc>
        <w:tc>
          <w:tcPr>
            <w:tcW w:w="1337" w:type="pct"/>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33.33</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Roscommon County</w:t>
            </w:r>
          </w:p>
        </w:tc>
        <w:tc>
          <w:tcPr>
            <w:tcW w:w="69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2493</w:t>
            </w:r>
          </w:p>
        </w:tc>
        <w:tc>
          <w:tcPr>
            <w:tcW w:w="767"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748</w:t>
            </w:r>
          </w:p>
        </w:tc>
        <w:tc>
          <w:tcPr>
            <w:tcW w:w="69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IE"/>
              </w:rPr>
            </w:pPr>
            <w:r w:rsidRPr="005C4524">
              <w:rPr>
                <w:rFonts w:eastAsia="Times New Roman" w:cstheme="minorHAnsi"/>
                <w:lang w:eastAsia="en-IE"/>
              </w:rPr>
              <w:t>0</w:t>
            </w:r>
          </w:p>
        </w:tc>
        <w:tc>
          <w:tcPr>
            <w:tcW w:w="1337" w:type="pct"/>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Sligo County</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4984</w:t>
            </w:r>
          </w:p>
        </w:tc>
        <w:tc>
          <w:tcPr>
            <w:tcW w:w="767" w:type="pct"/>
            <w:noWrap/>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804</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lang w:eastAsia="en-IE"/>
              </w:rPr>
            </w:pPr>
            <w:r w:rsidRPr="005C4524">
              <w:rPr>
                <w:rFonts w:eastAsia="Times New Roman" w:cstheme="minorHAnsi"/>
                <w:lang w:eastAsia="en-IE"/>
              </w:rPr>
              <w:t>8</w:t>
            </w:r>
          </w:p>
        </w:tc>
        <w:tc>
          <w:tcPr>
            <w:tcW w:w="1337" w:type="pct"/>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75</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South Dublin County</w:t>
            </w:r>
          </w:p>
        </w:tc>
        <w:tc>
          <w:tcPr>
            <w:tcW w:w="69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8200</w:t>
            </w:r>
          </w:p>
        </w:tc>
        <w:tc>
          <w:tcPr>
            <w:tcW w:w="767"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2799</w:t>
            </w:r>
          </w:p>
        </w:tc>
        <w:tc>
          <w:tcPr>
            <w:tcW w:w="690" w:type="pct"/>
            <w:noWrap/>
            <w:hideMark/>
          </w:tcPr>
          <w:p w:rsidR="00B70292" w:rsidRPr="009C5732"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vertAlign w:val="superscript"/>
                <w:lang w:eastAsia="en-IE"/>
              </w:rPr>
            </w:pPr>
            <w:r>
              <w:rPr>
                <w:rFonts w:eastAsia="Times New Roman" w:cstheme="minorHAnsi"/>
                <w:vertAlign w:val="superscript"/>
                <w:lang w:eastAsia="en-IE"/>
              </w:rPr>
              <w:t>a</w:t>
            </w:r>
          </w:p>
        </w:tc>
        <w:tc>
          <w:tcPr>
            <w:tcW w:w="1337" w:type="pct"/>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Tipperary County</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6663</w:t>
            </w:r>
          </w:p>
        </w:tc>
        <w:tc>
          <w:tcPr>
            <w:tcW w:w="767" w:type="pct"/>
            <w:noWrap/>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191</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lang w:eastAsia="en-IE"/>
              </w:rPr>
            </w:pPr>
            <w:r w:rsidRPr="005C4524">
              <w:rPr>
                <w:rFonts w:eastAsia="Times New Roman" w:cstheme="minorHAnsi"/>
                <w:lang w:eastAsia="en-IE"/>
              </w:rPr>
              <w:t>21</w:t>
            </w:r>
          </w:p>
        </w:tc>
        <w:tc>
          <w:tcPr>
            <w:tcW w:w="1337" w:type="pct"/>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52.38</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Waterford City &amp; County</w:t>
            </w:r>
          </w:p>
        </w:tc>
        <w:tc>
          <w:tcPr>
            <w:tcW w:w="69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7588</w:t>
            </w:r>
          </w:p>
        </w:tc>
        <w:tc>
          <w:tcPr>
            <w:tcW w:w="767"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886</w:t>
            </w:r>
          </w:p>
        </w:tc>
        <w:tc>
          <w:tcPr>
            <w:tcW w:w="69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IE"/>
              </w:rPr>
            </w:pPr>
            <w:r w:rsidRPr="005C4524">
              <w:rPr>
                <w:rFonts w:eastAsia="Times New Roman" w:cstheme="minorHAnsi"/>
                <w:lang w:eastAsia="en-IE"/>
              </w:rPr>
              <w:t>70</w:t>
            </w:r>
          </w:p>
        </w:tc>
        <w:tc>
          <w:tcPr>
            <w:tcW w:w="1337" w:type="pct"/>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62.86</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Westmeath County</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5841</w:t>
            </w:r>
          </w:p>
        </w:tc>
        <w:tc>
          <w:tcPr>
            <w:tcW w:w="767" w:type="pct"/>
            <w:noWrap/>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820</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lang w:eastAsia="en-IE"/>
              </w:rPr>
            </w:pPr>
            <w:r w:rsidRPr="005C4524">
              <w:rPr>
                <w:rFonts w:eastAsia="Times New Roman" w:cstheme="minorHAnsi"/>
                <w:lang w:eastAsia="en-IE"/>
              </w:rPr>
              <w:t>19</w:t>
            </w:r>
          </w:p>
        </w:tc>
        <w:tc>
          <w:tcPr>
            <w:tcW w:w="1337" w:type="pct"/>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5.26</w:t>
            </w:r>
          </w:p>
        </w:tc>
      </w:tr>
      <w:tr w:rsidR="00B70292" w:rsidRPr="005C4524" w:rsidTr="000F6A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Wexford County</w:t>
            </w:r>
          </w:p>
        </w:tc>
        <w:tc>
          <w:tcPr>
            <w:tcW w:w="690" w:type="pct"/>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7894</w:t>
            </w:r>
          </w:p>
        </w:tc>
        <w:tc>
          <w:tcPr>
            <w:tcW w:w="767"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826</w:t>
            </w:r>
          </w:p>
        </w:tc>
        <w:tc>
          <w:tcPr>
            <w:tcW w:w="690" w:type="pct"/>
            <w:noWrap/>
            <w:hideMark/>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IE"/>
              </w:rPr>
            </w:pPr>
            <w:r w:rsidRPr="005C4524">
              <w:rPr>
                <w:rFonts w:eastAsia="Times New Roman" w:cstheme="minorHAnsi"/>
                <w:lang w:eastAsia="en-IE"/>
              </w:rPr>
              <w:t>35</w:t>
            </w:r>
          </w:p>
        </w:tc>
        <w:tc>
          <w:tcPr>
            <w:tcW w:w="1337" w:type="pct"/>
          </w:tcPr>
          <w:p w:rsidR="00B70292" w:rsidRPr="005C452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22.86</w:t>
            </w:r>
          </w:p>
        </w:tc>
      </w:tr>
      <w:tr w:rsidR="00B70292" w:rsidRPr="005C4524" w:rsidTr="000F6A0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hideMark/>
          </w:tcPr>
          <w:p w:rsidR="00B70292" w:rsidRPr="005C4524" w:rsidRDefault="00B70292" w:rsidP="000F6A09">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Wicklow County</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6981</w:t>
            </w:r>
          </w:p>
        </w:tc>
        <w:tc>
          <w:tcPr>
            <w:tcW w:w="767" w:type="pct"/>
            <w:noWrap/>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366</w:t>
            </w:r>
          </w:p>
        </w:tc>
        <w:tc>
          <w:tcPr>
            <w:tcW w:w="690" w:type="pct"/>
            <w:hideMark/>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lang w:eastAsia="en-IE"/>
              </w:rPr>
            </w:pPr>
            <w:r w:rsidRPr="005C4524">
              <w:rPr>
                <w:rFonts w:eastAsia="Times New Roman" w:cstheme="minorHAnsi"/>
                <w:lang w:eastAsia="en-IE"/>
              </w:rPr>
              <w:t>41</w:t>
            </w:r>
          </w:p>
        </w:tc>
        <w:tc>
          <w:tcPr>
            <w:tcW w:w="1337" w:type="pct"/>
          </w:tcPr>
          <w:p w:rsidR="00B70292" w:rsidRPr="005C4524" w:rsidRDefault="00B70292" w:rsidP="000F6A0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46.34</w:t>
            </w:r>
          </w:p>
        </w:tc>
      </w:tr>
      <w:tr w:rsidR="00B70292" w:rsidRPr="001A12E4" w:rsidTr="000F6A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5" w:type="pct"/>
            <w:noWrap/>
          </w:tcPr>
          <w:p w:rsidR="00B70292" w:rsidRPr="001A12E4" w:rsidRDefault="00B70292" w:rsidP="000F6A09">
            <w:pPr>
              <w:rPr>
                <w:rFonts w:eastAsia="Times New Roman" w:cstheme="minorHAnsi"/>
                <w:color w:val="000000"/>
                <w:lang w:eastAsia="en-IE"/>
              </w:rPr>
            </w:pPr>
            <w:r w:rsidRPr="001A12E4">
              <w:rPr>
                <w:rFonts w:eastAsia="Times New Roman" w:cstheme="minorHAnsi"/>
                <w:color w:val="000000"/>
                <w:lang w:eastAsia="en-IE"/>
              </w:rPr>
              <w:t>Totals</w:t>
            </w:r>
          </w:p>
        </w:tc>
        <w:tc>
          <w:tcPr>
            <w:tcW w:w="690" w:type="pct"/>
          </w:tcPr>
          <w:p w:rsidR="00B70292" w:rsidRPr="001A12E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lang w:eastAsia="en-IE"/>
              </w:rPr>
            </w:pPr>
            <w:r>
              <w:rPr>
                <w:rFonts w:eastAsia="Times New Roman" w:cstheme="minorHAnsi"/>
                <w:b/>
                <w:color w:val="000000"/>
                <w:lang w:eastAsia="en-IE"/>
              </w:rPr>
              <w:t>285,025</w:t>
            </w:r>
          </w:p>
        </w:tc>
        <w:tc>
          <w:tcPr>
            <w:tcW w:w="767" w:type="pct"/>
            <w:noWrap/>
          </w:tcPr>
          <w:p w:rsidR="00B70292" w:rsidRPr="001A12E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lang w:eastAsia="en-IE"/>
              </w:rPr>
            </w:pPr>
            <w:r>
              <w:rPr>
                <w:rFonts w:eastAsia="Times New Roman" w:cstheme="minorHAnsi"/>
                <w:b/>
                <w:color w:val="000000"/>
                <w:lang w:eastAsia="en-IE"/>
              </w:rPr>
              <w:t>18,553</w:t>
            </w:r>
          </w:p>
        </w:tc>
        <w:tc>
          <w:tcPr>
            <w:tcW w:w="690" w:type="pct"/>
          </w:tcPr>
          <w:p w:rsidR="00B70292" w:rsidRPr="001A12E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en-IE"/>
              </w:rPr>
            </w:pPr>
            <w:r>
              <w:rPr>
                <w:rFonts w:eastAsia="Times New Roman" w:cstheme="minorHAnsi"/>
                <w:b/>
                <w:lang w:eastAsia="en-IE"/>
              </w:rPr>
              <w:t>2,649</w:t>
            </w:r>
          </w:p>
        </w:tc>
        <w:tc>
          <w:tcPr>
            <w:tcW w:w="1337" w:type="pct"/>
          </w:tcPr>
          <w:p w:rsidR="00B70292" w:rsidRPr="001A12E4" w:rsidRDefault="00B70292" w:rsidP="000F6A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lang w:eastAsia="en-IE"/>
              </w:rPr>
            </w:pPr>
          </w:p>
        </w:tc>
      </w:tr>
    </w:tbl>
    <w:p w:rsidR="00B70292" w:rsidRPr="009660A3" w:rsidRDefault="00B70292" w:rsidP="00B70292">
      <w:pPr>
        <w:spacing w:after="0" w:line="240" w:lineRule="auto"/>
        <w:jc w:val="both"/>
        <w:rPr>
          <w:rFonts w:eastAsia="Times New Roman" w:cstheme="minorHAnsi"/>
          <w:bCs/>
          <w:color w:val="000000"/>
          <w:sz w:val="18"/>
          <w:szCs w:val="18"/>
          <w:lang w:eastAsia="en-IE"/>
        </w:rPr>
      </w:pPr>
      <w:r>
        <w:rPr>
          <w:rFonts w:eastAsia="Times New Roman" w:cstheme="minorHAnsi"/>
          <w:bCs/>
          <w:color w:val="000000"/>
          <w:sz w:val="18"/>
          <w:szCs w:val="18"/>
          <w:vertAlign w:val="superscript"/>
          <w:lang w:eastAsia="en-IE"/>
        </w:rPr>
        <w:t>a</w:t>
      </w:r>
      <w:r w:rsidRPr="009660A3">
        <w:rPr>
          <w:rFonts w:eastAsia="Times New Roman" w:cstheme="minorHAnsi"/>
          <w:bCs/>
          <w:color w:val="000000"/>
          <w:sz w:val="18"/>
          <w:szCs w:val="18"/>
          <w:vertAlign w:val="superscript"/>
          <w:lang w:eastAsia="en-IE"/>
        </w:rPr>
        <w:t xml:space="preserve"> </w:t>
      </w:r>
      <w:r w:rsidRPr="009660A3">
        <w:rPr>
          <w:rFonts w:eastAsia="Times New Roman" w:cstheme="minorHAnsi"/>
          <w:bCs/>
          <w:color w:val="000000"/>
          <w:sz w:val="18"/>
          <w:szCs w:val="18"/>
          <w:u w:val="single"/>
          <w:lang w:eastAsia="en-IE"/>
        </w:rPr>
        <w:t>DCC;</w:t>
      </w:r>
      <w:r w:rsidRPr="009660A3">
        <w:rPr>
          <w:rFonts w:eastAsia="Times New Roman" w:cstheme="minorHAnsi"/>
          <w:bCs/>
          <w:color w:val="000000"/>
          <w:sz w:val="18"/>
          <w:szCs w:val="18"/>
          <w:lang w:eastAsia="en-IE"/>
        </w:rPr>
        <w:t xml:space="preserve"> manages homelessness </w:t>
      </w:r>
      <w:r>
        <w:rPr>
          <w:rFonts w:eastAsia="Times New Roman" w:cstheme="minorHAnsi"/>
          <w:bCs/>
          <w:color w:val="000000"/>
          <w:sz w:val="18"/>
          <w:szCs w:val="18"/>
          <w:lang w:eastAsia="en-IE"/>
        </w:rPr>
        <w:t xml:space="preserve">responses </w:t>
      </w:r>
      <w:r w:rsidRPr="009660A3">
        <w:rPr>
          <w:rFonts w:eastAsia="Times New Roman" w:cstheme="minorHAnsi"/>
          <w:bCs/>
          <w:color w:val="000000"/>
          <w:sz w:val="18"/>
          <w:szCs w:val="18"/>
          <w:lang w:eastAsia="en-IE"/>
        </w:rPr>
        <w:t>o</w:t>
      </w:r>
      <w:r>
        <w:rPr>
          <w:rFonts w:eastAsia="Times New Roman" w:cstheme="minorHAnsi"/>
          <w:bCs/>
          <w:color w:val="000000"/>
          <w:sz w:val="18"/>
          <w:szCs w:val="18"/>
          <w:lang w:eastAsia="en-IE"/>
        </w:rPr>
        <w:t>n behalf of Dublin authorities, so</w:t>
      </w:r>
      <w:r w:rsidRPr="009660A3">
        <w:rPr>
          <w:rFonts w:eastAsia="Times New Roman" w:cstheme="minorHAnsi"/>
          <w:bCs/>
          <w:color w:val="000000"/>
          <w:sz w:val="18"/>
          <w:szCs w:val="18"/>
          <w:lang w:eastAsia="en-IE"/>
        </w:rPr>
        <w:t xml:space="preserve"> DLR, </w:t>
      </w:r>
      <w:proofErr w:type="spellStart"/>
      <w:r w:rsidRPr="009660A3">
        <w:rPr>
          <w:rFonts w:eastAsia="Times New Roman" w:cstheme="minorHAnsi"/>
          <w:bCs/>
          <w:color w:val="000000"/>
          <w:sz w:val="18"/>
          <w:szCs w:val="18"/>
          <w:lang w:eastAsia="en-IE"/>
        </w:rPr>
        <w:t>Fingal</w:t>
      </w:r>
      <w:proofErr w:type="spellEnd"/>
      <w:r w:rsidRPr="009660A3">
        <w:rPr>
          <w:rFonts w:eastAsia="Times New Roman" w:cstheme="minorHAnsi"/>
          <w:bCs/>
          <w:color w:val="000000"/>
          <w:sz w:val="18"/>
          <w:szCs w:val="18"/>
          <w:lang w:eastAsia="en-IE"/>
        </w:rPr>
        <w:t xml:space="preserve"> and South Dublin</w:t>
      </w:r>
      <w:r>
        <w:rPr>
          <w:rFonts w:eastAsia="Times New Roman" w:cstheme="minorHAnsi"/>
          <w:bCs/>
          <w:color w:val="000000"/>
          <w:sz w:val="18"/>
          <w:szCs w:val="18"/>
          <w:lang w:eastAsia="en-IE"/>
        </w:rPr>
        <w:t xml:space="preserve"> are</w:t>
      </w:r>
      <w:r w:rsidRPr="009660A3">
        <w:rPr>
          <w:rFonts w:eastAsia="Times New Roman" w:cstheme="minorHAnsi"/>
          <w:bCs/>
          <w:color w:val="000000"/>
          <w:sz w:val="18"/>
          <w:szCs w:val="18"/>
          <w:lang w:eastAsia="en-IE"/>
        </w:rPr>
        <w:t xml:space="preserve"> included in Dublin City.</w:t>
      </w:r>
    </w:p>
    <w:p w:rsidR="00B70292" w:rsidRPr="00B97E75" w:rsidRDefault="00B70292" w:rsidP="00B70292">
      <w:pPr>
        <w:spacing w:after="0"/>
        <w:rPr>
          <w:rFonts w:eastAsia="Times New Roman" w:cstheme="minorHAnsi"/>
          <w:b/>
          <w:bCs/>
          <w:color w:val="000000"/>
          <w:lang w:eastAsia="en-IE"/>
        </w:rPr>
      </w:pPr>
    </w:p>
    <w:tbl>
      <w:tblPr>
        <w:tblW w:w="5964" w:type="dxa"/>
        <w:tblInd w:w="98" w:type="dxa"/>
        <w:tblLook w:val="04A0" w:firstRow="1" w:lastRow="0" w:firstColumn="1" w:lastColumn="0" w:noHBand="0" w:noVBand="1"/>
      </w:tblPr>
      <w:tblGrid>
        <w:gridCol w:w="1711"/>
        <w:gridCol w:w="2694"/>
        <w:gridCol w:w="1559"/>
      </w:tblGrid>
      <w:tr w:rsidR="00B70292" w:rsidRPr="00B97E75" w:rsidTr="000F6A09">
        <w:trPr>
          <w:trHeight w:val="315"/>
        </w:trPr>
        <w:tc>
          <w:tcPr>
            <w:tcW w:w="596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Private rented sector inspections - Long term Homeless Adults</w:t>
            </w:r>
          </w:p>
        </w:tc>
      </w:tr>
      <w:tr w:rsidR="00B70292" w:rsidRPr="00B97E75" w:rsidTr="000F6A09">
        <w:trPr>
          <w:trHeight w:val="315"/>
        </w:trPr>
        <w:tc>
          <w:tcPr>
            <w:tcW w:w="4405"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Total Number of Registered Tenants</w:t>
            </w:r>
          </w:p>
        </w:tc>
        <w:tc>
          <w:tcPr>
            <w:tcW w:w="1559" w:type="dxa"/>
            <w:tcBorders>
              <w:top w:val="nil"/>
              <w:left w:val="nil"/>
              <w:bottom w:val="single" w:sz="8" w:space="0" w:color="auto"/>
              <w:right w:val="single" w:sz="8" w:space="0" w:color="auto"/>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2014</w:t>
            </w:r>
          </w:p>
        </w:tc>
      </w:tr>
      <w:tr w:rsidR="00B70292" w:rsidRPr="00B97E75" w:rsidTr="000F6A09">
        <w:trPr>
          <w:trHeight w:val="315"/>
        </w:trPr>
        <w:tc>
          <w:tcPr>
            <w:tcW w:w="1711"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2694" w:type="dxa"/>
            <w:tcBorders>
              <w:top w:val="nil"/>
              <w:left w:val="nil"/>
              <w:bottom w:val="single" w:sz="8" w:space="0" w:color="auto"/>
              <w:right w:val="nil"/>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31</w:t>
            </w:r>
          </w:p>
        </w:tc>
      </w:tr>
      <w:tr w:rsidR="00B70292" w:rsidRPr="00B97E75" w:rsidTr="000F6A09">
        <w:trPr>
          <w:trHeight w:val="315"/>
        </w:trPr>
        <w:tc>
          <w:tcPr>
            <w:tcW w:w="1711"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2694" w:type="dxa"/>
            <w:tcBorders>
              <w:top w:val="nil"/>
              <w:left w:val="nil"/>
              <w:bottom w:val="single" w:sz="8" w:space="0" w:color="auto"/>
              <w:right w:val="nil"/>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0</w:t>
            </w:r>
          </w:p>
        </w:tc>
      </w:tr>
      <w:tr w:rsidR="00B70292" w:rsidRPr="00B97E75" w:rsidTr="000F6A09">
        <w:trPr>
          <w:trHeight w:val="315"/>
        </w:trPr>
        <w:tc>
          <w:tcPr>
            <w:tcW w:w="1711"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2694" w:type="dxa"/>
            <w:tcBorders>
              <w:top w:val="nil"/>
              <w:left w:val="nil"/>
              <w:bottom w:val="single" w:sz="8" w:space="0" w:color="auto"/>
              <w:right w:val="nil"/>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5,944.00</w:t>
            </w:r>
          </w:p>
        </w:tc>
      </w:tr>
      <w:tr w:rsidR="00B70292" w:rsidRPr="00B97E75" w:rsidTr="000F6A09">
        <w:trPr>
          <w:trHeight w:val="315"/>
        </w:trPr>
        <w:tc>
          <w:tcPr>
            <w:tcW w:w="1711"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2694" w:type="dxa"/>
            <w:tcBorders>
              <w:top w:val="nil"/>
              <w:left w:val="nil"/>
              <w:bottom w:val="single" w:sz="8" w:space="0" w:color="auto"/>
              <w:right w:val="nil"/>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9,194.35</w:t>
            </w:r>
          </w:p>
        </w:tc>
      </w:tr>
      <w:tr w:rsidR="00B70292" w:rsidRPr="00B97E75" w:rsidTr="000F6A09">
        <w:trPr>
          <w:trHeight w:val="315"/>
        </w:trPr>
        <w:tc>
          <w:tcPr>
            <w:tcW w:w="4405" w:type="dxa"/>
            <w:gridSpan w:val="2"/>
            <w:tcBorders>
              <w:top w:val="single" w:sz="8" w:space="0" w:color="auto"/>
              <w:left w:val="single" w:sz="8" w:space="0" w:color="auto"/>
              <w:bottom w:val="single" w:sz="8" w:space="0" w:color="auto"/>
              <w:right w:val="nil"/>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Number of Inspections Carried Out</w:t>
            </w:r>
          </w:p>
        </w:tc>
        <w:tc>
          <w:tcPr>
            <w:tcW w:w="1559" w:type="dxa"/>
            <w:tcBorders>
              <w:top w:val="nil"/>
              <w:left w:val="single" w:sz="8" w:space="0" w:color="auto"/>
              <w:bottom w:val="single" w:sz="8" w:space="0" w:color="auto"/>
              <w:right w:val="single" w:sz="8" w:space="0" w:color="auto"/>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2014</w:t>
            </w:r>
          </w:p>
        </w:tc>
      </w:tr>
      <w:tr w:rsidR="00B70292" w:rsidRPr="00B97E75" w:rsidTr="000F6A09">
        <w:trPr>
          <w:trHeight w:val="315"/>
        </w:trPr>
        <w:tc>
          <w:tcPr>
            <w:tcW w:w="1711"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2694" w:type="dxa"/>
            <w:tcBorders>
              <w:top w:val="nil"/>
              <w:left w:val="nil"/>
              <w:bottom w:val="single" w:sz="8" w:space="0" w:color="auto"/>
              <w:right w:val="nil"/>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31</w:t>
            </w:r>
          </w:p>
        </w:tc>
      </w:tr>
      <w:tr w:rsidR="00B70292" w:rsidRPr="00B97E75" w:rsidTr="000F6A09">
        <w:trPr>
          <w:trHeight w:val="315"/>
        </w:trPr>
        <w:tc>
          <w:tcPr>
            <w:tcW w:w="1711"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2694" w:type="dxa"/>
            <w:tcBorders>
              <w:top w:val="nil"/>
              <w:left w:val="nil"/>
              <w:bottom w:val="single" w:sz="8" w:space="0" w:color="auto"/>
              <w:right w:val="nil"/>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0</w:t>
            </w:r>
          </w:p>
        </w:tc>
      </w:tr>
      <w:tr w:rsidR="00B70292" w:rsidRPr="00B97E75" w:rsidTr="000F6A09">
        <w:trPr>
          <w:trHeight w:val="315"/>
        </w:trPr>
        <w:tc>
          <w:tcPr>
            <w:tcW w:w="1711"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2694"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559"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397.00</w:t>
            </w:r>
          </w:p>
        </w:tc>
      </w:tr>
      <w:tr w:rsidR="00B70292" w:rsidRPr="00B97E75" w:rsidTr="000F6A09">
        <w:trPr>
          <w:trHeight w:val="315"/>
        </w:trPr>
        <w:tc>
          <w:tcPr>
            <w:tcW w:w="1711"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2694"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559"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598.48</w:t>
            </w:r>
          </w:p>
        </w:tc>
      </w:tr>
      <w:tr w:rsidR="00B70292" w:rsidRPr="00B97E75" w:rsidTr="000F6A09">
        <w:trPr>
          <w:trHeight w:val="315"/>
        </w:trPr>
        <w:tc>
          <w:tcPr>
            <w:tcW w:w="4405"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PASS Homeless Adults</w:t>
            </w:r>
          </w:p>
        </w:tc>
        <w:tc>
          <w:tcPr>
            <w:tcW w:w="1559" w:type="dxa"/>
            <w:tcBorders>
              <w:top w:val="nil"/>
              <w:left w:val="nil"/>
              <w:bottom w:val="single" w:sz="8" w:space="0" w:color="auto"/>
              <w:right w:val="single" w:sz="8" w:space="0" w:color="auto"/>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2014</w:t>
            </w:r>
          </w:p>
        </w:tc>
      </w:tr>
      <w:tr w:rsidR="00B70292" w:rsidRPr="00B97E75" w:rsidTr="000F6A09">
        <w:trPr>
          <w:trHeight w:val="315"/>
        </w:trPr>
        <w:tc>
          <w:tcPr>
            <w:tcW w:w="1711"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2694"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559"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28</w:t>
            </w:r>
          </w:p>
        </w:tc>
      </w:tr>
      <w:tr w:rsidR="00B70292" w:rsidRPr="00B97E75" w:rsidTr="000F6A09">
        <w:trPr>
          <w:trHeight w:val="315"/>
        </w:trPr>
        <w:tc>
          <w:tcPr>
            <w:tcW w:w="1711"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2694"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559"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3</w:t>
            </w:r>
          </w:p>
        </w:tc>
      </w:tr>
      <w:tr w:rsidR="00B70292" w:rsidRPr="00B97E75" w:rsidTr="000F6A09">
        <w:trPr>
          <w:trHeight w:val="315"/>
        </w:trPr>
        <w:tc>
          <w:tcPr>
            <w:tcW w:w="1711"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2694"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559"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21.00</w:t>
            </w:r>
          </w:p>
        </w:tc>
      </w:tr>
      <w:tr w:rsidR="00B70292" w:rsidRPr="00B97E75" w:rsidTr="000F6A09">
        <w:trPr>
          <w:trHeight w:val="315"/>
        </w:trPr>
        <w:tc>
          <w:tcPr>
            <w:tcW w:w="1711"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2694"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559"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94.61</w:t>
            </w:r>
          </w:p>
        </w:tc>
      </w:tr>
      <w:tr w:rsidR="00B70292" w:rsidRPr="00B97E75" w:rsidTr="000F6A09">
        <w:trPr>
          <w:trHeight w:val="315"/>
        </w:trPr>
        <w:tc>
          <w:tcPr>
            <w:tcW w:w="4405"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Long-term Homeless as % of Total</w:t>
            </w:r>
          </w:p>
        </w:tc>
        <w:tc>
          <w:tcPr>
            <w:tcW w:w="1559" w:type="dxa"/>
            <w:tcBorders>
              <w:top w:val="nil"/>
              <w:left w:val="nil"/>
              <w:bottom w:val="single" w:sz="8" w:space="0" w:color="auto"/>
              <w:right w:val="single" w:sz="8" w:space="0" w:color="auto"/>
            </w:tcBorders>
            <w:shd w:val="clear" w:color="auto" w:fill="B6DDE8" w:themeFill="accent5" w:themeFillTint="66"/>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2014</w:t>
            </w:r>
          </w:p>
        </w:tc>
      </w:tr>
      <w:tr w:rsidR="00B70292" w:rsidRPr="00B97E75" w:rsidTr="000F6A09">
        <w:trPr>
          <w:trHeight w:val="315"/>
        </w:trPr>
        <w:tc>
          <w:tcPr>
            <w:tcW w:w="1711"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2694"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559"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28</w:t>
            </w:r>
          </w:p>
        </w:tc>
      </w:tr>
      <w:tr w:rsidR="00B70292" w:rsidRPr="00B97E75" w:rsidTr="000F6A09">
        <w:trPr>
          <w:trHeight w:val="315"/>
        </w:trPr>
        <w:tc>
          <w:tcPr>
            <w:tcW w:w="1711"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2694"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559"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3</w:t>
            </w:r>
          </w:p>
        </w:tc>
      </w:tr>
      <w:tr w:rsidR="00B70292" w:rsidRPr="00B97E75" w:rsidTr="000F6A09">
        <w:trPr>
          <w:trHeight w:val="315"/>
        </w:trPr>
        <w:tc>
          <w:tcPr>
            <w:tcW w:w="1711"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2694"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559"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33.33</w:t>
            </w:r>
          </w:p>
        </w:tc>
      </w:tr>
      <w:tr w:rsidR="00B70292" w:rsidRPr="00B97E75" w:rsidTr="000F6A09">
        <w:trPr>
          <w:trHeight w:val="315"/>
        </w:trPr>
        <w:tc>
          <w:tcPr>
            <w:tcW w:w="1711" w:type="dxa"/>
            <w:tcBorders>
              <w:top w:val="nil"/>
              <w:left w:val="single" w:sz="8" w:space="0" w:color="auto"/>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2694"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559" w:type="dxa"/>
            <w:tcBorders>
              <w:top w:val="nil"/>
              <w:left w:val="nil"/>
              <w:bottom w:val="single" w:sz="8" w:space="0" w:color="auto"/>
              <w:right w:val="single" w:sz="8" w:space="0" w:color="auto"/>
            </w:tcBorders>
            <w:shd w:val="clear" w:color="auto" w:fill="auto"/>
            <w:vAlign w:val="center"/>
            <w:hideMark/>
          </w:tcPr>
          <w:p w:rsidR="00B70292" w:rsidRPr="00B97E75" w:rsidRDefault="00B70292" w:rsidP="000F6A09">
            <w:pPr>
              <w:spacing w:after="0" w:line="240" w:lineRule="auto"/>
              <w:rPr>
                <w:rFonts w:eastAsia="Times New Roman" w:cstheme="minorHAnsi"/>
                <w:color w:val="000000"/>
                <w:lang w:eastAsia="en-IE"/>
              </w:rPr>
            </w:pPr>
            <w:r w:rsidRPr="00B97E75">
              <w:rPr>
                <w:rFonts w:eastAsia="Times New Roman" w:cstheme="minorHAnsi"/>
                <w:color w:val="000000"/>
                <w:lang w:eastAsia="en-IE"/>
              </w:rPr>
              <w:t>30.34</w:t>
            </w:r>
          </w:p>
        </w:tc>
      </w:tr>
    </w:tbl>
    <w:p w:rsidR="00B70292" w:rsidRDefault="00B70292" w:rsidP="00B70292">
      <w:pPr>
        <w:spacing w:after="0" w:line="240" w:lineRule="auto"/>
        <w:rPr>
          <w:rFonts w:eastAsia="Times New Roman" w:cstheme="minorHAnsi"/>
          <w:b/>
          <w:bCs/>
          <w:color w:val="000000"/>
          <w:lang w:eastAsia="en-IE"/>
        </w:rPr>
      </w:pPr>
    </w:p>
    <w:p w:rsidR="00B70292" w:rsidRDefault="00B70292" w:rsidP="00B70292">
      <w:pPr>
        <w:spacing w:after="0" w:line="240" w:lineRule="auto"/>
        <w:rPr>
          <w:rFonts w:eastAsia="Times New Roman" w:cstheme="minorHAnsi"/>
          <w:b/>
          <w:bCs/>
          <w:color w:val="000000"/>
          <w:lang w:eastAsia="en-IE"/>
        </w:rPr>
      </w:pPr>
    </w:p>
    <w:p w:rsidR="00B70292" w:rsidRDefault="00B70292" w:rsidP="00B70292">
      <w:pPr>
        <w:spacing w:after="0" w:line="240" w:lineRule="auto"/>
        <w:rPr>
          <w:rFonts w:eastAsia="Times New Roman" w:cstheme="minorHAnsi"/>
          <w:b/>
          <w:bCs/>
          <w:color w:val="000000"/>
          <w:lang w:eastAsia="en-IE"/>
        </w:rPr>
      </w:pPr>
    </w:p>
    <w:tbl>
      <w:tblPr>
        <w:tblW w:w="6430" w:type="dxa"/>
        <w:tblInd w:w="91" w:type="dxa"/>
        <w:tblLook w:val="04A0" w:firstRow="1" w:lastRow="0" w:firstColumn="1" w:lastColumn="0" w:noHBand="0" w:noVBand="1"/>
      </w:tblPr>
      <w:tblGrid>
        <w:gridCol w:w="1860"/>
        <w:gridCol w:w="1701"/>
        <w:gridCol w:w="1418"/>
        <w:gridCol w:w="1451"/>
      </w:tblGrid>
      <w:tr w:rsidR="00B70292" w:rsidRPr="00B16CFE" w:rsidTr="000F6A09">
        <w:trPr>
          <w:trHeight w:val="315"/>
        </w:trPr>
        <w:tc>
          <w:tcPr>
            <w:tcW w:w="643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70292" w:rsidRPr="00B16CFE" w:rsidRDefault="00B70292" w:rsidP="000F6A09">
            <w:pPr>
              <w:spacing w:after="0" w:line="240" w:lineRule="auto"/>
              <w:rPr>
                <w:rFonts w:ascii="Calibri" w:eastAsia="Times New Roman" w:hAnsi="Calibri" w:cs="Calibri"/>
                <w:b/>
                <w:bCs/>
                <w:color w:val="000000"/>
                <w:lang w:eastAsia="en-IE"/>
              </w:rPr>
            </w:pPr>
            <w:r w:rsidRPr="00B16CFE">
              <w:rPr>
                <w:rFonts w:ascii="Calibri" w:eastAsia="Times New Roman" w:hAnsi="Calibri" w:cs="Calibri"/>
                <w:b/>
                <w:bCs/>
                <w:color w:val="000000"/>
                <w:lang w:eastAsia="en-IE"/>
              </w:rPr>
              <w:t>Summary Statistics 2012 - 2014</w:t>
            </w:r>
          </w:p>
        </w:tc>
      </w:tr>
      <w:tr w:rsidR="00B70292" w:rsidRPr="00B16CFE" w:rsidTr="000F6A09">
        <w:trPr>
          <w:trHeight w:val="416"/>
        </w:trPr>
        <w:tc>
          <w:tcPr>
            <w:tcW w:w="1860"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rsidR="00B70292" w:rsidRPr="00B16CFE" w:rsidRDefault="00B70292" w:rsidP="000F6A09">
            <w:pPr>
              <w:spacing w:after="0" w:line="240" w:lineRule="auto"/>
              <w:rPr>
                <w:rFonts w:ascii="Calibri" w:eastAsia="Times New Roman" w:hAnsi="Calibri" w:cs="Calibri"/>
                <w:color w:val="000000"/>
                <w:lang w:eastAsia="en-IE"/>
              </w:rPr>
            </w:pPr>
            <w:r w:rsidRPr="00B16CFE">
              <w:rPr>
                <w:rFonts w:ascii="Calibri" w:eastAsia="Times New Roman" w:hAnsi="Calibri" w:cs="Calibri"/>
                <w:color w:val="000000"/>
                <w:lang w:eastAsia="en-IE"/>
              </w:rPr>
              <w:t> </w:t>
            </w:r>
          </w:p>
        </w:tc>
        <w:tc>
          <w:tcPr>
            <w:tcW w:w="4570" w:type="dxa"/>
            <w:gridSpan w:val="3"/>
            <w:tcBorders>
              <w:top w:val="single" w:sz="8" w:space="0" w:color="auto"/>
              <w:left w:val="nil"/>
              <w:bottom w:val="single" w:sz="8" w:space="0" w:color="auto"/>
              <w:right w:val="single" w:sz="8" w:space="0" w:color="auto"/>
            </w:tcBorders>
            <w:shd w:val="clear" w:color="auto" w:fill="B6DDE8" w:themeFill="accent5" w:themeFillTint="66"/>
            <w:noWrap/>
            <w:vAlign w:val="center"/>
            <w:hideMark/>
          </w:tcPr>
          <w:p w:rsidR="00B70292" w:rsidRPr="00B16CFE" w:rsidRDefault="00B70292" w:rsidP="000F6A09">
            <w:pPr>
              <w:spacing w:after="0" w:line="240" w:lineRule="auto"/>
              <w:rPr>
                <w:rFonts w:ascii="Calibri" w:eastAsia="Times New Roman" w:hAnsi="Calibri" w:cs="Calibri"/>
                <w:b/>
                <w:bCs/>
                <w:color w:val="000000"/>
                <w:lang w:eastAsia="en-IE"/>
              </w:rPr>
            </w:pPr>
            <w:r w:rsidRPr="00B16CFE">
              <w:rPr>
                <w:rFonts w:ascii="Calibri" w:eastAsia="Times New Roman" w:hAnsi="Calibri" w:cs="Calibri"/>
                <w:b/>
                <w:bCs/>
                <w:color w:val="000000"/>
                <w:lang w:eastAsia="en-IE"/>
              </w:rPr>
              <w:t>Total Number of Registered Tenancies</w:t>
            </w:r>
          </w:p>
        </w:tc>
      </w:tr>
      <w:tr w:rsidR="00B70292" w:rsidRPr="00B16CFE" w:rsidTr="000F6A09">
        <w:trPr>
          <w:trHeight w:val="315"/>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rsidR="00B70292" w:rsidRPr="00B16CFE" w:rsidRDefault="00B70292" w:rsidP="000F6A09">
            <w:pPr>
              <w:spacing w:after="0" w:line="240" w:lineRule="auto"/>
              <w:rPr>
                <w:rFonts w:ascii="Calibri" w:eastAsia="Times New Roman" w:hAnsi="Calibri" w:cs="Calibri"/>
                <w:b/>
                <w:bCs/>
                <w:color w:val="000000"/>
                <w:lang w:eastAsia="en-IE"/>
              </w:rPr>
            </w:pPr>
            <w:r w:rsidRPr="00B16CFE">
              <w:rPr>
                <w:rFonts w:ascii="Calibri" w:eastAsia="Times New Roman" w:hAnsi="Calibri" w:cs="Calibri"/>
                <w:b/>
                <w:bCs/>
                <w:color w:val="000000"/>
                <w:lang w:eastAsia="en-IE"/>
              </w:rPr>
              <w:t> </w:t>
            </w:r>
          </w:p>
        </w:tc>
        <w:tc>
          <w:tcPr>
            <w:tcW w:w="1701" w:type="dxa"/>
            <w:tcBorders>
              <w:top w:val="single" w:sz="8" w:space="0" w:color="auto"/>
              <w:left w:val="nil"/>
              <w:bottom w:val="single" w:sz="8" w:space="0" w:color="auto"/>
              <w:right w:val="single" w:sz="8" w:space="0" w:color="000000"/>
            </w:tcBorders>
            <w:shd w:val="clear" w:color="auto" w:fill="auto"/>
            <w:noWrap/>
            <w:vAlign w:val="center"/>
            <w:hideMark/>
          </w:tcPr>
          <w:p w:rsidR="00B70292" w:rsidRPr="00B16CFE" w:rsidRDefault="00B70292" w:rsidP="000F6A09">
            <w:pPr>
              <w:spacing w:after="0" w:line="240" w:lineRule="auto"/>
              <w:rPr>
                <w:rFonts w:ascii="Calibri" w:eastAsia="Times New Roman" w:hAnsi="Calibri" w:cs="Calibri"/>
                <w:b/>
                <w:bCs/>
                <w:color w:val="000000"/>
                <w:lang w:eastAsia="en-IE"/>
              </w:rPr>
            </w:pPr>
            <w:r w:rsidRPr="00B16CFE">
              <w:rPr>
                <w:rFonts w:ascii="Calibri" w:eastAsia="Times New Roman" w:hAnsi="Calibri" w:cs="Calibri"/>
                <w:b/>
                <w:bCs/>
                <w:color w:val="000000"/>
                <w:lang w:eastAsia="en-IE"/>
              </w:rPr>
              <w:t>2012</w:t>
            </w:r>
          </w:p>
        </w:tc>
        <w:tc>
          <w:tcPr>
            <w:tcW w:w="1418" w:type="dxa"/>
            <w:tcBorders>
              <w:top w:val="nil"/>
              <w:left w:val="nil"/>
              <w:bottom w:val="single" w:sz="8" w:space="0" w:color="auto"/>
              <w:right w:val="single" w:sz="8" w:space="0" w:color="auto"/>
            </w:tcBorders>
            <w:shd w:val="clear" w:color="auto" w:fill="auto"/>
            <w:noWrap/>
            <w:vAlign w:val="center"/>
            <w:hideMark/>
          </w:tcPr>
          <w:p w:rsidR="00B70292" w:rsidRPr="00B16CFE" w:rsidRDefault="00B70292" w:rsidP="000F6A09">
            <w:pPr>
              <w:spacing w:after="0" w:line="240" w:lineRule="auto"/>
              <w:rPr>
                <w:rFonts w:ascii="Calibri" w:eastAsia="Times New Roman" w:hAnsi="Calibri" w:cs="Calibri"/>
                <w:b/>
                <w:bCs/>
                <w:color w:val="000000"/>
                <w:lang w:eastAsia="en-IE"/>
              </w:rPr>
            </w:pPr>
            <w:r w:rsidRPr="00B16CFE">
              <w:rPr>
                <w:rFonts w:ascii="Calibri" w:eastAsia="Times New Roman" w:hAnsi="Calibri" w:cs="Calibri"/>
                <w:b/>
                <w:bCs/>
                <w:color w:val="000000"/>
                <w:lang w:eastAsia="en-IE"/>
              </w:rPr>
              <w:t>2013</w:t>
            </w:r>
          </w:p>
        </w:tc>
        <w:tc>
          <w:tcPr>
            <w:tcW w:w="1451" w:type="dxa"/>
            <w:tcBorders>
              <w:top w:val="nil"/>
              <w:left w:val="nil"/>
              <w:bottom w:val="nil"/>
              <w:right w:val="single" w:sz="8" w:space="0" w:color="auto"/>
            </w:tcBorders>
            <w:shd w:val="clear" w:color="auto" w:fill="auto"/>
            <w:noWrap/>
            <w:vAlign w:val="center"/>
            <w:hideMark/>
          </w:tcPr>
          <w:p w:rsidR="00B70292" w:rsidRPr="00B16CFE" w:rsidRDefault="00B70292" w:rsidP="000F6A09">
            <w:pPr>
              <w:spacing w:after="0" w:line="240" w:lineRule="auto"/>
              <w:rPr>
                <w:rFonts w:ascii="Calibri" w:eastAsia="Times New Roman" w:hAnsi="Calibri" w:cs="Calibri"/>
                <w:b/>
                <w:bCs/>
                <w:color w:val="000000"/>
                <w:lang w:eastAsia="en-IE"/>
              </w:rPr>
            </w:pPr>
            <w:r w:rsidRPr="00B16CFE">
              <w:rPr>
                <w:rFonts w:ascii="Calibri" w:eastAsia="Times New Roman" w:hAnsi="Calibri" w:cs="Calibri"/>
                <w:b/>
                <w:bCs/>
                <w:color w:val="000000"/>
                <w:lang w:eastAsia="en-IE"/>
              </w:rPr>
              <w:t>2014</w:t>
            </w:r>
          </w:p>
        </w:tc>
      </w:tr>
      <w:tr w:rsidR="00B70292" w:rsidRPr="00B16CFE" w:rsidTr="000F6A09">
        <w:trPr>
          <w:trHeight w:val="315"/>
        </w:trPr>
        <w:tc>
          <w:tcPr>
            <w:tcW w:w="1860" w:type="dxa"/>
            <w:tcBorders>
              <w:top w:val="nil"/>
              <w:left w:val="single" w:sz="8" w:space="0" w:color="auto"/>
              <w:bottom w:val="single" w:sz="8" w:space="0" w:color="auto"/>
              <w:right w:val="nil"/>
            </w:tcBorders>
            <w:shd w:val="clear" w:color="auto" w:fill="auto"/>
            <w:noWrap/>
            <w:vAlign w:val="center"/>
            <w:hideMark/>
          </w:tcPr>
          <w:p w:rsidR="00B70292" w:rsidRPr="00B16CFE" w:rsidRDefault="00B70292" w:rsidP="000F6A09">
            <w:pPr>
              <w:spacing w:after="0" w:line="240" w:lineRule="auto"/>
              <w:rPr>
                <w:rFonts w:ascii="Calibri" w:eastAsia="Times New Roman" w:hAnsi="Calibri" w:cs="Calibri"/>
                <w:b/>
                <w:bCs/>
                <w:color w:val="000000"/>
                <w:lang w:eastAsia="en-IE"/>
              </w:rPr>
            </w:pPr>
            <w:r w:rsidRPr="00B16CFE">
              <w:rPr>
                <w:rFonts w:ascii="Calibri" w:eastAsia="Times New Roman" w:hAnsi="Calibri" w:cs="Calibri"/>
                <w:b/>
                <w:bCs/>
                <w:color w:val="000000"/>
                <w:lang w:eastAsia="en-IE"/>
              </w:rPr>
              <w:t>Median</w:t>
            </w:r>
          </w:p>
        </w:tc>
        <w:tc>
          <w:tcPr>
            <w:tcW w:w="17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70292" w:rsidRPr="00130886" w:rsidRDefault="00B70292" w:rsidP="000F6A09">
            <w:pPr>
              <w:spacing w:after="0" w:line="240" w:lineRule="auto"/>
              <w:rPr>
                <w:rFonts w:ascii="Calibri" w:eastAsia="Times New Roman" w:hAnsi="Calibri" w:cs="Calibri"/>
                <w:b/>
                <w:color w:val="000000"/>
                <w:lang w:eastAsia="en-IE"/>
              </w:rPr>
            </w:pPr>
            <w:r w:rsidRPr="00130886">
              <w:rPr>
                <w:rFonts w:ascii="Calibri" w:eastAsia="Times New Roman" w:hAnsi="Calibri" w:cs="Calibri"/>
                <w:b/>
                <w:color w:val="000000"/>
                <w:lang w:eastAsia="en-IE"/>
              </w:rPr>
              <w:t>4,338.00</w:t>
            </w:r>
          </w:p>
        </w:tc>
        <w:tc>
          <w:tcPr>
            <w:tcW w:w="1418" w:type="dxa"/>
            <w:tcBorders>
              <w:top w:val="nil"/>
              <w:left w:val="nil"/>
              <w:bottom w:val="nil"/>
              <w:right w:val="single" w:sz="8" w:space="0" w:color="auto"/>
            </w:tcBorders>
            <w:shd w:val="clear" w:color="auto" w:fill="auto"/>
            <w:noWrap/>
            <w:vAlign w:val="center"/>
            <w:hideMark/>
          </w:tcPr>
          <w:p w:rsidR="00B70292" w:rsidRPr="00130886" w:rsidRDefault="00B70292" w:rsidP="000F6A09">
            <w:pPr>
              <w:spacing w:after="0" w:line="240" w:lineRule="auto"/>
              <w:rPr>
                <w:rFonts w:ascii="Calibri" w:eastAsia="Times New Roman" w:hAnsi="Calibri" w:cs="Calibri"/>
                <w:b/>
                <w:color w:val="000000"/>
                <w:lang w:eastAsia="en-IE"/>
              </w:rPr>
            </w:pPr>
            <w:r w:rsidRPr="00130886">
              <w:rPr>
                <w:rFonts w:ascii="Calibri" w:eastAsia="Times New Roman" w:hAnsi="Calibri" w:cs="Calibri"/>
                <w:b/>
                <w:color w:val="000000"/>
                <w:lang w:eastAsia="en-IE"/>
              </w:rPr>
              <w:t>5,052.00</w:t>
            </w:r>
          </w:p>
        </w:tc>
        <w:tc>
          <w:tcPr>
            <w:tcW w:w="1451" w:type="dxa"/>
            <w:tcBorders>
              <w:top w:val="single" w:sz="8" w:space="0" w:color="auto"/>
              <w:left w:val="nil"/>
              <w:bottom w:val="single" w:sz="8" w:space="0" w:color="auto"/>
              <w:right w:val="single" w:sz="8" w:space="0" w:color="auto"/>
            </w:tcBorders>
            <w:shd w:val="clear" w:color="auto" w:fill="auto"/>
            <w:noWrap/>
            <w:vAlign w:val="center"/>
            <w:hideMark/>
          </w:tcPr>
          <w:p w:rsidR="00B70292" w:rsidRPr="00130886" w:rsidRDefault="00B70292" w:rsidP="000F6A09">
            <w:pPr>
              <w:spacing w:after="0" w:line="240" w:lineRule="auto"/>
              <w:rPr>
                <w:rFonts w:ascii="Calibri" w:eastAsia="Times New Roman" w:hAnsi="Calibri" w:cs="Calibri"/>
                <w:b/>
                <w:color w:val="000000"/>
                <w:lang w:eastAsia="en-IE"/>
              </w:rPr>
            </w:pPr>
            <w:r w:rsidRPr="00130886">
              <w:rPr>
                <w:rFonts w:ascii="Calibri" w:eastAsia="Times New Roman" w:hAnsi="Calibri" w:cs="Calibri"/>
                <w:b/>
                <w:color w:val="000000"/>
                <w:lang w:eastAsia="en-IE"/>
              </w:rPr>
              <w:t>5,944.00</w:t>
            </w:r>
          </w:p>
        </w:tc>
      </w:tr>
      <w:tr w:rsidR="00B70292" w:rsidRPr="00B16CFE" w:rsidTr="000F6A09">
        <w:trPr>
          <w:trHeight w:val="315"/>
        </w:trPr>
        <w:tc>
          <w:tcPr>
            <w:tcW w:w="1860" w:type="dxa"/>
            <w:tcBorders>
              <w:top w:val="nil"/>
              <w:left w:val="single" w:sz="8" w:space="0" w:color="auto"/>
              <w:bottom w:val="nil"/>
              <w:right w:val="nil"/>
            </w:tcBorders>
            <w:shd w:val="clear" w:color="auto" w:fill="auto"/>
            <w:noWrap/>
            <w:vAlign w:val="center"/>
            <w:hideMark/>
          </w:tcPr>
          <w:p w:rsidR="00B70292" w:rsidRPr="00130886" w:rsidRDefault="00B70292" w:rsidP="000F6A09">
            <w:pPr>
              <w:spacing w:after="0" w:line="240" w:lineRule="auto"/>
              <w:rPr>
                <w:rFonts w:ascii="Calibri" w:eastAsia="Times New Roman" w:hAnsi="Calibri" w:cs="Calibri"/>
                <w:bCs/>
                <w:color w:val="000000"/>
                <w:lang w:eastAsia="en-IE"/>
              </w:rPr>
            </w:pPr>
            <w:r w:rsidRPr="00130886">
              <w:rPr>
                <w:rFonts w:ascii="Calibri" w:eastAsia="Times New Roman" w:hAnsi="Calibri" w:cs="Calibri"/>
                <w:bCs/>
                <w:color w:val="000000"/>
                <w:lang w:eastAsia="en-IE"/>
              </w:rPr>
              <w:t>Mean</w:t>
            </w:r>
          </w:p>
        </w:tc>
        <w:tc>
          <w:tcPr>
            <w:tcW w:w="17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70292" w:rsidRPr="00B16CFE" w:rsidRDefault="00B70292" w:rsidP="000F6A09">
            <w:pPr>
              <w:spacing w:after="0" w:line="240" w:lineRule="auto"/>
              <w:rPr>
                <w:rFonts w:ascii="Calibri" w:eastAsia="Times New Roman" w:hAnsi="Calibri" w:cs="Calibri"/>
                <w:color w:val="000000"/>
                <w:lang w:eastAsia="en-IE"/>
              </w:rPr>
            </w:pPr>
            <w:r w:rsidRPr="00B16CFE">
              <w:rPr>
                <w:rFonts w:ascii="Calibri" w:eastAsia="Times New Roman" w:hAnsi="Calibri" w:cs="Calibri"/>
                <w:color w:val="000000"/>
                <w:lang w:eastAsia="en-IE"/>
              </w:rPr>
              <w:t>7,202.64</w:t>
            </w:r>
          </w:p>
        </w:tc>
        <w:tc>
          <w:tcPr>
            <w:tcW w:w="1418" w:type="dxa"/>
            <w:tcBorders>
              <w:top w:val="single" w:sz="8" w:space="0" w:color="auto"/>
              <w:left w:val="nil"/>
              <w:bottom w:val="nil"/>
              <w:right w:val="single" w:sz="8" w:space="0" w:color="auto"/>
            </w:tcBorders>
            <w:shd w:val="clear" w:color="auto" w:fill="auto"/>
            <w:noWrap/>
            <w:vAlign w:val="center"/>
            <w:hideMark/>
          </w:tcPr>
          <w:p w:rsidR="00B70292" w:rsidRPr="00B16CFE" w:rsidRDefault="00B70292" w:rsidP="000F6A09">
            <w:pPr>
              <w:spacing w:after="0" w:line="240" w:lineRule="auto"/>
              <w:rPr>
                <w:rFonts w:ascii="Calibri" w:eastAsia="Times New Roman" w:hAnsi="Calibri" w:cs="Calibri"/>
                <w:color w:val="000000"/>
                <w:lang w:eastAsia="en-IE"/>
              </w:rPr>
            </w:pPr>
            <w:r w:rsidRPr="00B16CFE">
              <w:rPr>
                <w:rFonts w:ascii="Calibri" w:eastAsia="Times New Roman" w:hAnsi="Calibri" w:cs="Calibri"/>
                <w:color w:val="000000"/>
                <w:lang w:eastAsia="en-IE"/>
              </w:rPr>
              <w:t>8,430.41</w:t>
            </w:r>
          </w:p>
        </w:tc>
        <w:tc>
          <w:tcPr>
            <w:tcW w:w="1451" w:type="dxa"/>
            <w:tcBorders>
              <w:top w:val="nil"/>
              <w:left w:val="nil"/>
              <w:bottom w:val="nil"/>
              <w:right w:val="single" w:sz="8" w:space="0" w:color="auto"/>
            </w:tcBorders>
            <w:shd w:val="clear" w:color="auto" w:fill="auto"/>
            <w:noWrap/>
            <w:vAlign w:val="center"/>
            <w:hideMark/>
          </w:tcPr>
          <w:p w:rsidR="00B70292" w:rsidRPr="00B16CFE" w:rsidRDefault="00B70292" w:rsidP="000F6A09">
            <w:pPr>
              <w:spacing w:after="0" w:line="240" w:lineRule="auto"/>
              <w:rPr>
                <w:rFonts w:ascii="Calibri" w:eastAsia="Times New Roman" w:hAnsi="Calibri" w:cs="Calibri"/>
                <w:color w:val="000000"/>
                <w:lang w:eastAsia="en-IE"/>
              </w:rPr>
            </w:pPr>
            <w:r w:rsidRPr="00B16CFE">
              <w:rPr>
                <w:rFonts w:ascii="Calibri" w:eastAsia="Times New Roman" w:hAnsi="Calibri" w:cs="Calibri"/>
                <w:color w:val="000000"/>
                <w:lang w:eastAsia="en-IE"/>
              </w:rPr>
              <w:t>9,194.35</w:t>
            </w:r>
          </w:p>
        </w:tc>
      </w:tr>
      <w:tr w:rsidR="00B70292" w:rsidRPr="00B16CFE" w:rsidTr="000F6A09">
        <w:trPr>
          <w:trHeight w:val="315"/>
        </w:trPr>
        <w:tc>
          <w:tcPr>
            <w:tcW w:w="1860" w:type="dxa"/>
            <w:tcBorders>
              <w:top w:val="single" w:sz="8" w:space="0" w:color="auto"/>
              <w:left w:val="single" w:sz="8" w:space="0" w:color="auto"/>
              <w:bottom w:val="single" w:sz="8" w:space="0" w:color="auto"/>
              <w:right w:val="single" w:sz="4" w:space="0" w:color="auto"/>
            </w:tcBorders>
            <w:shd w:val="clear" w:color="auto" w:fill="B6DDE8" w:themeFill="accent5" w:themeFillTint="66"/>
            <w:noWrap/>
            <w:vAlign w:val="center"/>
            <w:hideMark/>
          </w:tcPr>
          <w:p w:rsidR="00B70292" w:rsidRPr="00B16CFE" w:rsidRDefault="00B70292" w:rsidP="000F6A09">
            <w:pPr>
              <w:spacing w:after="0" w:line="240" w:lineRule="auto"/>
              <w:rPr>
                <w:rFonts w:ascii="Calibri" w:eastAsia="Times New Roman" w:hAnsi="Calibri" w:cs="Calibri"/>
                <w:color w:val="000000"/>
                <w:lang w:eastAsia="en-IE"/>
              </w:rPr>
            </w:pPr>
            <w:r w:rsidRPr="00B16CFE">
              <w:rPr>
                <w:rFonts w:ascii="Calibri" w:eastAsia="Times New Roman" w:hAnsi="Calibri" w:cs="Calibri"/>
                <w:color w:val="000000"/>
                <w:lang w:eastAsia="en-IE"/>
              </w:rPr>
              <w:t> </w:t>
            </w:r>
          </w:p>
        </w:tc>
        <w:tc>
          <w:tcPr>
            <w:tcW w:w="1701" w:type="dxa"/>
            <w:tcBorders>
              <w:top w:val="single" w:sz="8" w:space="0" w:color="auto"/>
              <w:left w:val="single" w:sz="4" w:space="0" w:color="auto"/>
              <w:bottom w:val="single" w:sz="8" w:space="0" w:color="auto"/>
              <w:right w:val="nil"/>
            </w:tcBorders>
            <w:shd w:val="clear" w:color="auto" w:fill="B6DDE8" w:themeFill="accent5" w:themeFillTint="66"/>
            <w:noWrap/>
            <w:vAlign w:val="center"/>
            <w:hideMark/>
          </w:tcPr>
          <w:p w:rsidR="00B70292" w:rsidRPr="00B16CFE" w:rsidRDefault="00B70292" w:rsidP="000F6A09">
            <w:pPr>
              <w:spacing w:after="0" w:line="240" w:lineRule="auto"/>
              <w:rPr>
                <w:rFonts w:ascii="Calibri" w:eastAsia="Times New Roman" w:hAnsi="Calibri" w:cs="Calibri"/>
                <w:b/>
                <w:bCs/>
                <w:color w:val="000000"/>
                <w:lang w:eastAsia="en-IE"/>
              </w:rPr>
            </w:pPr>
            <w:r w:rsidRPr="00B16CFE">
              <w:rPr>
                <w:rFonts w:ascii="Calibri" w:eastAsia="Times New Roman" w:hAnsi="Calibri" w:cs="Calibri"/>
                <w:b/>
                <w:bCs/>
                <w:color w:val="000000"/>
                <w:lang w:eastAsia="en-IE"/>
              </w:rPr>
              <w:t>Number of Inspections Carried Out</w:t>
            </w:r>
          </w:p>
        </w:tc>
        <w:tc>
          <w:tcPr>
            <w:tcW w:w="1418" w:type="dxa"/>
            <w:tcBorders>
              <w:top w:val="single" w:sz="8" w:space="0" w:color="auto"/>
              <w:left w:val="nil"/>
              <w:bottom w:val="single" w:sz="8" w:space="0" w:color="auto"/>
              <w:right w:val="nil"/>
            </w:tcBorders>
            <w:shd w:val="clear" w:color="auto" w:fill="B6DDE8" w:themeFill="accent5" w:themeFillTint="66"/>
            <w:noWrap/>
            <w:vAlign w:val="center"/>
            <w:hideMark/>
          </w:tcPr>
          <w:p w:rsidR="00B70292" w:rsidRPr="00B16CFE" w:rsidRDefault="00B70292" w:rsidP="000F6A09">
            <w:pPr>
              <w:spacing w:after="0" w:line="240" w:lineRule="auto"/>
              <w:rPr>
                <w:rFonts w:ascii="Calibri" w:eastAsia="Times New Roman" w:hAnsi="Calibri" w:cs="Calibri"/>
                <w:b/>
                <w:bCs/>
                <w:color w:val="000000"/>
                <w:lang w:eastAsia="en-IE"/>
              </w:rPr>
            </w:pPr>
            <w:r w:rsidRPr="00B16CFE">
              <w:rPr>
                <w:rFonts w:ascii="Calibri" w:eastAsia="Times New Roman" w:hAnsi="Calibri" w:cs="Calibri"/>
                <w:b/>
                <w:bCs/>
                <w:color w:val="000000"/>
                <w:lang w:eastAsia="en-IE"/>
              </w:rPr>
              <w:t> </w:t>
            </w:r>
          </w:p>
        </w:tc>
        <w:tc>
          <w:tcPr>
            <w:tcW w:w="1451" w:type="dxa"/>
            <w:tcBorders>
              <w:top w:val="single" w:sz="8" w:space="0" w:color="auto"/>
              <w:left w:val="nil"/>
              <w:bottom w:val="single" w:sz="8" w:space="0" w:color="auto"/>
              <w:right w:val="single" w:sz="8" w:space="0" w:color="auto"/>
            </w:tcBorders>
            <w:shd w:val="clear" w:color="auto" w:fill="B6DDE8" w:themeFill="accent5" w:themeFillTint="66"/>
            <w:noWrap/>
            <w:vAlign w:val="center"/>
            <w:hideMark/>
          </w:tcPr>
          <w:p w:rsidR="00B70292" w:rsidRPr="00B16CFE" w:rsidRDefault="00B70292" w:rsidP="000F6A09">
            <w:pPr>
              <w:spacing w:after="0" w:line="240" w:lineRule="auto"/>
              <w:rPr>
                <w:rFonts w:ascii="Calibri" w:eastAsia="Times New Roman" w:hAnsi="Calibri" w:cs="Calibri"/>
                <w:b/>
                <w:bCs/>
                <w:color w:val="000000"/>
                <w:lang w:eastAsia="en-IE"/>
              </w:rPr>
            </w:pPr>
            <w:r w:rsidRPr="00B16CFE">
              <w:rPr>
                <w:rFonts w:ascii="Calibri" w:eastAsia="Times New Roman" w:hAnsi="Calibri" w:cs="Calibri"/>
                <w:b/>
                <w:bCs/>
                <w:color w:val="000000"/>
                <w:lang w:eastAsia="en-IE"/>
              </w:rPr>
              <w:t> </w:t>
            </w:r>
          </w:p>
        </w:tc>
      </w:tr>
      <w:tr w:rsidR="00B70292" w:rsidRPr="00B16CFE" w:rsidTr="000F6A09">
        <w:trPr>
          <w:trHeight w:val="315"/>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rsidR="00B70292" w:rsidRPr="00B16CFE" w:rsidRDefault="00B70292" w:rsidP="000F6A09">
            <w:pPr>
              <w:spacing w:after="0" w:line="240" w:lineRule="auto"/>
              <w:rPr>
                <w:rFonts w:ascii="Calibri" w:eastAsia="Times New Roman" w:hAnsi="Calibri" w:cs="Calibri"/>
                <w:b/>
                <w:bCs/>
                <w:color w:val="000000"/>
                <w:lang w:eastAsia="en-IE"/>
              </w:rPr>
            </w:pPr>
            <w:r w:rsidRPr="00B16CFE">
              <w:rPr>
                <w:rFonts w:ascii="Calibri" w:eastAsia="Times New Roman" w:hAnsi="Calibri" w:cs="Calibri"/>
                <w:b/>
                <w:bCs/>
                <w:color w:val="000000"/>
                <w:lang w:eastAsia="en-IE"/>
              </w:rPr>
              <w:t> </w:t>
            </w:r>
          </w:p>
        </w:tc>
        <w:tc>
          <w:tcPr>
            <w:tcW w:w="1701" w:type="dxa"/>
            <w:tcBorders>
              <w:top w:val="single" w:sz="8" w:space="0" w:color="auto"/>
              <w:left w:val="nil"/>
              <w:bottom w:val="single" w:sz="8" w:space="0" w:color="auto"/>
              <w:right w:val="single" w:sz="8" w:space="0" w:color="000000"/>
            </w:tcBorders>
            <w:shd w:val="clear" w:color="auto" w:fill="auto"/>
            <w:noWrap/>
            <w:vAlign w:val="center"/>
            <w:hideMark/>
          </w:tcPr>
          <w:p w:rsidR="00B70292" w:rsidRPr="00B16CFE" w:rsidRDefault="00B70292" w:rsidP="000F6A09">
            <w:pPr>
              <w:spacing w:after="0" w:line="240" w:lineRule="auto"/>
              <w:rPr>
                <w:rFonts w:ascii="Calibri" w:eastAsia="Times New Roman" w:hAnsi="Calibri" w:cs="Calibri"/>
                <w:b/>
                <w:bCs/>
                <w:color w:val="000000"/>
                <w:lang w:eastAsia="en-IE"/>
              </w:rPr>
            </w:pPr>
            <w:r w:rsidRPr="00B16CFE">
              <w:rPr>
                <w:rFonts w:ascii="Calibri" w:eastAsia="Times New Roman" w:hAnsi="Calibri" w:cs="Calibri"/>
                <w:b/>
                <w:bCs/>
                <w:color w:val="000000"/>
                <w:lang w:eastAsia="en-IE"/>
              </w:rPr>
              <w:t>2012</w:t>
            </w:r>
          </w:p>
        </w:tc>
        <w:tc>
          <w:tcPr>
            <w:tcW w:w="1418" w:type="dxa"/>
            <w:tcBorders>
              <w:top w:val="nil"/>
              <w:left w:val="nil"/>
              <w:bottom w:val="single" w:sz="8" w:space="0" w:color="auto"/>
              <w:right w:val="single" w:sz="8" w:space="0" w:color="auto"/>
            </w:tcBorders>
            <w:shd w:val="clear" w:color="auto" w:fill="auto"/>
            <w:noWrap/>
            <w:vAlign w:val="center"/>
            <w:hideMark/>
          </w:tcPr>
          <w:p w:rsidR="00B70292" w:rsidRPr="00B16CFE" w:rsidRDefault="00B70292" w:rsidP="000F6A09">
            <w:pPr>
              <w:spacing w:after="0" w:line="240" w:lineRule="auto"/>
              <w:rPr>
                <w:rFonts w:ascii="Calibri" w:eastAsia="Times New Roman" w:hAnsi="Calibri" w:cs="Calibri"/>
                <w:b/>
                <w:bCs/>
                <w:color w:val="000000"/>
                <w:lang w:eastAsia="en-IE"/>
              </w:rPr>
            </w:pPr>
            <w:r w:rsidRPr="00B16CFE">
              <w:rPr>
                <w:rFonts w:ascii="Calibri" w:eastAsia="Times New Roman" w:hAnsi="Calibri" w:cs="Calibri"/>
                <w:b/>
                <w:bCs/>
                <w:color w:val="000000"/>
                <w:lang w:eastAsia="en-IE"/>
              </w:rPr>
              <w:t>2013</w:t>
            </w:r>
          </w:p>
        </w:tc>
        <w:tc>
          <w:tcPr>
            <w:tcW w:w="1451" w:type="dxa"/>
            <w:tcBorders>
              <w:top w:val="nil"/>
              <w:left w:val="nil"/>
              <w:bottom w:val="nil"/>
              <w:right w:val="single" w:sz="8" w:space="0" w:color="auto"/>
            </w:tcBorders>
            <w:shd w:val="clear" w:color="auto" w:fill="auto"/>
            <w:noWrap/>
            <w:vAlign w:val="center"/>
            <w:hideMark/>
          </w:tcPr>
          <w:p w:rsidR="00B70292" w:rsidRPr="00B16CFE" w:rsidRDefault="00B70292" w:rsidP="000F6A09">
            <w:pPr>
              <w:spacing w:after="0" w:line="240" w:lineRule="auto"/>
              <w:rPr>
                <w:rFonts w:ascii="Calibri" w:eastAsia="Times New Roman" w:hAnsi="Calibri" w:cs="Calibri"/>
                <w:b/>
                <w:bCs/>
                <w:color w:val="000000"/>
                <w:lang w:eastAsia="en-IE"/>
              </w:rPr>
            </w:pPr>
            <w:r w:rsidRPr="00B16CFE">
              <w:rPr>
                <w:rFonts w:ascii="Calibri" w:eastAsia="Times New Roman" w:hAnsi="Calibri" w:cs="Calibri"/>
                <w:b/>
                <w:bCs/>
                <w:color w:val="000000"/>
                <w:lang w:eastAsia="en-IE"/>
              </w:rPr>
              <w:t>2014</w:t>
            </w:r>
          </w:p>
        </w:tc>
      </w:tr>
      <w:tr w:rsidR="00B70292" w:rsidRPr="00B16CFE" w:rsidTr="000F6A09">
        <w:trPr>
          <w:trHeight w:val="315"/>
        </w:trPr>
        <w:tc>
          <w:tcPr>
            <w:tcW w:w="1860" w:type="dxa"/>
            <w:tcBorders>
              <w:top w:val="nil"/>
              <w:left w:val="single" w:sz="8" w:space="0" w:color="auto"/>
              <w:bottom w:val="single" w:sz="8" w:space="0" w:color="auto"/>
              <w:right w:val="nil"/>
            </w:tcBorders>
            <w:shd w:val="clear" w:color="auto" w:fill="auto"/>
            <w:noWrap/>
            <w:vAlign w:val="center"/>
            <w:hideMark/>
          </w:tcPr>
          <w:p w:rsidR="00B70292" w:rsidRPr="00B16CFE" w:rsidRDefault="00B70292" w:rsidP="000F6A09">
            <w:pPr>
              <w:spacing w:after="0" w:line="240" w:lineRule="auto"/>
              <w:rPr>
                <w:rFonts w:ascii="Calibri" w:eastAsia="Times New Roman" w:hAnsi="Calibri" w:cs="Calibri"/>
                <w:b/>
                <w:bCs/>
                <w:color w:val="000000"/>
                <w:lang w:eastAsia="en-IE"/>
              </w:rPr>
            </w:pPr>
            <w:r w:rsidRPr="00B16CFE">
              <w:rPr>
                <w:rFonts w:ascii="Calibri" w:eastAsia="Times New Roman" w:hAnsi="Calibri" w:cs="Calibri"/>
                <w:b/>
                <w:bCs/>
                <w:color w:val="000000"/>
                <w:lang w:eastAsia="en-IE"/>
              </w:rPr>
              <w:t>Median</w:t>
            </w:r>
          </w:p>
        </w:tc>
        <w:tc>
          <w:tcPr>
            <w:tcW w:w="17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70292" w:rsidRPr="00130886" w:rsidRDefault="00B70292" w:rsidP="000F6A09">
            <w:pPr>
              <w:spacing w:after="0" w:line="240" w:lineRule="auto"/>
              <w:rPr>
                <w:rFonts w:ascii="Calibri" w:eastAsia="Times New Roman" w:hAnsi="Calibri" w:cs="Calibri"/>
                <w:b/>
                <w:color w:val="000000"/>
                <w:lang w:eastAsia="en-IE"/>
              </w:rPr>
            </w:pPr>
            <w:r w:rsidRPr="00130886">
              <w:rPr>
                <w:rFonts w:ascii="Calibri" w:eastAsia="Times New Roman" w:hAnsi="Calibri" w:cs="Calibri"/>
                <w:b/>
                <w:color w:val="000000"/>
                <w:lang w:eastAsia="en-IE"/>
              </w:rPr>
              <w:t>437</w:t>
            </w:r>
          </w:p>
        </w:tc>
        <w:tc>
          <w:tcPr>
            <w:tcW w:w="1418" w:type="dxa"/>
            <w:tcBorders>
              <w:top w:val="nil"/>
              <w:left w:val="nil"/>
              <w:bottom w:val="single" w:sz="8" w:space="0" w:color="auto"/>
              <w:right w:val="single" w:sz="8" w:space="0" w:color="auto"/>
            </w:tcBorders>
            <w:shd w:val="clear" w:color="auto" w:fill="auto"/>
            <w:noWrap/>
            <w:vAlign w:val="center"/>
            <w:hideMark/>
          </w:tcPr>
          <w:p w:rsidR="00B70292" w:rsidRPr="00130886" w:rsidRDefault="00B70292" w:rsidP="000F6A09">
            <w:pPr>
              <w:spacing w:after="0" w:line="240" w:lineRule="auto"/>
              <w:rPr>
                <w:rFonts w:ascii="Calibri" w:eastAsia="Times New Roman" w:hAnsi="Calibri" w:cs="Calibri"/>
                <w:b/>
                <w:color w:val="000000"/>
                <w:lang w:eastAsia="en-IE"/>
              </w:rPr>
            </w:pPr>
            <w:r w:rsidRPr="00130886">
              <w:rPr>
                <w:rFonts w:ascii="Calibri" w:eastAsia="Times New Roman" w:hAnsi="Calibri" w:cs="Calibri"/>
                <w:b/>
                <w:color w:val="000000"/>
                <w:lang w:eastAsia="en-IE"/>
              </w:rPr>
              <w:t>550</w:t>
            </w:r>
          </w:p>
        </w:tc>
        <w:tc>
          <w:tcPr>
            <w:tcW w:w="1451" w:type="dxa"/>
            <w:tcBorders>
              <w:top w:val="single" w:sz="8" w:space="0" w:color="auto"/>
              <w:left w:val="nil"/>
              <w:bottom w:val="single" w:sz="8" w:space="0" w:color="auto"/>
              <w:right w:val="single" w:sz="8" w:space="0" w:color="auto"/>
            </w:tcBorders>
            <w:shd w:val="clear" w:color="auto" w:fill="auto"/>
            <w:noWrap/>
            <w:vAlign w:val="center"/>
            <w:hideMark/>
          </w:tcPr>
          <w:p w:rsidR="00B70292" w:rsidRPr="00130886" w:rsidRDefault="00B70292" w:rsidP="000F6A09">
            <w:pPr>
              <w:spacing w:after="0" w:line="240" w:lineRule="auto"/>
              <w:rPr>
                <w:rFonts w:ascii="Calibri" w:eastAsia="Times New Roman" w:hAnsi="Calibri" w:cs="Calibri"/>
                <w:b/>
                <w:color w:val="000000"/>
                <w:lang w:eastAsia="en-IE"/>
              </w:rPr>
            </w:pPr>
            <w:r w:rsidRPr="00130886">
              <w:rPr>
                <w:rFonts w:ascii="Calibri" w:eastAsia="Times New Roman" w:hAnsi="Calibri" w:cs="Calibri"/>
                <w:b/>
                <w:color w:val="000000"/>
                <w:lang w:eastAsia="en-IE"/>
              </w:rPr>
              <w:t>397</w:t>
            </w:r>
          </w:p>
        </w:tc>
      </w:tr>
      <w:tr w:rsidR="00B70292" w:rsidRPr="00B16CFE" w:rsidTr="000F6A09">
        <w:trPr>
          <w:trHeight w:val="315"/>
        </w:trPr>
        <w:tc>
          <w:tcPr>
            <w:tcW w:w="1860" w:type="dxa"/>
            <w:tcBorders>
              <w:top w:val="nil"/>
              <w:left w:val="single" w:sz="8" w:space="0" w:color="auto"/>
              <w:bottom w:val="single" w:sz="8" w:space="0" w:color="auto"/>
              <w:right w:val="nil"/>
            </w:tcBorders>
            <w:shd w:val="clear" w:color="auto" w:fill="auto"/>
            <w:noWrap/>
            <w:vAlign w:val="center"/>
            <w:hideMark/>
          </w:tcPr>
          <w:p w:rsidR="00B70292" w:rsidRPr="00130886" w:rsidRDefault="00B70292" w:rsidP="000F6A09">
            <w:pPr>
              <w:spacing w:after="0" w:line="240" w:lineRule="auto"/>
              <w:rPr>
                <w:rFonts w:ascii="Calibri" w:eastAsia="Times New Roman" w:hAnsi="Calibri" w:cs="Calibri"/>
                <w:bCs/>
                <w:color w:val="000000"/>
                <w:lang w:eastAsia="en-IE"/>
              </w:rPr>
            </w:pPr>
            <w:r w:rsidRPr="00130886">
              <w:rPr>
                <w:rFonts w:ascii="Calibri" w:eastAsia="Times New Roman" w:hAnsi="Calibri" w:cs="Calibri"/>
                <w:bCs/>
                <w:color w:val="000000"/>
                <w:lang w:eastAsia="en-IE"/>
              </w:rPr>
              <w:t>Mean</w:t>
            </w:r>
          </w:p>
        </w:tc>
        <w:tc>
          <w:tcPr>
            <w:tcW w:w="17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70292" w:rsidRPr="00B16CFE" w:rsidRDefault="00B70292" w:rsidP="000F6A09">
            <w:pPr>
              <w:spacing w:after="0" w:line="240" w:lineRule="auto"/>
              <w:rPr>
                <w:rFonts w:ascii="Calibri" w:eastAsia="Times New Roman" w:hAnsi="Calibri" w:cs="Calibri"/>
                <w:color w:val="000000"/>
                <w:lang w:eastAsia="en-IE"/>
              </w:rPr>
            </w:pPr>
            <w:r w:rsidRPr="00B16CFE">
              <w:rPr>
                <w:rFonts w:ascii="Calibri" w:eastAsia="Times New Roman" w:hAnsi="Calibri" w:cs="Calibri"/>
                <w:color w:val="000000"/>
                <w:lang w:eastAsia="en-IE"/>
              </w:rPr>
              <w:t>585.91</w:t>
            </w:r>
          </w:p>
        </w:tc>
        <w:tc>
          <w:tcPr>
            <w:tcW w:w="1418" w:type="dxa"/>
            <w:tcBorders>
              <w:top w:val="nil"/>
              <w:left w:val="nil"/>
              <w:bottom w:val="single" w:sz="8" w:space="0" w:color="auto"/>
              <w:right w:val="single" w:sz="8" w:space="0" w:color="auto"/>
            </w:tcBorders>
            <w:shd w:val="clear" w:color="auto" w:fill="auto"/>
            <w:noWrap/>
            <w:vAlign w:val="center"/>
            <w:hideMark/>
          </w:tcPr>
          <w:p w:rsidR="00B70292" w:rsidRPr="00B16CFE" w:rsidRDefault="00B70292" w:rsidP="000F6A09">
            <w:pPr>
              <w:spacing w:after="0" w:line="240" w:lineRule="auto"/>
              <w:rPr>
                <w:rFonts w:ascii="Calibri" w:eastAsia="Times New Roman" w:hAnsi="Calibri" w:cs="Calibri"/>
                <w:color w:val="000000"/>
                <w:lang w:eastAsia="en-IE"/>
              </w:rPr>
            </w:pPr>
            <w:r w:rsidRPr="00B16CFE">
              <w:rPr>
                <w:rFonts w:ascii="Calibri" w:eastAsia="Times New Roman" w:hAnsi="Calibri" w:cs="Calibri"/>
                <w:color w:val="000000"/>
                <w:lang w:eastAsia="en-IE"/>
              </w:rPr>
              <w:t>642.97</w:t>
            </w:r>
          </w:p>
        </w:tc>
        <w:tc>
          <w:tcPr>
            <w:tcW w:w="1451" w:type="dxa"/>
            <w:tcBorders>
              <w:top w:val="nil"/>
              <w:left w:val="nil"/>
              <w:bottom w:val="single" w:sz="8" w:space="0" w:color="auto"/>
              <w:right w:val="single" w:sz="8" w:space="0" w:color="auto"/>
            </w:tcBorders>
            <w:shd w:val="clear" w:color="auto" w:fill="auto"/>
            <w:noWrap/>
            <w:vAlign w:val="center"/>
            <w:hideMark/>
          </w:tcPr>
          <w:p w:rsidR="00B70292" w:rsidRPr="00B16CFE" w:rsidRDefault="00B70292" w:rsidP="000F6A09">
            <w:pPr>
              <w:spacing w:after="0" w:line="240" w:lineRule="auto"/>
              <w:rPr>
                <w:rFonts w:ascii="Calibri" w:eastAsia="Times New Roman" w:hAnsi="Calibri" w:cs="Calibri"/>
                <w:color w:val="000000"/>
                <w:lang w:eastAsia="en-IE"/>
              </w:rPr>
            </w:pPr>
            <w:r w:rsidRPr="00B16CFE">
              <w:rPr>
                <w:rFonts w:ascii="Calibri" w:eastAsia="Times New Roman" w:hAnsi="Calibri" w:cs="Calibri"/>
                <w:color w:val="000000"/>
                <w:lang w:eastAsia="en-IE"/>
              </w:rPr>
              <w:t>598.48</w:t>
            </w:r>
          </w:p>
        </w:tc>
      </w:tr>
    </w:tbl>
    <w:p w:rsidR="00B70292" w:rsidRDefault="00B70292" w:rsidP="00B70292">
      <w:pPr>
        <w:spacing w:after="0" w:line="240" w:lineRule="auto"/>
        <w:rPr>
          <w:rFonts w:eastAsia="Times New Roman" w:cstheme="minorHAnsi"/>
          <w:b/>
          <w:bCs/>
          <w:color w:val="000000"/>
          <w:lang w:eastAsia="en-IE"/>
        </w:rPr>
      </w:pPr>
    </w:p>
    <w:p w:rsidR="00B70292" w:rsidRDefault="00B70292" w:rsidP="0076731A">
      <w:pPr>
        <w:pStyle w:val="PISectionHeading"/>
      </w:pPr>
    </w:p>
    <w:p w:rsidR="00CC0133" w:rsidRDefault="00CC0133" w:rsidP="0076731A">
      <w:pPr>
        <w:pStyle w:val="PISectionHeading"/>
      </w:pPr>
    </w:p>
    <w:p w:rsidR="00B70292" w:rsidRDefault="00B70292" w:rsidP="0076731A">
      <w:pPr>
        <w:pStyle w:val="PISectionHeading"/>
      </w:pPr>
    </w:p>
    <w:p w:rsidR="00B70292" w:rsidRDefault="00B70292" w:rsidP="0076731A">
      <w:pPr>
        <w:pStyle w:val="PISectionHeading"/>
      </w:pPr>
    </w:p>
    <w:p w:rsidR="007C65BB" w:rsidRPr="00C02C1F" w:rsidRDefault="007C65BB" w:rsidP="00C02C1F">
      <w:pPr>
        <w:pStyle w:val="PISectionHeading"/>
      </w:pPr>
      <w:bookmarkStart w:id="2" w:name="_Toc436926478"/>
      <w:r w:rsidRPr="00C02C1F">
        <w:lastRenderedPageBreak/>
        <w:t xml:space="preserve">Section </w:t>
      </w:r>
      <w:r w:rsidR="007C12D5">
        <w:t>2</w:t>
      </w:r>
      <w:r w:rsidR="003454C5" w:rsidRPr="00C02C1F">
        <w:t>: Roads</w:t>
      </w:r>
      <w:bookmarkEnd w:id="2"/>
    </w:p>
    <w:p w:rsidR="005375AB" w:rsidRPr="003E001D" w:rsidRDefault="00B70292" w:rsidP="005375AB">
      <w:pPr>
        <w:rPr>
          <w:rFonts w:cstheme="minorHAnsi"/>
        </w:rPr>
      </w:pPr>
      <w:r>
        <w:rPr>
          <w:rFonts w:cstheme="minorHAnsi"/>
          <w:b/>
        </w:rPr>
        <w:t>Table 5</w:t>
      </w:r>
      <w:r w:rsidR="00201EC9" w:rsidRPr="007C3912">
        <w:rPr>
          <w:rFonts w:cstheme="minorHAnsi"/>
          <w:b/>
        </w:rPr>
        <w:t>:</w:t>
      </w:r>
      <w:r w:rsidR="005375AB" w:rsidRPr="00B97E75">
        <w:rPr>
          <w:rFonts w:cstheme="minorHAnsi"/>
        </w:rPr>
        <w:t xml:space="preserve"> </w:t>
      </w:r>
      <w:r w:rsidR="001A12E4" w:rsidRPr="003E001D">
        <w:rPr>
          <w:rFonts w:eastAsia="Times New Roman" w:cstheme="minorHAnsi"/>
          <w:bCs/>
          <w:color w:val="000000"/>
          <w:lang w:eastAsia="en-IE"/>
        </w:rPr>
        <w:t xml:space="preserve">Percentage (based on length) of both </w:t>
      </w:r>
      <w:r w:rsidR="005375AB" w:rsidRPr="003E001D">
        <w:rPr>
          <w:rFonts w:eastAsia="Times New Roman" w:cstheme="minorHAnsi"/>
          <w:bCs/>
          <w:color w:val="000000"/>
          <w:lang w:eastAsia="en-IE"/>
        </w:rPr>
        <w:t>regional and local roads whose PSCI condition has been recorded as at 31/12/2014</w:t>
      </w:r>
    </w:p>
    <w:tbl>
      <w:tblPr>
        <w:tblW w:w="4860" w:type="dxa"/>
        <w:tblInd w:w="98" w:type="dxa"/>
        <w:tblLook w:val="04A0" w:firstRow="1" w:lastRow="0" w:firstColumn="1" w:lastColumn="0" w:noHBand="0" w:noVBand="1"/>
      </w:tblPr>
      <w:tblGrid>
        <w:gridCol w:w="2680"/>
        <w:gridCol w:w="1243"/>
        <w:gridCol w:w="1243"/>
      </w:tblGrid>
      <w:tr w:rsidR="00554F19" w:rsidRPr="00554F19" w:rsidTr="00771880">
        <w:trPr>
          <w:trHeight w:val="1215"/>
        </w:trPr>
        <w:tc>
          <w:tcPr>
            <w:tcW w:w="2680" w:type="dxa"/>
            <w:tcBorders>
              <w:top w:val="single" w:sz="8" w:space="0" w:color="4BACC6"/>
              <w:left w:val="single" w:sz="8" w:space="0" w:color="4BACC6"/>
              <w:bottom w:val="single" w:sz="12" w:space="0" w:color="4BACC6"/>
              <w:right w:val="single" w:sz="8" w:space="0" w:color="4BACC6"/>
            </w:tcBorders>
            <w:shd w:val="clear" w:color="auto" w:fill="auto"/>
            <w:noWrap/>
            <w:vAlign w:val="center"/>
            <w:hideMark/>
          </w:tcPr>
          <w:p w:rsidR="00554F19" w:rsidRPr="00554F19" w:rsidRDefault="00554F19" w:rsidP="00771880">
            <w:pPr>
              <w:spacing w:after="0" w:line="240" w:lineRule="auto"/>
              <w:rPr>
                <w:rFonts w:ascii="Calibri" w:eastAsia="Times New Roman" w:hAnsi="Calibri" w:cs="Calibri"/>
                <w:color w:val="000000"/>
                <w:lang w:eastAsia="en-IE"/>
              </w:rPr>
            </w:pPr>
            <w:r w:rsidRPr="00554F19">
              <w:rPr>
                <w:rFonts w:ascii="Calibri" w:eastAsia="Times New Roman" w:hAnsi="Calibri" w:cs="Calibri"/>
                <w:color w:val="000000"/>
                <w:lang w:eastAsia="en-IE"/>
              </w:rPr>
              <w:t> </w:t>
            </w:r>
          </w:p>
        </w:tc>
        <w:tc>
          <w:tcPr>
            <w:tcW w:w="1047" w:type="dxa"/>
            <w:tcBorders>
              <w:top w:val="single" w:sz="8" w:space="0" w:color="4BACC6"/>
              <w:left w:val="nil"/>
              <w:bottom w:val="single" w:sz="12" w:space="0" w:color="4BACC6"/>
              <w:right w:val="single" w:sz="8" w:space="0" w:color="4BACC6"/>
            </w:tcBorders>
            <w:shd w:val="clear" w:color="auto" w:fill="auto"/>
            <w:vAlign w:val="center"/>
            <w:hideMark/>
          </w:tcPr>
          <w:p w:rsidR="00554F19" w:rsidRPr="00554F19" w:rsidRDefault="00554F19" w:rsidP="00771880">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Overall Percentage Regional</w:t>
            </w:r>
          </w:p>
        </w:tc>
        <w:tc>
          <w:tcPr>
            <w:tcW w:w="1133" w:type="dxa"/>
            <w:tcBorders>
              <w:top w:val="single" w:sz="8" w:space="0" w:color="4BACC6"/>
              <w:left w:val="nil"/>
              <w:bottom w:val="single" w:sz="12" w:space="0" w:color="4BACC6"/>
              <w:right w:val="single" w:sz="8" w:space="0" w:color="4BACC6"/>
            </w:tcBorders>
            <w:shd w:val="clear" w:color="auto" w:fill="auto"/>
            <w:vAlign w:val="center"/>
            <w:hideMark/>
          </w:tcPr>
          <w:p w:rsidR="00554F19" w:rsidRPr="00554F19" w:rsidRDefault="00554F19" w:rsidP="00771880">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Overall Percentage Local</w:t>
            </w:r>
          </w:p>
        </w:tc>
      </w:tr>
      <w:tr w:rsidR="00554F19" w:rsidRPr="00554F19" w:rsidTr="00554F19">
        <w:trPr>
          <w:trHeight w:val="330"/>
        </w:trPr>
        <w:tc>
          <w:tcPr>
            <w:tcW w:w="2680" w:type="dxa"/>
            <w:tcBorders>
              <w:top w:val="nil"/>
              <w:left w:val="single" w:sz="8" w:space="0" w:color="4BACC6"/>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 </w:t>
            </w:r>
          </w:p>
        </w:tc>
        <w:tc>
          <w:tcPr>
            <w:tcW w:w="1047"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rPr>
                <w:rFonts w:ascii="Calibri" w:eastAsia="Times New Roman" w:hAnsi="Calibri" w:cs="Calibri"/>
                <w:color w:val="000000"/>
                <w:lang w:eastAsia="en-IE"/>
              </w:rPr>
            </w:pPr>
            <w:r w:rsidRPr="00554F19">
              <w:rPr>
                <w:rFonts w:ascii="Calibri" w:eastAsia="Times New Roman" w:hAnsi="Calibri" w:cs="Calibri"/>
                <w:color w:val="000000"/>
                <w:lang w:eastAsia="en-IE"/>
              </w:rPr>
              <w:t> </w:t>
            </w:r>
          </w:p>
        </w:tc>
        <w:tc>
          <w:tcPr>
            <w:tcW w:w="1133"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rPr>
                <w:rFonts w:ascii="Calibri" w:eastAsia="Times New Roman" w:hAnsi="Calibri" w:cs="Calibri"/>
                <w:color w:val="000000"/>
                <w:lang w:eastAsia="en-IE"/>
              </w:rPr>
            </w:pPr>
            <w:r w:rsidRPr="00554F19">
              <w:rPr>
                <w:rFonts w:ascii="Calibri" w:eastAsia="Times New Roman" w:hAnsi="Calibri" w:cs="Calibri"/>
                <w:color w:val="000000"/>
                <w:lang w:eastAsia="en-IE"/>
              </w:rPr>
              <w:t> </w:t>
            </w:r>
          </w:p>
        </w:tc>
      </w:tr>
      <w:tr w:rsidR="00554F19" w:rsidRPr="00554F19" w:rsidTr="00554F19">
        <w:trPr>
          <w:trHeight w:val="360"/>
        </w:trPr>
        <w:tc>
          <w:tcPr>
            <w:tcW w:w="2680" w:type="dxa"/>
            <w:tcBorders>
              <w:top w:val="nil"/>
              <w:left w:val="single" w:sz="8" w:space="0" w:color="4BACC6"/>
              <w:bottom w:val="single" w:sz="8" w:space="0" w:color="4BACC6"/>
              <w:right w:val="single" w:sz="8" w:space="0" w:color="4BACC6"/>
            </w:tcBorders>
            <w:shd w:val="clear" w:color="auto" w:fill="auto"/>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Carlow County</w:t>
            </w:r>
          </w:p>
        </w:tc>
        <w:tc>
          <w:tcPr>
            <w:tcW w:w="1047"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44</w:t>
            </w:r>
            <w:r w:rsidRPr="00554F19">
              <w:rPr>
                <w:rFonts w:ascii="Calibri" w:eastAsia="Times New Roman" w:hAnsi="Calibri" w:cs="Calibri"/>
                <w:color w:val="000000"/>
                <w:vertAlign w:val="superscript"/>
                <w:lang w:eastAsia="en-IE"/>
              </w:rPr>
              <w:t>a</w:t>
            </w:r>
          </w:p>
        </w:tc>
        <w:tc>
          <w:tcPr>
            <w:tcW w:w="1133"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86</w:t>
            </w:r>
          </w:p>
        </w:tc>
      </w:tr>
      <w:tr w:rsidR="00554F19" w:rsidRPr="00554F19" w:rsidTr="00554F19">
        <w:trPr>
          <w:trHeight w:val="315"/>
        </w:trPr>
        <w:tc>
          <w:tcPr>
            <w:tcW w:w="2680" w:type="dxa"/>
            <w:tcBorders>
              <w:top w:val="nil"/>
              <w:left w:val="single" w:sz="8" w:space="0" w:color="4BACC6"/>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Cavan County</w:t>
            </w:r>
          </w:p>
        </w:tc>
        <w:tc>
          <w:tcPr>
            <w:tcW w:w="1047"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100</w:t>
            </w:r>
          </w:p>
        </w:tc>
        <w:tc>
          <w:tcPr>
            <w:tcW w:w="1133"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100</w:t>
            </w:r>
          </w:p>
        </w:tc>
      </w:tr>
      <w:tr w:rsidR="00554F19" w:rsidRPr="00554F19" w:rsidTr="00554F19">
        <w:trPr>
          <w:trHeight w:val="315"/>
        </w:trPr>
        <w:tc>
          <w:tcPr>
            <w:tcW w:w="2680" w:type="dxa"/>
            <w:tcBorders>
              <w:top w:val="nil"/>
              <w:left w:val="single" w:sz="8" w:space="0" w:color="4BACC6"/>
              <w:bottom w:val="single" w:sz="8" w:space="0" w:color="4BACC6"/>
              <w:right w:val="single" w:sz="8" w:space="0" w:color="4BACC6"/>
            </w:tcBorders>
            <w:shd w:val="clear" w:color="auto" w:fill="auto"/>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Clare County</w:t>
            </w:r>
          </w:p>
        </w:tc>
        <w:tc>
          <w:tcPr>
            <w:tcW w:w="1047"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100</w:t>
            </w:r>
          </w:p>
        </w:tc>
        <w:tc>
          <w:tcPr>
            <w:tcW w:w="1133"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23</w:t>
            </w:r>
          </w:p>
        </w:tc>
      </w:tr>
      <w:tr w:rsidR="00554F19" w:rsidRPr="00554F19" w:rsidTr="00554F19">
        <w:trPr>
          <w:trHeight w:val="315"/>
        </w:trPr>
        <w:tc>
          <w:tcPr>
            <w:tcW w:w="2680" w:type="dxa"/>
            <w:tcBorders>
              <w:top w:val="nil"/>
              <w:left w:val="single" w:sz="8" w:space="0" w:color="4BACC6"/>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Cork City</w:t>
            </w:r>
          </w:p>
        </w:tc>
        <w:tc>
          <w:tcPr>
            <w:tcW w:w="1047"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jc w:val="center"/>
              <w:rPr>
                <w:rFonts w:ascii="Calibri" w:eastAsia="Times New Roman" w:hAnsi="Calibri" w:cs="Calibri"/>
                <w:color w:val="000000"/>
                <w:vertAlign w:val="superscript"/>
                <w:lang w:eastAsia="en-IE"/>
              </w:rPr>
            </w:pPr>
            <w:r w:rsidRPr="00554F19">
              <w:rPr>
                <w:rFonts w:ascii="Calibri" w:eastAsia="Times New Roman" w:hAnsi="Calibri" w:cs="Calibri"/>
                <w:color w:val="000000"/>
                <w:lang w:eastAsia="en-IE"/>
              </w:rPr>
              <w:t>0</w:t>
            </w:r>
            <w:r w:rsidR="00DB27B8">
              <w:rPr>
                <w:rFonts w:ascii="Calibri" w:eastAsia="Times New Roman" w:hAnsi="Calibri" w:cs="Calibri"/>
                <w:color w:val="000000"/>
                <w:vertAlign w:val="superscript"/>
                <w:lang w:eastAsia="en-IE"/>
              </w:rPr>
              <w:t>a</w:t>
            </w:r>
          </w:p>
        </w:tc>
        <w:tc>
          <w:tcPr>
            <w:tcW w:w="1133"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0</w:t>
            </w:r>
          </w:p>
        </w:tc>
      </w:tr>
      <w:tr w:rsidR="00554F19" w:rsidRPr="00554F19" w:rsidTr="00554F19">
        <w:trPr>
          <w:trHeight w:val="315"/>
        </w:trPr>
        <w:tc>
          <w:tcPr>
            <w:tcW w:w="2680" w:type="dxa"/>
            <w:tcBorders>
              <w:top w:val="nil"/>
              <w:left w:val="single" w:sz="8" w:space="0" w:color="4BACC6"/>
              <w:bottom w:val="single" w:sz="8" w:space="0" w:color="4BACC6"/>
              <w:right w:val="single" w:sz="8" w:space="0" w:color="4BACC6"/>
            </w:tcBorders>
            <w:shd w:val="clear" w:color="auto" w:fill="auto"/>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Cork County</w:t>
            </w:r>
          </w:p>
        </w:tc>
        <w:tc>
          <w:tcPr>
            <w:tcW w:w="1047"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39.37</w:t>
            </w:r>
          </w:p>
        </w:tc>
        <w:tc>
          <w:tcPr>
            <w:tcW w:w="1133"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75.51</w:t>
            </w:r>
          </w:p>
        </w:tc>
      </w:tr>
      <w:tr w:rsidR="00554F19" w:rsidRPr="00554F19" w:rsidTr="00554F19">
        <w:trPr>
          <w:trHeight w:val="360"/>
        </w:trPr>
        <w:tc>
          <w:tcPr>
            <w:tcW w:w="2680" w:type="dxa"/>
            <w:tcBorders>
              <w:top w:val="nil"/>
              <w:left w:val="single" w:sz="8" w:space="0" w:color="4BACC6"/>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Donegal County</w:t>
            </w:r>
          </w:p>
        </w:tc>
        <w:tc>
          <w:tcPr>
            <w:tcW w:w="1047"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100</w:t>
            </w:r>
            <w:r w:rsidR="00DB27B8">
              <w:rPr>
                <w:rFonts w:ascii="Calibri" w:eastAsia="Times New Roman" w:hAnsi="Calibri" w:cs="Calibri"/>
                <w:color w:val="000000"/>
                <w:vertAlign w:val="superscript"/>
                <w:lang w:eastAsia="en-IE"/>
              </w:rPr>
              <w:t>a</w:t>
            </w:r>
          </w:p>
        </w:tc>
        <w:tc>
          <w:tcPr>
            <w:tcW w:w="1133"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67.71</w:t>
            </w:r>
          </w:p>
        </w:tc>
      </w:tr>
      <w:tr w:rsidR="00554F19" w:rsidRPr="00554F19" w:rsidTr="00554F19">
        <w:trPr>
          <w:trHeight w:val="315"/>
        </w:trPr>
        <w:tc>
          <w:tcPr>
            <w:tcW w:w="2680" w:type="dxa"/>
            <w:tcBorders>
              <w:top w:val="nil"/>
              <w:left w:val="single" w:sz="8" w:space="0" w:color="4BACC6"/>
              <w:bottom w:val="single" w:sz="8" w:space="0" w:color="4BACC6"/>
              <w:right w:val="single" w:sz="8" w:space="0" w:color="4BACC6"/>
            </w:tcBorders>
            <w:shd w:val="clear" w:color="auto" w:fill="auto"/>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Dublin City</w:t>
            </w:r>
          </w:p>
        </w:tc>
        <w:tc>
          <w:tcPr>
            <w:tcW w:w="1047"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12.3</w:t>
            </w:r>
          </w:p>
        </w:tc>
        <w:tc>
          <w:tcPr>
            <w:tcW w:w="1133"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87.04</w:t>
            </w:r>
          </w:p>
        </w:tc>
      </w:tr>
      <w:tr w:rsidR="00554F19" w:rsidRPr="00554F19" w:rsidTr="00554F19">
        <w:trPr>
          <w:trHeight w:val="360"/>
        </w:trPr>
        <w:tc>
          <w:tcPr>
            <w:tcW w:w="2680" w:type="dxa"/>
            <w:tcBorders>
              <w:top w:val="nil"/>
              <w:left w:val="single" w:sz="8" w:space="0" w:color="4BACC6"/>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 xml:space="preserve">Dun Laoghaire </w:t>
            </w:r>
            <w:proofErr w:type="spellStart"/>
            <w:r w:rsidRPr="00554F19">
              <w:rPr>
                <w:rFonts w:ascii="Calibri" w:eastAsia="Times New Roman" w:hAnsi="Calibri" w:cs="Calibri"/>
                <w:b/>
                <w:bCs/>
                <w:color w:val="000000"/>
                <w:lang w:eastAsia="en-IE"/>
              </w:rPr>
              <w:t>Rathdown</w:t>
            </w:r>
            <w:proofErr w:type="spellEnd"/>
          </w:p>
        </w:tc>
        <w:tc>
          <w:tcPr>
            <w:tcW w:w="1047"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N/A</w:t>
            </w:r>
          </w:p>
        </w:tc>
        <w:tc>
          <w:tcPr>
            <w:tcW w:w="1133"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N/A</w:t>
            </w:r>
          </w:p>
        </w:tc>
      </w:tr>
      <w:tr w:rsidR="00554F19" w:rsidRPr="00554F19" w:rsidTr="00554F19">
        <w:trPr>
          <w:trHeight w:val="315"/>
        </w:trPr>
        <w:tc>
          <w:tcPr>
            <w:tcW w:w="2680" w:type="dxa"/>
            <w:tcBorders>
              <w:top w:val="nil"/>
              <w:left w:val="single" w:sz="8" w:space="0" w:color="4BACC6"/>
              <w:bottom w:val="single" w:sz="8" w:space="0" w:color="4BACC6"/>
              <w:right w:val="single" w:sz="8" w:space="0" w:color="4BACC6"/>
            </w:tcBorders>
            <w:shd w:val="clear" w:color="auto" w:fill="auto"/>
            <w:noWrap/>
            <w:hideMark/>
          </w:tcPr>
          <w:p w:rsidR="00554F19" w:rsidRPr="00554F19" w:rsidRDefault="00554F19" w:rsidP="00554F19">
            <w:pPr>
              <w:spacing w:after="0" w:line="240" w:lineRule="auto"/>
              <w:rPr>
                <w:rFonts w:ascii="Calibri" w:eastAsia="Times New Roman" w:hAnsi="Calibri" w:cs="Calibri"/>
                <w:b/>
                <w:bCs/>
                <w:color w:val="000000"/>
                <w:lang w:eastAsia="en-IE"/>
              </w:rPr>
            </w:pPr>
            <w:proofErr w:type="spellStart"/>
            <w:r w:rsidRPr="00554F19">
              <w:rPr>
                <w:rFonts w:ascii="Calibri" w:eastAsia="Times New Roman" w:hAnsi="Calibri" w:cs="Calibri"/>
                <w:b/>
                <w:bCs/>
                <w:color w:val="000000"/>
                <w:lang w:eastAsia="en-IE"/>
              </w:rPr>
              <w:t>Fingal</w:t>
            </w:r>
            <w:proofErr w:type="spellEnd"/>
            <w:r w:rsidRPr="00554F19">
              <w:rPr>
                <w:rFonts w:ascii="Calibri" w:eastAsia="Times New Roman" w:hAnsi="Calibri" w:cs="Calibri"/>
                <w:b/>
                <w:bCs/>
                <w:color w:val="000000"/>
                <w:lang w:eastAsia="en-IE"/>
              </w:rPr>
              <w:t xml:space="preserve"> County</w:t>
            </w:r>
          </w:p>
        </w:tc>
        <w:tc>
          <w:tcPr>
            <w:tcW w:w="1047"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N/A</w:t>
            </w:r>
          </w:p>
        </w:tc>
        <w:tc>
          <w:tcPr>
            <w:tcW w:w="1133"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N/A</w:t>
            </w:r>
          </w:p>
        </w:tc>
      </w:tr>
      <w:tr w:rsidR="00554F19" w:rsidRPr="00554F19" w:rsidTr="00554F19">
        <w:trPr>
          <w:trHeight w:val="315"/>
        </w:trPr>
        <w:tc>
          <w:tcPr>
            <w:tcW w:w="2680" w:type="dxa"/>
            <w:tcBorders>
              <w:top w:val="nil"/>
              <w:left w:val="single" w:sz="8" w:space="0" w:color="4BACC6"/>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Galway City</w:t>
            </w:r>
          </w:p>
        </w:tc>
        <w:tc>
          <w:tcPr>
            <w:tcW w:w="1047"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0</w:t>
            </w:r>
          </w:p>
        </w:tc>
        <w:tc>
          <w:tcPr>
            <w:tcW w:w="1133"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0</w:t>
            </w:r>
          </w:p>
        </w:tc>
      </w:tr>
      <w:tr w:rsidR="00554F19" w:rsidRPr="00554F19" w:rsidTr="00554F19">
        <w:trPr>
          <w:trHeight w:val="315"/>
        </w:trPr>
        <w:tc>
          <w:tcPr>
            <w:tcW w:w="2680" w:type="dxa"/>
            <w:tcBorders>
              <w:top w:val="nil"/>
              <w:left w:val="single" w:sz="8" w:space="0" w:color="4BACC6"/>
              <w:bottom w:val="single" w:sz="8" w:space="0" w:color="4BACC6"/>
              <w:right w:val="single" w:sz="8" w:space="0" w:color="4BACC6"/>
            </w:tcBorders>
            <w:shd w:val="clear" w:color="auto" w:fill="auto"/>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Galway County</w:t>
            </w:r>
          </w:p>
        </w:tc>
        <w:tc>
          <w:tcPr>
            <w:tcW w:w="1047"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100</w:t>
            </w:r>
          </w:p>
        </w:tc>
        <w:tc>
          <w:tcPr>
            <w:tcW w:w="1133"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100</w:t>
            </w:r>
          </w:p>
        </w:tc>
      </w:tr>
      <w:tr w:rsidR="00554F19" w:rsidRPr="00554F19" w:rsidTr="00554F19">
        <w:trPr>
          <w:trHeight w:val="315"/>
        </w:trPr>
        <w:tc>
          <w:tcPr>
            <w:tcW w:w="2680" w:type="dxa"/>
            <w:tcBorders>
              <w:top w:val="nil"/>
              <w:left w:val="single" w:sz="8" w:space="0" w:color="4BACC6"/>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Kerry County</w:t>
            </w:r>
          </w:p>
        </w:tc>
        <w:tc>
          <w:tcPr>
            <w:tcW w:w="1047"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75.69</w:t>
            </w:r>
          </w:p>
        </w:tc>
        <w:tc>
          <w:tcPr>
            <w:tcW w:w="1133"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51.28</w:t>
            </w:r>
          </w:p>
        </w:tc>
      </w:tr>
      <w:tr w:rsidR="00554F19" w:rsidRPr="00554F19" w:rsidTr="00554F19">
        <w:trPr>
          <w:trHeight w:val="315"/>
        </w:trPr>
        <w:tc>
          <w:tcPr>
            <w:tcW w:w="2680" w:type="dxa"/>
            <w:tcBorders>
              <w:top w:val="nil"/>
              <w:left w:val="single" w:sz="8" w:space="0" w:color="4BACC6"/>
              <w:bottom w:val="single" w:sz="8" w:space="0" w:color="4BACC6"/>
              <w:right w:val="single" w:sz="8" w:space="0" w:color="4BACC6"/>
            </w:tcBorders>
            <w:shd w:val="clear" w:color="auto" w:fill="auto"/>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Kildare County</w:t>
            </w:r>
          </w:p>
        </w:tc>
        <w:tc>
          <w:tcPr>
            <w:tcW w:w="1047"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12.1</w:t>
            </w:r>
          </w:p>
        </w:tc>
        <w:tc>
          <w:tcPr>
            <w:tcW w:w="1133"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33.79</w:t>
            </w:r>
          </w:p>
        </w:tc>
      </w:tr>
      <w:tr w:rsidR="00554F19" w:rsidRPr="00554F19" w:rsidTr="00554F19">
        <w:trPr>
          <w:trHeight w:val="315"/>
        </w:trPr>
        <w:tc>
          <w:tcPr>
            <w:tcW w:w="2680" w:type="dxa"/>
            <w:tcBorders>
              <w:top w:val="nil"/>
              <w:left w:val="single" w:sz="8" w:space="0" w:color="4BACC6"/>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Kilkenny County</w:t>
            </w:r>
          </w:p>
        </w:tc>
        <w:tc>
          <w:tcPr>
            <w:tcW w:w="1047"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5</w:t>
            </w:r>
          </w:p>
        </w:tc>
        <w:tc>
          <w:tcPr>
            <w:tcW w:w="1133"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44.5</w:t>
            </w:r>
          </w:p>
        </w:tc>
      </w:tr>
      <w:tr w:rsidR="00554F19" w:rsidRPr="00554F19" w:rsidTr="00554F19">
        <w:trPr>
          <w:trHeight w:val="315"/>
        </w:trPr>
        <w:tc>
          <w:tcPr>
            <w:tcW w:w="2680" w:type="dxa"/>
            <w:tcBorders>
              <w:top w:val="nil"/>
              <w:left w:val="single" w:sz="8" w:space="0" w:color="4BACC6"/>
              <w:bottom w:val="single" w:sz="8" w:space="0" w:color="4BACC6"/>
              <w:right w:val="single" w:sz="8" w:space="0" w:color="4BACC6"/>
            </w:tcBorders>
            <w:shd w:val="clear" w:color="auto" w:fill="auto"/>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Laois County</w:t>
            </w:r>
          </w:p>
        </w:tc>
        <w:tc>
          <w:tcPr>
            <w:tcW w:w="1047"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87</w:t>
            </w:r>
          </w:p>
        </w:tc>
        <w:tc>
          <w:tcPr>
            <w:tcW w:w="1133"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73</w:t>
            </w:r>
          </w:p>
        </w:tc>
      </w:tr>
      <w:tr w:rsidR="00554F19" w:rsidRPr="00554F19" w:rsidTr="00554F19">
        <w:trPr>
          <w:trHeight w:val="360"/>
        </w:trPr>
        <w:tc>
          <w:tcPr>
            <w:tcW w:w="2680" w:type="dxa"/>
            <w:tcBorders>
              <w:top w:val="nil"/>
              <w:left w:val="single" w:sz="8" w:space="0" w:color="4BACC6"/>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Leitrim County</w:t>
            </w:r>
          </w:p>
        </w:tc>
        <w:tc>
          <w:tcPr>
            <w:tcW w:w="1047"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8</w:t>
            </w:r>
          </w:p>
        </w:tc>
        <w:tc>
          <w:tcPr>
            <w:tcW w:w="1133"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55</w:t>
            </w:r>
          </w:p>
        </w:tc>
      </w:tr>
      <w:tr w:rsidR="00554F19" w:rsidRPr="00554F19" w:rsidTr="00554F19">
        <w:trPr>
          <w:trHeight w:val="360"/>
        </w:trPr>
        <w:tc>
          <w:tcPr>
            <w:tcW w:w="2680" w:type="dxa"/>
            <w:tcBorders>
              <w:top w:val="nil"/>
              <w:left w:val="single" w:sz="8" w:space="0" w:color="4BACC6"/>
              <w:bottom w:val="single" w:sz="8" w:space="0" w:color="4BACC6"/>
              <w:right w:val="single" w:sz="8" w:space="0" w:color="4BACC6"/>
            </w:tcBorders>
            <w:shd w:val="clear" w:color="auto" w:fill="auto"/>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Limerick City &amp; County</w:t>
            </w:r>
          </w:p>
        </w:tc>
        <w:tc>
          <w:tcPr>
            <w:tcW w:w="1047"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31</w:t>
            </w:r>
            <w:r w:rsidR="00DB27B8">
              <w:rPr>
                <w:rFonts w:ascii="Calibri" w:eastAsia="Times New Roman" w:hAnsi="Calibri" w:cs="Calibri"/>
                <w:color w:val="000000"/>
                <w:vertAlign w:val="superscript"/>
                <w:lang w:eastAsia="en-IE"/>
              </w:rPr>
              <w:t>a</w:t>
            </w:r>
          </w:p>
        </w:tc>
        <w:tc>
          <w:tcPr>
            <w:tcW w:w="1133"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87</w:t>
            </w:r>
          </w:p>
        </w:tc>
      </w:tr>
      <w:tr w:rsidR="00554F19" w:rsidRPr="00554F19" w:rsidTr="00554F19">
        <w:trPr>
          <w:trHeight w:val="315"/>
        </w:trPr>
        <w:tc>
          <w:tcPr>
            <w:tcW w:w="2680" w:type="dxa"/>
            <w:tcBorders>
              <w:top w:val="nil"/>
              <w:left w:val="single" w:sz="8" w:space="0" w:color="4BACC6"/>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Longford County</w:t>
            </w:r>
          </w:p>
        </w:tc>
        <w:tc>
          <w:tcPr>
            <w:tcW w:w="1047"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32.5</w:t>
            </w:r>
          </w:p>
        </w:tc>
        <w:tc>
          <w:tcPr>
            <w:tcW w:w="1133"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11.5</w:t>
            </w:r>
          </w:p>
        </w:tc>
      </w:tr>
      <w:tr w:rsidR="00554F19" w:rsidRPr="00554F19" w:rsidTr="00554F19">
        <w:trPr>
          <w:trHeight w:val="315"/>
        </w:trPr>
        <w:tc>
          <w:tcPr>
            <w:tcW w:w="2680" w:type="dxa"/>
            <w:tcBorders>
              <w:top w:val="nil"/>
              <w:left w:val="single" w:sz="8" w:space="0" w:color="4BACC6"/>
              <w:bottom w:val="single" w:sz="8" w:space="0" w:color="4BACC6"/>
              <w:right w:val="single" w:sz="8" w:space="0" w:color="4BACC6"/>
            </w:tcBorders>
            <w:shd w:val="clear" w:color="auto" w:fill="auto"/>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Louth County</w:t>
            </w:r>
          </w:p>
        </w:tc>
        <w:tc>
          <w:tcPr>
            <w:tcW w:w="1047"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8.82</w:t>
            </w:r>
          </w:p>
        </w:tc>
        <w:tc>
          <w:tcPr>
            <w:tcW w:w="1133"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65.46</w:t>
            </w:r>
          </w:p>
        </w:tc>
      </w:tr>
      <w:tr w:rsidR="00554F19" w:rsidRPr="00554F19" w:rsidTr="00554F19">
        <w:trPr>
          <w:trHeight w:val="315"/>
        </w:trPr>
        <w:tc>
          <w:tcPr>
            <w:tcW w:w="2680" w:type="dxa"/>
            <w:tcBorders>
              <w:top w:val="nil"/>
              <w:left w:val="single" w:sz="8" w:space="0" w:color="4BACC6"/>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Mayo County</w:t>
            </w:r>
          </w:p>
        </w:tc>
        <w:tc>
          <w:tcPr>
            <w:tcW w:w="1047"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21.07</w:t>
            </w:r>
          </w:p>
        </w:tc>
        <w:tc>
          <w:tcPr>
            <w:tcW w:w="1133"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15.48</w:t>
            </w:r>
          </w:p>
        </w:tc>
      </w:tr>
      <w:tr w:rsidR="00554F19" w:rsidRPr="00554F19" w:rsidTr="00554F19">
        <w:trPr>
          <w:trHeight w:val="315"/>
        </w:trPr>
        <w:tc>
          <w:tcPr>
            <w:tcW w:w="2680" w:type="dxa"/>
            <w:tcBorders>
              <w:top w:val="nil"/>
              <w:left w:val="single" w:sz="8" w:space="0" w:color="4BACC6"/>
              <w:bottom w:val="single" w:sz="8" w:space="0" w:color="4BACC6"/>
              <w:right w:val="single" w:sz="8" w:space="0" w:color="4BACC6"/>
            </w:tcBorders>
            <w:shd w:val="clear" w:color="auto" w:fill="auto"/>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Meath County</w:t>
            </w:r>
          </w:p>
        </w:tc>
        <w:tc>
          <w:tcPr>
            <w:tcW w:w="1047"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0</w:t>
            </w:r>
          </w:p>
        </w:tc>
        <w:tc>
          <w:tcPr>
            <w:tcW w:w="1133"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0</w:t>
            </w:r>
          </w:p>
        </w:tc>
      </w:tr>
      <w:tr w:rsidR="00554F19" w:rsidRPr="00554F19" w:rsidTr="00554F19">
        <w:trPr>
          <w:trHeight w:val="315"/>
        </w:trPr>
        <w:tc>
          <w:tcPr>
            <w:tcW w:w="2680" w:type="dxa"/>
            <w:tcBorders>
              <w:top w:val="nil"/>
              <w:left w:val="single" w:sz="8" w:space="0" w:color="4BACC6"/>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Monaghan County</w:t>
            </w:r>
          </w:p>
        </w:tc>
        <w:tc>
          <w:tcPr>
            <w:tcW w:w="1047"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100</w:t>
            </w:r>
          </w:p>
        </w:tc>
        <w:tc>
          <w:tcPr>
            <w:tcW w:w="1133"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100</w:t>
            </w:r>
          </w:p>
        </w:tc>
      </w:tr>
      <w:tr w:rsidR="00554F19" w:rsidRPr="00554F19" w:rsidTr="00554F19">
        <w:trPr>
          <w:trHeight w:val="315"/>
        </w:trPr>
        <w:tc>
          <w:tcPr>
            <w:tcW w:w="2680" w:type="dxa"/>
            <w:tcBorders>
              <w:top w:val="nil"/>
              <w:left w:val="single" w:sz="8" w:space="0" w:color="4BACC6"/>
              <w:bottom w:val="single" w:sz="8" w:space="0" w:color="4BACC6"/>
              <w:right w:val="single" w:sz="8" w:space="0" w:color="4BACC6"/>
            </w:tcBorders>
            <w:shd w:val="clear" w:color="auto" w:fill="auto"/>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Offaly County</w:t>
            </w:r>
          </w:p>
        </w:tc>
        <w:tc>
          <w:tcPr>
            <w:tcW w:w="1047"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64</w:t>
            </w:r>
          </w:p>
        </w:tc>
        <w:tc>
          <w:tcPr>
            <w:tcW w:w="1133"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89</w:t>
            </w:r>
          </w:p>
        </w:tc>
      </w:tr>
      <w:tr w:rsidR="00554F19" w:rsidRPr="00554F19" w:rsidTr="00554F19">
        <w:trPr>
          <w:trHeight w:val="315"/>
        </w:trPr>
        <w:tc>
          <w:tcPr>
            <w:tcW w:w="2680" w:type="dxa"/>
            <w:tcBorders>
              <w:top w:val="nil"/>
              <w:left w:val="single" w:sz="8" w:space="0" w:color="4BACC6"/>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Roscommon County</w:t>
            </w:r>
          </w:p>
        </w:tc>
        <w:tc>
          <w:tcPr>
            <w:tcW w:w="1047"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100</w:t>
            </w:r>
          </w:p>
        </w:tc>
        <w:tc>
          <w:tcPr>
            <w:tcW w:w="1133"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0</w:t>
            </w:r>
          </w:p>
        </w:tc>
      </w:tr>
      <w:tr w:rsidR="00554F19" w:rsidRPr="00554F19" w:rsidTr="00554F19">
        <w:trPr>
          <w:trHeight w:val="315"/>
        </w:trPr>
        <w:tc>
          <w:tcPr>
            <w:tcW w:w="2680" w:type="dxa"/>
            <w:tcBorders>
              <w:top w:val="nil"/>
              <w:left w:val="single" w:sz="8" w:space="0" w:color="4BACC6"/>
              <w:bottom w:val="single" w:sz="8" w:space="0" w:color="4BACC6"/>
              <w:right w:val="single" w:sz="8" w:space="0" w:color="4BACC6"/>
            </w:tcBorders>
            <w:shd w:val="clear" w:color="auto" w:fill="auto"/>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Sligo County</w:t>
            </w:r>
          </w:p>
        </w:tc>
        <w:tc>
          <w:tcPr>
            <w:tcW w:w="1047"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100</w:t>
            </w:r>
          </w:p>
        </w:tc>
        <w:tc>
          <w:tcPr>
            <w:tcW w:w="1133"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100</w:t>
            </w:r>
          </w:p>
        </w:tc>
      </w:tr>
      <w:tr w:rsidR="00554F19" w:rsidRPr="00554F19" w:rsidTr="00554F19">
        <w:trPr>
          <w:trHeight w:val="315"/>
        </w:trPr>
        <w:tc>
          <w:tcPr>
            <w:tcW w:w="2680" w:type="dxa"/>
            <w:tcBorders>
              <w:top w:val="nil"/>
              <w:left w:val="single" w:sz="8" w:space="0" w:color="4BACC6"/>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South Dublin County</w:t>
            </w:r>
          </w:p>
        </w:tc>
        <w:tc>
          <w:tcPr>
            <w:tcW w:w="1047"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N/A</w:t>
            </w:r>
          </w:p>
        </w:tc>
        <w:tc>
          <w:tcPr>
            <w:tcW w:w="1133"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N/A</w:t>
            </w:r>
          </w:p>
        </w:tc>
      </w:tr>
      <w:tr w:rsidR="00554F19" w:rsidRPr="00554F19" w:rsidTr="00554F19">
        <w:trPr>
          <w:trHeight w:val="315"/>
        </w:trPr>
        <w:tc>
          <w:tcPr>
            <w:tcW w:w="2680" w:type="dxa"/>
            <w:tcBorders>
              <w:top w:val="nil"/>
              <w:left w:val="single" w:sz="8" w:space="0" w:color="4BACC6"/>
              <w:bottom w:val="single" w:sz="8" w:space="0" w:color="4BACC6"/>
              <w:right w:val="single" w:sz="8" w:space="0" w:color="4BACC6"/>
            </w:tcBorders>
            <w:shd w:val="clear" w:color="auto" w:fill="auto"/>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Tipperary County</w:t>
            </w:r>
          </w:p>
        </w:tc>
        <w:tc>
          <w:tcPr>
            <w:tcW w:w="1047"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68</w:t>
            </w:r>
          </w:p>
        </w:tc>
        <w:tc>
          <w:tcPr>
            <w:tcW w:w="1133"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71</w:t>
            </w:r>
          </w:p>
        </w:tc>
      </w:tr>
      <w:tr w:rsidR="00554F19" w:rsidRPr="00554F19" w:rsidTr="00554F19">
        <w:trPr>
          <w:trHeight w:val="315"/>
        </w:trPr>
        <w:tc>
          <w:tcPr>
            <w:tcW w:w="2680" w:type="dxa"/>
            <w:tcBorders>
              <w:top w:val="nil"/>
              <w:left w:val="single" w:sz="8" w:space="0" w:color="4BACC6"/>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Waterford City &amp; County</w:t>
            </w:r>
          </w:p>
        </w:tc>
        <w:tc>
          <w:tcPr>
            <w:tcW w:w="1047" w:type="dxa"/>
            <w:tcBorders>
              <w:top w:val="nil"/>
              <w:left w:val="nil"/>
              <w:bottom w:val="single" w:sz="8" w:space="0" w:color="4BACC6"/>
              <w:right w:val="single" w:sz="8" w:space="0" w:color="4BACC6"/>
            </w:tcBorders>
            <w:shd w:val="clear" w:color="000000" w:fill="D2EAF1"/>
            <w:noWrap/>
            <w:hideMark/>
          </w:tcPr>
          <w:p w:rsidR="00554F19" w:rsidRPr="00554F19" w:rsidRDefault="004B3016" w:rsidP="00554F19">
            <w:pPr>
              <w:spacing w:after="0" w:line="240" w:lineRule="auto"/>
              <w:jc w:val="center"/>
              <w:rPr>
                <w:rFonts w:ascii="Calibri" w:eastAsia="Times New Roman" w:hAnsi="Calibri" w:cs="Calibri"/>
                <w:color w:val="000000"/>
                <w:lang w:eastAsia="en-IE"/>
              </w:rPr>
            </w:pPr>
            <w:r>
              <w:rPr>
                <w:rFonts w:ascii="Calibri" w:eastAsia="Times New Roman" w:hAnsi="Calibri" w:cs="Calibri"/>
                <w:color w:val="000000"/>
                <w:lang w:eastAsia="en-IE"/>
              </w:rPr>
              <w:t>92</w:t>
            </w:r>
          </w:p>
        </w:tc>
        <w:tc>
          <w:tcPr>
            <w:tcW w:w="1133" w:type="dxa"/>
            <w:tcBorders>
              <w:top w:val="nil"/>
              <w:left w:val="nil"/>
              <w:bottom w:val="single" w:sz="8" w:space="0" w:color="4BACC6"/>
              <w:right w:val="single" w:sz="8" w:space="0" w:color="4BACC6"/>
            </w:tcBorders>
            <w:shd w:val="clear" w:color="000000" w:fill="D2EAF1"/>
            <w:noWrap/>
            <w:hideMark/>
          </w:tcPr>
          <w:p w:rsidR="00554F19" w:rsidRPr="00554F19" w:rsidRDefault="004B3016" w:rsidP="00554F19">
            <w:pPr>
              <w:spacing w:after="0" w:line="240" w:lineRule="auto"/>
              <w:jc w:val="center"/>
              <w:rPr>
                <w:rFonts w:ascii="Calibri" w:eastAsia="Times New Roman" w:hAnsi="Calibri" w:cs="Calibri"/>
                <w:color w:val="000000"/>
                <w:lang w:eastAsia="en-IE"/>
              </w:rPr>
            </w:pPr>
            <w:r>
              <w:rPr>
                <w:rFonts w:ascii="Calibri" w:eastAsia="Times New Roman" w:hAnsi="Calibri" w:cs="Calibri"/>
                <w:color w:val="000000"/>
                <w:lang w:eastAsia="en-IE"/>
              </w:rPr>
              <w:t>85</w:t>
            </w:r>
          </w:p>
        </w:tc>
      </w:tr>
      <w:tr w:rsidR="00554F19" w:rsidRPr="00554F19" w:rsidTr="00554F19">
        <w:trPr>
          <w:trHeight w:val="315"/>
        </w:trPr>
        <w:tc>
          <w:tcPr>
            <w:tcW w:w="2680" w:type="dxa"/>
            <w:tcBorders>
              <w:top w:val="nil"/>
              <w:left w:val="single" w:sz="8" w:space="0" w:color="4BACC6"/>
              <w:bottom w:val="single" w:sz="8" w:space="0" w:color="4BACC6"/>
              <w:right w:val="single" w:sz="8" w:space="0" w:color="4BACC6"/>
            </w:tcBorders>
            <w:shd w:val="clear" w:color="auto" w:fill="auto"/>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Westmeath County</w:t>
            </w:r>
          </w:p>
        </w:tc>
        <w:tc>
          <w:tcPr>
            <w:tcW w:w="1047"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22.32</w:t>
            </w:r>
          </w:p>
        </w:tc>
        <w:tc>
          <w:tcPr>
            <w:tcW w:w="1133"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23.45</w:t>
            </w:r>
          </w:p>
        </w:tc>
      </w:tr>
      <w:tr w:rsidR="00554F19" w:rsidRPr="00554F19" w:rsidTr="00554F19">
        <w:trPr>
          <w:trHeight w:val="315"/>
        </w:trPr>
        <w:tc>
          <w:tcPr>
            <w:tcW w:w="2680" w:type="dxa"/>
            <w:tcBorders>
              <w:top w:val="nil"/>
              <w:left w:val="single" w:sz="8" w:space="0" w:color="4BACC6"/>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Wexford County</w:t>
            </w:r>
          </w:p>
        </w:tc>
        <w:tc>
          <w:tcPr>
            <w:tcW w:w="1047"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51.8</w:t>
            </w:r>
          </w:p>
        </w:tc>
        <w:tc>
          <w:tcPr>
            <w:tcW w:w="1133" w:type="dxa"/>
            <w:tcBorders>
              <w:top w:val="nil"/>
              <w:left w:val="nil"/>
              <w:bottom w:val="single" w:sz="8" w:space="0" w:color="4BACC6"/>
              <w:right w:val="single" w:sz="8" w:space="0" w:color="4BACC6"/>
            </w:tcBorders>
            <w:shd w:val="clear" w:color="000000" w:fill="D2EAF1"/>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40.6</w:t>
            </w:r>
          </w:p>
        </w:tc>
      </w:tr>
      <w:tr w:rsidR="00554F19" w:rsidRPr="00554F19" w:rsidTr="00554F19">
        <w:trPr>
          <w:trHeight w:val="315"/>
        </w:trPr>
        <w:tc>
          <w:tcPr>
            <w:tcW w:w="2680" w:type="dxa"/>
            <w:tcBorders>
              <w:top w:val="nil"/>
              <w:left w:val="single" w:sz="8" w:space="0" w:color="4BACC6"/>
              <w:bottom w:val="single" w:sz="8" w:space="0" w:color="4BACC6"/>
              <w:right w:val="single" w:sz="8" w:space="0" w:color="4BACC6"/>
            </w:tcBorders>
            <w:shd w:val="clear" w:color="auto" w:fill="auto"/>
            <w:noWrap/>
            <w:hideMark/>
          </w:tcPr>
          <w:p w:rsidR="00554F19" w:rsidRPr="00554F19" w:rsidRDefault="00554F19" w:rsidP="00554F19">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Wicklow County</w:t>
            </w:r>
          </w:p>
        </w:tc>
        <w:tc>
          <w:tcPr>
            <w:tcW w:w="1047"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100</w:t>
            </w:r>
          </w:p>
        </w:tc>
        <w:tc>
          <w:tcPr>
            <w:tcW w:w="1133" w:type="dxa"/>
            <w:tcBorders>
              <w:top w:val="nil"/>
              <w:left w:val="nil"/>
              <w:bottom w:val="single" w:sz="8" w:space="0" w:color="4BACC6"/>
              <w:right w:val="single" w:sz="8" w:space="0" w:color="4BACC6"/>
            </w:tcBorders>
            <w:shd w:val="clear" w:color="auto" w:fill="auto"/>
            <w:noWrap/>
            <w:hideMark/>
          </w:tcPr>
          <w:p w:rsidR="00554F19" w:rsidRPr="00554F19" w:rsidRDefault="00554F19" w:rsidP="00554F19">
            <w:pPr>
              <w:spacing w:after="0" w:line="240" w:lineRule="auto"/>
              <w:jc w:val="center"/>
              <w:rPr>
                <w:rFonts w:ascii="Calibri" w:eastAsia="Times New Roman" w:hAnsi="Calibri" w:cs="Calibri"/>
                <w:color w:val="000000"/>
                <w:lang w:eastAsia="en-IE"/>
              </w:rPr>
            </w:pPr>
            <w:r w:rsidRPr="00554F19">
              <w:rPr>
                <w:rFonts w:ascii="Calibri" w:eastAsia="Times New Roman" w:hAnsi="Calibri" w:cs="Calibri"/>
                <w:color w:val="000000"/>
                <w:lang w:eastAsia="en-IE"/>
              </w:rPr>
              <w:t>100</w:t>
            </w:r>
          </w:p>
        </w:tc>
      </w:tr>
    </w:tbl>
    <w:p w:rsidR="009660A3" w:rsidRPr="00B97E75" w:rsidRDefault="009660A3" w:rsidP="005375AB">
      <w:pPr>
        <w:pStyle w:val="PITableHeading"/>
        <w:jc w:val="center"/>
        <w:rPr>
          <w:rFonts w:asciiTheme="minorHAnsi" w:hAnsiTheme="minorHAnsi" w:cstheme="minorHAnsi"/>
          <w:sz w:val="22"/>
          <w:szCs w:val="22"/>
        </w:rPr>
      </w:pPr>
    </w:p>
    <w:p w:rsidR="002F3607" w:rsidRPr="009660A3" w:rsidRDefault="002F3607" w:rsidP="005F5327">
      <w:pPr>
        <w:pStyle w:val="PITableHeading"/>
        <w:spacing w:before="0" w:after="0"/>
        <w:jc w:val="both"/>
        <w:rPr>
          <w:rFonts w:asciiTheme="minorHAnsi" w:hAnsiTheme="minorHAnsi" w:cstheme="minorHAnsi"/>
          <w:b w:val="0"/>
          <w:sz w:val="18"/>
          <w:szCs w:val="18"/>
        </w:rPr>
      </w:pPr>
      <w:proofErr w:type="spellStart"/>
      <w:proofErr w:type="gramStart"/>
      <w:r w:rsidRPr="00DB27B8">
        <w:rPr>
          <w:rFonts w:asciiTheme="minorHAnsi" w:hAnsiTheme="minorHAnsi" w:cstheme="minorHAnsi"/>
          <w:b w:val="0"/>
          <w:sz w:val="18"/>
          <w:szCs w:val="18"/>
          <w:vertAlign w:val="superscript"/>
        </w:rPr>
        <w:lastRenderedPageBreak/>
        <w:t>a</w:t>
      </w:r>
      <w:proofErr w:type="spellEnd"/>
      <w:proofErr w:type="gramEnd"/>
      <w:r w:rsidRPr="00DB27B8">
        <w:rPr>
          <w:rFonts w:asciiTheme="minorHAnsi" w:hAnsiTheme="minorHAnsi" w:cstheme="minorHAnsi"/>
          <w:b w:val="0"/>
          <w:sz w:val="18"/>
          <w:szCs w:val="18"/>
          <w:vertAlign w:val="superscript"/>
        </w:rPr>
        <w:t xml:space="preserve"> </w:t>
      </w:r>
      <w:r w:rsidR="00DB27B8" w:rsidRPr="00DB27B8">
        <w:rPr>
          <w:rFonts w:asciiTheme="minorHAnsi" w:hAnsiTheme="minorHAnsi" w:cstheme="minorHAnsi"/>
          <w:b w:val="0"/>
          <w:sz w:val="18"/>
          <w:szCs w:val="18"/>
        </w:rPr>
        <w:t xml:space="preserve">In a number of local authorities </w:t>
      </w:r>
      <w:r w:rsidR="00B16CFE" w:rsidRPr="00DB27B8">
        <w:rPr>
          <w:rFonts w:asciiTheme="minorHAnsi" w:hAnsiTheme="minorHAnsi" w:cstheme="minorHAnsi"/>
          <w:b w:val="0"/>
          <w:sz w:val="18"/>
          <w:szCs w:val="18"/>
        </w:rPr>
        <w:t xml:space="preserve"> </w:t>
      </w:r>
      <w:r w:rsidR="00DB27B8">
        <w:rPr>
          <w:rFonts w:asciiTheme="minorHAnsi" w:hAnsiTheme="minorHAnsi" w:cstheme="minorHAnsi"/>
          <w:b w:val="0"/>
          <w:sz w:val="18"/>
          <w:szCs w:val="18"/>
        </w:rPr>
        <w:t xml:space="preserve">mechanical surveys were carried out of the road network. This information is </w:t>
      </w:r>
      <w:r w:rsidR="005D01AB">
        <w:rPr>
          <w:rFonts w:asciiTheme="minorHAnsi" w:hAnsiTheme="minorHAnsi" w:cstheme="minorHAnsi"/>
          <w:b w:val="0"/>
          <w:sz w:val="18"/>
          <w:szCs w:val="18"/>
        </w:rPr>
        <w:t>available</w:t>
      </w:r>
      <w:r w:rsidR="00DB27B8">
        <w:rPr>
          <w:rFonts w:asciiTheme="minorHAnsi" w:hAnsiTheme="minorHAnsi" w:cstheme="minorHAnsi"/>
          <w:b w:val="0"/>
          <w:sz w:val="18"/>
          <w:szCs w:val="18"/>
        </w:rPr>
        <w:t xml:space="preserve"> to local authorities but not recorded in Map</w:t>
      </w:r>
      <w:r w:rsidR="005D01AB">
        <w:rPr>
          <w:rFonts w:asciiTheme="minorHAnsi" w:hAnsiTheme="minorHAnsi" w:cstheme="minorHAnsi"/>
          <w:b w:val="0"/>
          <w:sz w:val="18"/>
          <w:szCs w:val="18"/>
        </w:rPr>
        <w:t xml:space="preserve"> </w:t>
      </w:r>
      <w:r w:rsidR="00DB27B8">
        <w:rPr>
          <w:rFonts w:asciiTheme="minorHAnsi" w:hAnsiTheme="minorHAnsi" w:cstheme="minorHAnsi"/>
          <w:b w:val="0"/>
          <w:sz w:val="18"/>
          <w:szCs w:val="18"/>
        </w:rPr>
        <w:t xml:space="preserve">Road. </w:t>
      </w:r>
    </w:p>
    <w:p w:rsidR="002F3607" w:rsidRDefault="002F3607" w:rsidP="00B16CFE">
      <w:pPr>
        <w:pStyle w:val="PITableHeading"/>
        <w:rPr>
          <w:rFonts w:asciiTheme="minorHAnsi" w:hAnsiTheme="minorHAnsi" w:cstheme="minorHAnsi"/>
          <w:b w:val="0"/>
          <w:sz w:val="22"/>
          <w:szCs w:val="22"/>
        </w:rPr>
      </w:pPr>
    </w:p>
    <w:tbl>
      <w:tblPr>
        <w:tblW w:w="5964" w:type="dxa"/>
        <w:tblInd w:w="98" w:type="dxa"/>
        <w:tblLook w:val="04A0" w:firstRow="1" w:lastRow="0" w:firstColumn="1" w:lastColumn="0" w:noHBand="0" w:noVBand="1"/>
      </w:tblPr>
      <w:tblGrid>
        <w:gridCol w:w="1428"/>
        <w:gridCol w:w="3402"/>
        <w:gridCol w:w="1134"/>
      </w:tblGrid>
      <w:tr w:rsidR="00554F19" w:rsidRPr="00554F19" w:rsidTr="0082378C">
        <w:trPr>
          <w:trHeight w:val="448"/>
        </w:trPr>
        <w:tc>
          <w:tcPr>
            <w:tcW w:w="596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54F19" w:rsidRPr="00554F19" w:rsidRDefault="00554F19" w:rsidP="00771880">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Summary Statistics for overall PSCI Condition surveyed</w:t>
            </w:r>
          </w:p>
        </w:tc>
      </w:tr>
      <w:tr w:rsidR="00554F19" w:rsidRPr="00554F19" w:rsidTr="0082378C">
        <w:trPr>
          <w:trHeight w:val="1200"/>
        </w:trPr>
        <w:tc>
          <w:tcPr>
            <w:tcW w:w="483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554F19" w:rsidRPr="00554F19" w:rsidRDefault="00554F19" w:rsidP="00DB27B8">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The overa</w:t>
            </w:r>
            <w:r w:rsidR="004530B1">
              <w:rPr>
                <w:rFonts w:ascii="Calibri" w:eastAsia="Times New Roman" w:hAnsi="Calibri" w:cs="Calibri"/>
                <w:b/>
                <w:bCs/>
                <w:color w:val="000000"/>
                <w:lang w:eastAsia="en-IE"/>
              </w:rPr>
              <w:t>ll %s (based on length) of the R</w:t>
            </w:r>
            <w:r w:rsidRPr="00554F19">
              <w:rPr>
                <w:rFonts w:ascii="Calibri" w:eastAsia="Times New Roman" w:hAnsi="Calibri" w:cs="Calibri"/>
                <w:b/>
                <w:bCs/>
                <w:color w:val="000000"/>
                <w:lang w:eastAsia="en-IE"/>
              </w:rPr>
              <w:t>egional roads in their area whose PSCI condition has been recorded as at 31/12/2014.</w:t>
            </w:r>
          </w:p>
        </w:tc>
        <w:tc>
          <w:tcPr>
            <w:tcW w:w="1134" w:type="dxa"/>
            <w:tcBorders>
              <w:top w:val="nil"/>
              <w:left w:val="nil"/>
              <w:bottom w:val="single" w:sz="8" w:space="0" w:color="auto"/>
              <w:right w:val="single" w:sz="8" w:space="0" w:color="auto"/>
            </w:tcBorders>
            <w:shd w:val="clear" w:color="auto" w:fill="B6DDE8" w:themeFill="accent5" w:themeFillTint="66"/>
            <w:vAlign w:val="center"/>
            <w:hideMark/>
          </w:tcPr>
          <w:p w:rsidR="00554F19" w:rsidRPr="00554F19" w:rsidRDefault="00554F19" w:rsidP="00DB27B8">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2014</w:t>
            </w:r>
          </w:p>
        </w:tc>
      </w:tr>
      <w:tr w:rsidR="00554F19" w:rsidRPr="00554F19" w:rsidTr="0082378C">
        <w:trPr>
          <w:trHeight w:val="315"/>
        </w:trPr>
        <w:tc>
          <w:tcPr>
            <w:tcW w:w="1428" w:type="dxa"/>
            <w:tcBorders>
              <w:top w:val="nil"/>
              <w:left w:val="single" w:sz="8" w:space="0" w:color="auto"/>
              <w:bottom w:val="single" w:sz="8" w:space="0" w:color="auto"/>
              <w:right w:val="single" w:sz="8" w:space="0" w:color="auto"/>
            </w:tcBorders>
            <w:shd w:val="clear" w:color="auto" w:fill="auto"/>
            <w:vAlign w:val="center"/>
            <w:hideMark/>
          </w:tcPr>
          <w:p w:rsidR="00554F19" w:rsidRPr="00554F19" w:rsidRDefault="00554F19" w:rsidP="00DB27B8">
            <w:pPr>
              <w:spacing w:after="0" w:line="240" w:lineRule="auto"/>
              <w:rPr>
                <w:rFonts w:ascii="Calibri" w:eastAsia="Times New Roman" w:hAnsi="Calibri" w:cs="Calibri"/>
                <w:color w:val="000000"/>
                <w:lang w:eastAsia="en-IE"/>
              </w:rPr>
            </w:pPr>
            <w:r w:rsidRPr="00554F19">
              <w:rPr>
                <w:rFonts w:ascii="Calibri" w:eastAsia="Times New Roman" w:hAnsi="Calibri" w:cs="Calibri"/>
                <w:color w:val="000000"/>
                <w:lang w:eastAsia="en-IE"/>
              </w:rPr>
              <w:t>N</w:t>
            </w:r>
          </w:p>
        </w:tc>
        <w:tc>
          <w:tcPr>
            <w:tcW w:w="3402" w:type="dxa"/>
            <w:tcBorders>
              <w:top w:val="nil"/>
              <w:left w:val="nil"/>
              <w:bottom w:val="single" w:sz="8" w:space="0" w:color="auto"/>
              <w:right w:val="single" w:sz="8" w:space="0" w:color="auto"/>
            </w:tcBorders>
            <w:shd w:val="clear" w:color="auto" w:fill="auto"/>
            <w:vAlign w:val="center"/>
            <w:hideMark/>
          </w:tcPr>
          <w:p w:rsidR="00554F19" w:rsidRPr="00554F19" w:rsidRDefault="00554F19" w:rsidP="00DB27B8">
            <w:pPr>
              <w:spacing w:after="0" w:line="240" w:lineRule="auto"/>
              <w:rPr>
                <w:rFonts w:ascii="Calibri" w:eastAsia="Times New Roman" w:hAnsi="Calibri" w:cs="Calibri"/>
                <w:color w:val="000000"/>
                <w:lang w:eastAsia="en-IE"/>
              </w:rPr>
            </w:pPr>
            <w:r w:rsidRPr="00554F19">
              <w:rPr>
                <w:rFonts w:ascii="Calibri" w:eastAsia="Times New Roman" w:hAnsi="Calibri" w:cs="Calibri"/>
                <w:color w:val="000000"/>
                <w:lang w:eastAsia="en-IE"/>
              </w:rPr>
              <w:t>Valid</w:t>
            </w:r>
          </w:p>
        </w:tc>
        <w:tc>
          <w:tcPr>
            <w:tcW w:w="1134" w:type="dxa"/>
            <w:tcBorders>
              <w:top w:val="nil"/>
              <w:left w:val="nil"/>
              <w:bottom w:val="single" w:sz="8" w:space="0" w:color="auto"/>
              <w:right w:val="single" w:sz="8" w:space="0" w:color="auto"/>
            </w:tcBorders>
            <w:shd w:val="clear" w:color="auto" w:fill="auto"/>
            <w:vAlign w:val="center"/>
            <w:hideMark/>
          </w:tcPr>
          <w:p w:rsidR="00554F19" w:rsidRPr="00554F19" w:rsidRDefault="00554F19" w:rsidP="00DB27B8">
            <w:pPr>
              <w:spacing w:after="0" w:line="240" w:lineRule="auto"/>
              <w:rPr>
                <w:rFonts w:ascii="Calibri" w:eastAsia="Times New Roman" w:hAnsi="Calibri" w:cs="Calibri"/>
                <w:color w:val="000000"/>
                <w:lang w:eastAsia="en-IE"/>
              </w:rPr>
            </w:pPr>
            <w:r w:rsidRPr="00554F19">
              <w:rPr>
                <w:rFonts w:ascii="Calibri" w:eastAsia="Times New Roman" w:hAnsi="Calibri" w:cs="Calibri"/>
                <w:color w:val="000000"/>
                <w:lang w:eastAsia="en-IE"/>
              </w:rPr>
              <w:t>28</w:t>
            </w:r>
          </w:p>
        </w:tc>
      </w:tr>
      <w:tr w:rsidR="00554F19" w:rsidRPr="00554F19" w:rsidTr="0082378C">
        <w:trPr>
          <w:trHeight w:val="315"/>
        </w:trPr>
        <w:tc>
          <w:tcPr>
            <w:tcW w:w="1428" w:type="dxa"/>
            <w:tcBorders>
              <w:top w:val="nil"/>
              <w:left w:val="single" w:sz="8" w:space="0" w:color="auto"/>
              <w:bottom w:val="single" w:sz="8" w:space="0" w:color="auto"/>
              <w:right w:val="single" w:sz="8" w:space="0" w:color="auto"/>
            </w:tcBorders>
            <w:shd w:val="clear" w:color="auto" w:fill="auto"/>
            <w:vAlign w:val="center"/>
            <w:hideMark/>
          </w:tcPr>
          <w:p w:rsidR="00554F19" w:rsidRPr="00554F19" w:rsidRDefault="00554F19" w:rsidP="00DB27B8">
            <w:pPr>
              <w:spacing w:after="0" w:line="240" w:lineRule="auto"/>
              <w:rPr>
                <w:rFonts w:ascii="Calibri" w:eastAsia="Times New Roman" w:hAnsi="Calibri" w:cs="Calibri"/>
                <w:color w:val="000000"/>
                <w:lang w:eastAsia="en-IE"/>
              </w:rPr>
            </w:pPr>
            <w:r w:rsidRPr="00554F19">
              <w:rPr>
                <w:rFonts w:ascii="Calibri" w:eastAsia="Times New Roman" w:hAnsi="Calibri" w:cs="Calibri"/>
                <w:color w:val="000000"/>
                <w:lang w:eastAsia="en-IE"/>
              </w:rPr>
              <w:t> </w:t>
            </w:r>
          </w:p>
        </w:tc>
        <w:tc>
          <w:tcPr>
            <w:tcW w:w="3402" w:type="dxa"/>
            <w:tcBorders>
              <w:top w:val="nil"/>
              <w:left w:val="nil"/>
              <w:bottom w:val="single" w:sz="8" w:space="0" w:color="auto"/>
              <w:right w:val="single" w:sz="8" w:space="0" w:color="auto"/>
            </w:tcBorders>
            <w:shd w:val="clear" w:color="auto" w:fill="auto"/>
            <w:vAlign w:val="center"/>
            <w:hideMark/>
          </w:tcPr>
          <w:p w:rsidR="00554F19" w:rsidRPr="00554F19" w:rsidRDefault="00554F19" w:rsidP="00DB27B8">
            <w:pPr>
              <w:spacing w:after="0" w:line="240" w:lineRule="auto"/>
              <w:rPr>
                <w:rFonts w:ascii="Calibri" w:eastAsia="Times New Roman" w:hAnsi="Calibri" w:cs="Calibri"/>
                <w:color w:val="000000"/>
                <w:lang w:eastAsia="en-IE"/>
              </w:rPr>
            </w:pPr>
            <w:r w:rsidRPr="00554F19">
              <w:rPr>
                <w:rFonts w:ascii="Calibri" w:eastAsia="Times New Roman" w:hAnsi="Calibri" w:cs="Calibri"/>
                <w:color w:val="000000"/>
                <w:lang w:eastAsia="en-IE"/>
              </w:rPr>
              <w:t>Missing</w:t>
            </w:r>
          </w:p>
        </w:tc>
        <w:tc>
          <w:tcPr>
            <w:tcW w:w="1134" w:type="dxa"/>
            <w:tcBorders>
              <w:top w:val="nil"/>
              <w:left w:val="nil"/>
              <w:bottom w:val="single" w:sz="8" w:space="0" w:color="auto"/>
              <w:right w:val="single" w:sz="8" w:space="0" w:color="auto"/>
            </w:tcBorders>
            <w:shd w:val="clear" w:color="auto" w:fill="auto"/>
            <w:vAlign w:val="center"/>
            <w:hideMark/>
          </w:tcPr>
          <w:p w:rsidR="00554F19" w:rsidRPr="00554F19" w:rsidRDefault="00554F19" w:rsidP="00DB27B8">
            <w:pPr>
              <w:spacing w:after="0" w:line="240" w:lineRule="auto"/>
              <w:rPr>
                <w:rFonts w:ascii="Calibri" w:eastAsia="Times New Roman" w:hAnsi="Calibri" w:cs="Calibri"/>
                <w:color w:val="000000"/>
                <w:lang w:eastAsia="en-IE"/>
              </w:rPr>
            </w:pPr>
            <w:r w:rsidRPr="00554F19">
              <w:rPr>
                <w:rFonts w:ascii="Calibri" w:eastAsia="Times New Roman" w:hAnsi="Calibri" w:cs="Calibri"/>
                <w:color w:val="000000"/>
                <w:lang w:eastAsia="en-IE"/>
              </w:rPr>
              <w:t>3</w:t>
            </w:r>
          </w:p>
        </w:tc>
      </w:tr>
      <w:tr w:rsidR="00554F19" w:rsidRPr="00554F19" w:rsidTr="0082378C">
        <w:trPr>
          <w:trHeight w:val="315"/>
        </w:trPr>
        <w:tc>
          <w:tcPr>
            <w:tcW w:w="1428" w:type="dxa"/>
            <w:tcBorders>
              <w:top w:val="nil"/>
              <w:left w:val="single" w:sz="8" w:space="0" w:color="auto"/>
              <w:bottom w:val="single" w:sz="8" w:space="0" w:color="auto"/>
              <w:right w:val="single" w:sz="8" w:space="0" w:color="auto"/>
            </w:tcBorders>
            <w:shd w:val="clear" w:color="auto" w:fill="auto"/>
            <w:vAlign w:val="center"/>
            <w:hideMark/>
          </w:tcPr>
          <w:p w:rsidR="00554F19" w:rsidRPr="00554F19" w:rsidRDefault="00554F19" w:rsidP="00DB27B8">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Average</w:t>
            </w:r>
          </w:p>
        </w:tc>
        <w:tc>
          <w:tcPr>
            <w:tcW w:w="3402" w:type="dxa"/>
            <w:tcBorders>
              <w:top w:val="nil"/>
              <w:left w:val="nil"/>
              <w:bottom w:val="single" w:sz="8" w:space="0" w:color="auto"/>
              <w:right w:val="single" w:sz="8" w:space="0" w:color="auto"/>
            </w:tcBorders>
            <w:shd w:val="clear" w:color="auto" w:fill="auto"/>
            <w:vAlign w:val="center"/>
            <w:hideMark/>
          </w:tcPr>
          <w:p w:rsidR="00554F19" w:rsidRPr="00554F19" w:rsidRDefault="00554F19" w:rsidP="00DB27B8">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Median</w:t>
            </w:r>
          </w:p>
        </w:tc>
        <w:tc>
          <w:tcPr>
            <w:tcW w:w="1134" w:type="dxa"/>
            <w:tcBorders>
              <w:top w:val="nil"/>
              <w:left w:val="nil"/>
              <w:bottom w:val="single" w:sz="8" w:space="0" w:color="auto"/>
              <w:right w:val="single" w:sz="8" w:space="0" w:color="auto"/>
            </w:tcBorders>
            <w:shd w:val="clear" w:color="auto" w:fill="auto"/>
            <w:vAlign w:val="center"/>
            <w:hideMark/>
          </w:tcPr>
          <w:p w:rsidR="00554F19" w:rsidRPr="00554F19" w:rsidRDefault="004B3016" w:rsidP="00DB27B8">
            <w:pPr>
              <w:spacing w:after="0" w:line="240" w:lineRule="auto"/>
              <w:rPr>
                <w:rFonts w:ascii="Calibri" w:eastAsia="Times New Roman" w:hAnsi="Calibri" w:cs="Calibri"/>
                <w:b/>
                <w:bCs/>
                <w:color w:val="000000"/>
                <w:lang w:eastAsia="en-IE"/>
              </w:rPr>
            </w:pPr>
            <w:r>
              <w:rPr>
                <w:rFonts w:ascii="Calibri" w:eastAsia="Times New Roman" w:hAnsi="Calibri" w:cs="Calibri"/>
                <w:b/>
                <w:bCs/>
                <w:color w:val="000000"/>
                <w:lang w:eastAsia="en-IE"/>
              </w:rPr>
              <w:t>57.90</w:t>
            </w:r>
          </w:p>
        </w:tc>
      </w:tr>
      <w:tr w:rsidR="00554F19" w:rsidRPr="00554F19" w:rsidTr="0082378C">
        <w:trPr>
          <w:trHeight w:val="315"/>
        </w:trPr>
        <w:tc>
          <w:tcPr>
            <w:tcW w:w="1428" w:type="dxa"/>
            <w:tcBorders>
              <w:top w:val="nil"/>
              <w:left w:val="single" w:sz="8" w:space="0" w:color="auto"/>
              <w:bottom w:val="single" w:sz="8" w:space="0" w:color="auto"/>
              <w:right w:val="single" w:sz="8" w:space="0" w:color="auto"/>
            </w:tcBorders>
            <w:shd w:val="clear" w:color="auto" w:fill="auto"/>
            <w:vAlign w:val="center"/>
            <w:hideMark/>
          </w:tcPr>
          <w:p w:rsidR="00554F19" w:rsidRPr="00554F19" w:rsidRDefault="00554F19" w:rsidP="00DB27B8">
            <w:pPr>
              <w:spacing w:after="0" w:line="240" w:lineRule="auto"/>
              <w:rPr>
                <w:rFonts w:ascii="Calibri" w:eastAsia="Times New Roman" w:hAnsi="Calibri" w:cs="Calibri"/>
                <w:color w:val="000000"/>
                <w:lang w:eastAsia="en-IE"/>
              </w:rPr>
            </w:pPr>
            <w:r w:rsidRPr="00554F19">
              <w:rPr>
                <w:rFonts w:ascii="Calibri" w:eastAsia="Times New Roman" w:hAnsi="Calibri" w:cs="Calibri"/>
                <w:color w:val="000000"/>
                <w:lang w:eastAsia="en-IE"/>
              </w:rPr>
              <w:t> </w:t>
            </w:r>
          </w:p>
        </w:tc>
        <w:tc>
          <w:tcPr>
            <w:tcW w:w="3402" w:type="dxa"/>
            <w:tcBorders>
              <w:top w:val="nil"/>
              <w:left w:val="nil"/>
              <w:bottom w:val="single" w:sz="8" w:space="0" w:color="auto"/>
              <w:right w:val="single" w:sz="8" w:space="0" w:color="auto"/>
            </w:tcBorders>
            <w:shd w:val="clear" w:color="auto" w:fill="auto"/>
            <w:vAlign w:val="center"/>
            <w:hideMark/>
          </w:tcPr>
          <w:p w:rsidR="00554F19" w:rsidRPr="00554F19" w:rsidRDefault="00554F19" w:rsidP="00DB27B8">
            <w:pPr>
              <w:spacing w:after="0" w:line="240" w:lineRule="auto"/>
              <w:rPr>
                <w:rFonts w:ascii="Calibri" w:eastAsia="Times New Roman" w:hAnsi="Calibri" w:cs="Calibri"/>
                <w:color w:val="000000"/>
                <w:lang w:eastAsia="en-IE"/>
              </w:rPr>
            </w:pPr>
            <w:r w:rsidRPr="00554F19">
              <w:rPr>
                <w:rFonts w:ascii="Calibri" w:eastAsia="Times New Roman" w:hAnsi="Calibri" w:cs="Calibri"/>
                <w:color w:val="000000"/>
                <w:lang w:eastAsia="en-IE"/>
              </w:rPr>
              <w:t>Mean</w:t>
            </w:r>
          </w:p>
        </w:tc>
        <w:tc>
          <w:tcPr>
            <w:tcW w:w="1134" w:type="dxa"/>
            <w:tcBorders>
              <w:top w:val="nil"/>
              <w:left w:val="nil"/>
              <w:bottom w:val="single" w:sz="8" w:space="0" w:color="auto"/>
              <w:right w:val="single" w:sz="8" w:space="0" w:color="auto"/>
            </w:tcBorders>
            <w:shd w:val="clear" w:color="auto" w:fill="auto"/>
            <w:vAlign w:val="center"/>
            <w:hideMark/>
          </w:tcPr>
          <w:p w:rsidR="00554F19" w:rsidRPr="00554F19" w:rsidRDefault="004B3016" w:rsidP="00DB27B8">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53.83</w:t>
            </w:r>
          </w:p>
        </w:tc>
      </w:tr>
      <w:tr w:rsidR="00554F19" w:rsidRPr="00554F19" w:rsidTr="0082378C">
        <w:trPr>
          <w:trHeight w:val="1200"/>
        </w:trPr>
        <w:tc>
          <w:tcPr>
            <w:tcW w:w="483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554F19" w:rsidRPr="00554F19" w:rsidRDefault="00554F19" w:rsidP="0082378C">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The overall %s (based on length) of the Local roads in their area whose PSCI condition has been recorded as at 31/12/2014.</w:t>
            </w:r>
          </w:p>
        </w:tc>
        <w:tc>
          <w:tcPr>
            <w:tcW w:w="1134" w:type="dxa"/>
            <w:tcBorders>
              <w:top w:val="nil"/>
              <w:left w:val="nil"/>
              <w:bottom w:val="single" w:sz="8" w:space="0" w:color="auto"/>
              <w:right w:val="single" w:sz="8" w:space="0" w:color="auto"/>
            </w:tcBorders>
            <w:shd w:val="clear" w:color="auto" w:fill="B6DDE8" w:themeFill="accent5" w:themeFillTint="66"/>
            <w:vAlign w:val="center"/>
            <w:hideMark/>
          </w:tcPr>
          <w:p w:rsidR="00554F19" w:rsidRPr="00554F19" w:rsidRDefault="00554F19" w:rsidP="0082378C">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2014</w:t>
            </w:r>
          </w:p>
        </w:tc>
      </w:tr>
      <w:tr w:rsidR="00554F19" w:rsidRPr="00554F19" w:rsidTr="0082378C">
        <w:trPr>
          <w:trHeight w:val="315"/>
        </w:trPr>
        <w:tc>
          <w:tcPr>
            <w:tcW w:w="1428" w:type="dxa"/>
            <w:tcBorders>
              <w:top w:val="nil"/>
              <w:left w:val="single" w:sz="8" w:space="0" w:color="auto"/>
              <w:bottom w:val="single" w:sz="8" w:space="0" w:color="auto"/>
              <w:right w:val="single" w:sz="8" w:space="0" w:color="auto"/>
            </w:tcBorders>
            <w:shd w:val="clear" w:color="auto" w:fill="auto"/>
            <w:vAlign w:val="center"/>
            <w:hideMark/>
          </w:tcPr>
          <w:p w:rsidR="00554F19" w:rsidRPr="00554F19" w:rsidRDefault="00554F19" w:rsidP="0082378C">
            <w:pPr>
              <w:spacing w:after="0" w:line="240" w:lineRule="auto"/>
              <w:rPr>
                <w:rFonts w:ascii="Calibri" w:eastAsia="Times New Roman" w:hAnsi="Calibri" w:cs="Calibri"/>
                <w:color w:val="000000"/>
                <w:lang w:eastAsia="en-IE"/>
              </w:rPr>
            </w:pPr>
            <w:r w:rsidRPr="00554F19">
              <w:rPr>
                <w:rFonts w:ascii="Calibri" w:eastAsia="Times New Roman" w:hAnsi="Calibri" w:cs="Calibri"/>
                <w:color w:val="000000"/>
                <w:lang w:eastAsia="en-IE"/>
              </w:rPr>
              <w:t>N</w:t>
            </w:r>
          </w:p>
        </w:tc>
        <w:tc>
          <w:tcPr>
            <w:tcW w:w="3402" w:type="dxa"/>
            <w:tcBorders>
              <w:top w:val="nil"/>
              <w:left w:val="nil"/>
              <w:bottom w:val="single" w:sz="8" w:space="0" w:color="auto"/>
              <w:right w:val="single" w:sz="8" w:space="0" w:color="auto"/>
            </w:tcBorders>
            <w:shd w:val="clear" w:color="auto" w:fill="auto"/>
            <w:vAlign w:val="center"/>
            <w:hideMark/>
          </w:tcPr>
          <w:p w:rsidR="00554F19" w:rsidRPr="00554F19" w:rsidRDefault="00554F19" w:rsidP="0082378C">
            <w:pPr>
              <w:spacing w:after="0" w:line="240" w:lineRule="auto"/>
              <w:rPr>
                <w:rFonts w:ascii="Calibri" w:eastAsia="Times New Roman" w:hAnsi="Calibri" w:cs="Calibri"/>
                <w:color w:val="000000"/>
                <w:lang w:eastAsia="en-IE"/>
              </w:rPr>
            </w:pPr>
            <w:r w:rsidRPr="00554F19">
              <w:rPr>
                <w:rFonts w:ascii="Calibri" w:eastAsia="Times New Roman" w:hAnsi="Calibri" w:cs="Calibri"/>
                <w:color w:val="000000"/>
                <w:lang w:eastAsia="en-IE"/>
              </w:rPr>
              <w:t>Valid</w:t>
            </w:r>
          </w:p>
        </w:tc>
        <w:tc>
          <w:tcPr>
            <w:tcW w:w="1134" w:type="dxa"/>
            <w:tcBorders>
              <w:top w:val="nil"/>
              <w:left w:val="nil"/>
              <w:bottom w:val="single" w:sz="8" w:space="0" w:color="auto"/>
              <w:right w:val="single" w:sz="8" w:space="0" w:color="auto"/>
            </w:tcBorders>
            <w:shd w:val="clear" w:color="auto" w:fill="auto"/>
            <w:vAlign w:val="center"/>
            <w:hideMark/>
          </w:tcPr>
          <w:p w:rsidR="00554F19" w:rsidRPr="00554F19" w:rsidRDefault="00554F19" w:rsidP="0082378C">
            <w:pPr>
              <w:spacing w:after="0" w:line="240" w:lineRule="auto"/>
              <w:rPr>
                <w:rFonts w:ascii="Calibri" w:eastAsia="Times New Roman" w:hAnsi="Calibri" w:cs="Calibri"/>
                <w:color w:val="000000"/>
                <w:lang w:eastAsia="en-IE"/>
              </w:rPr>
            </w:pPr>
            <w:r w:rsidRPr="00554F19">
              <w:rPr>
                <w:rFonts w:ascii="Calibri" w:eastAsia="Times New Roman" w:hAnsi="Calibri" w:cs="Calibri"/>
                <w:color w:val="000000"/>
                <w:lang w:eastAsia="en-IE"/>
              </w:rPr>
              <w:t>28</w:t>
            </w:r>
          </w:p>
        </w:tc>
      </w:tr>
      <w:tr w:rsidR="00554F19" w:rsidRPr="00554F19" w:rsidTr="0082378C">
        <w:trPr>
          <w:trHeight w:val="315"/>
        </w:trPr>
        <w:tc>
          <w:tcPr>
            <w:tcW w:w="1428" w:type="dxa"/>
            <w:tcBorders>
              <w:top w:val="nil"/>
              <w:left w:val="single" w:sz="8" w:space="0" w:color="auto"/>
              <w:bottom w:val="single" w:sz="8" w:space="0" w:color="auto"/>
              <w:right w:val="single" w:sz="8" w:space="0" w:color="auto"/>
            </w:tcBorders>
            <w:shd w:val="clear" w:color="auto" w:fill="auto"/>
            <w:vAlign w:val="center"/>
            <w:hideMark/>
          </w:tcPr>
          <w:p w:rsidR="00554F19" w:rsidRPr="00554F19" w:rsidRDefault="00554F19" w:rsidP="0082378C">
            <w:pPr>
              <w:spacing w:after="0" w:line="240" w:lineRule="auto"/>
              <w:rPr>
                <w:rFonts w:ascii="Calibri" w:eastAsia="Times New Roman" w:hAnsi="Calibri" w:cs="Calibri"/>
                <w:color w:val="000000"/>
                <w:lang w:eastAsia="en-IE"/>
              </w:rPr>
            </w:pPr>
            <w:r w:rsidRPr="00554F19">
              <w:rPr>
                <w:rFonts w:ascii="Calibri" w:eastAsia="Times New Roman" w:hAnsi="Calibri" w:cs="Calibri"/>
                <w:color w:val="000000"/>
                <w:lang w:eastAsia="en-IE"/>
              </w:rPr>
              <w:t> </w:t>
            </w:r>
          </w:p>
        </w:tc>
        <w:tc>
          <w:tcPr>
            <w:tcW w:w="3402" w:type="dxa"/>
            <w:tcBorders>
              <w:top w:val="nil"/>
              <w:left w:val="nil"/>
              <w:bottom w:val="single" w:sz="8" w:space="0" w:color="auto"/>
              <w:right w:val="single" w:sz="8" w:space="0" w:color="auto"/>
            </w:tcBorders>
            <w:shd w:val="clear" w:color="auto" w:fill="auto"/>
            <w:vAlign w:val="center"/>
            <w:hideMark/>
          </w:tcPr>
          <w:p w:rsidR="00554F19" w:rsidRPr="00554F19" w:rsidRDefault="00554F19" w:rsidP="0082378C">
            <w:pPr>
              <w:spacing w:after="0" w:line="240" w:lineRule="auto"/>
              <w:rPr>
                <w:rFonts w:ascii="Calibri" w:eastAsia="Times New Roman" w:hAnsi="Calibri" w:cs="Calibri"/>
                <w:color w:val="000000"/>
                <w:lang w:eastAsia="en-IE"/>
              </w:rPr>
            </w:pPr>
            <w:r w:rsidRPr="00554F19">
              <w:rPr>
                <w:rFonts w:ascii="Calibri" w:eastAsia="Times New Roman" w:hAnsi="Calibri" w:cs="Calibri"/>
                <w:color w:val="000000"/>
                <w:lang w:eastAsia="en-IE"/>
              </w:rPr>
              <w:t>Missing</w:t>
            </w:r>
          </w:p>
        </w:tc>
        <w:tc>
          <w:tcPr>
            <w:tcW w:w="1134" w:type="dxa"/>
            <w:tcBorders>
              <w:top w:val="nil"/>
              <w:left w:val="nil"/>
              <w:bottom w:val="single" w:sz="8" w:space="0" w:color="auto"/>
              <w:right w:val="single" w:sz="8" w:space="0" w:color="auto"/>
            </w:tcBorders>
            <w:shd w:val="clear" w:color="auto" w:fill="auto"/>
            <w:vAlign w:val="center"/>
            <w:hideMark/>
          </w:tcPr>
          <w:p w:rsidR="00554F19" w:rsidRPr="00554F19" w:rsidRDefault="00554F19" w:rsidP="0082378C">
            <w:pPr>
              <w:spacing w:after="0" w:line="240" w:lineRule="auto"/>
              <w:rPr>
                <w:rFonts w:ascii="Calibri" w:eastAsia="Times New Roman" w:hAnsi="Calibri" w:cs="Calibri"/>
                <w:color w:val="000000"/>
                <w:lang w:eastAsia="en-IE"/>
              </w:rPr>
            </w:pPr>
            <w:r w:rsidRPr="00554F19">
              <w:rPr>
                <w:rFonts w:ascii="Calibri" w:eastAsia="Times New Roman" w:hAnsi="Calibri" w:cs="Calibri"/>
                <w:color w:val="000000"/>
                <w:lang w:eastAsia="en-IE"/>
              </w:rPr>
              <w:t>3</w:t>
            </w:r>
          </w:p>
        </w:tc>
      </w:tr>
      <w:tr w:rsidR="00554F19" w:rsidRPr="00554F19" w:rsidTr="0082378C">
        <w:trPr>
          <w:trHeight w:val="315"/>
        </w:trPr>
        <w:tc>
          <w:tcPr>
            <w:tcW w:w="1428" w:type="dxa"/>
            <w:tcBorders>
              <w:top w:val="nil"/>
              <w:left w:val="single" w:sz="8" w:space="0" w:color="auto"/>
              <w:bottom w:val="single" w:sz="8" w:space="0" w:color="auto"/>
              <w:right w:val="single" w:sz="8" w:space="0" w:color="auto"/>
            </w:tcBorders>
            <w:shd w:val="clear" w:color="auto" w:fill="auto"/>
            <w:vAlign w:val="center"/>
            <w:hideMark/>
          </w:tcPr>
          <w:p w:rsidR="00554F19" w:rsidRPr="00554F19" w:rsidRDefault="00554F19" w:rsidP="0082378C">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Average</w:t>
            </w:r>
          </w:p>
        </w:tc>
        <w:tc>
          <w:tcPr>
            <w:tcW w:w="3402" w:type="dxa"/>
            <w:tcBorders>
              <w:top w:val="nil"/>
              <w:left w:val="nil"/>
              <w:bottom w:val="single" w:sz="8" w:space="0" w:color="auto"/>
              <w:right w:val="single" w:sz="8" w:space="0" w:color="auto"/>
            </w:tcBorders>
            <w:shd w:val="clear" w:color="auto" w:fill="auto"/>
            <w:vAlign w:val="center"/>
            <w:hideMark/>
          </w:tcPr>
          <w:p w:rsidR="00554F19" w:rsidRPr="00554F19" w:rsidRDefault="00554F19" w:rsidP="0082378C">
            <w:pPr>
              <w:spacing w:after="0" w:line="240" w:lineRule="auto"/>
              <w:rPr>
                <w:rFonts w:ascii="Calibri" w:eastAsia="Times New Roman" w:hAnsi="Calibri" w:cs="Calibri"/>
                <w:b/>
                <w:bCs/>
                <w:color w:val="000000"/>
                <w:lang w:eastAsia="en-IE"/>
              </w:rPr>
            </w:pPr>
            <w:r w:rsidRPr="00554F19">
              <w:rPr>
                <w:rFonts w:ascii="Calibri" w:eastAsia="Times New Roman" w:hAnsi="Calibri" w:cs="Calibri"/>
                <w:b/>
                <w:bCs/>
                <w:color w:val="000000"/>
                <w:lang w:eastAsia="en-IE"/>
              </w:rPr>
              <w:t>Median</w:t>
            </w:r>
          </w:p>
        </w:tc>
        <w:tc>
          <w:tcPr>
            <w:tcW w:w="1134" w:type="dxa"/>
            <w:tcBorders>
              <w:top w:val="nil"/>
              <w:left w:val="nil"/>
              <w:bottom w:val="single" w:sz="8" w:space="0" w:color="auto"/>
              <w:right w:val="single" w:sz="8" w:space="0" w:color="auto"/>
            </w:tcBorders>
            <w:shd w:val="clear" w:color="auto" w:fill="auto"/>
            <w:vAlign w:val="center"/>
            <w:hideMark/>
          </w:tcPr>
          <w:p w:rsidR="00554F19" w:rsidRPr="00554F19" w:rsidRDefault="004B3016" w:rsidP="0082378C">
            <w:pPr>
              <w:spacing w:after="0" w:line="240" w:lineRule="auto"/>
              <w:rPr>
                <w:rFonts w:ascii="Calibri" w:eastAsia="Times New Roman" w:hAnsi="Calibri" w:cs="Calibri"/>
                <w:b/>
                <w:bCs/>
                <w:color w:val="000000"/>
                <w:lang w:eastAsia="en-IE"/>
              </w:rPr>
            </w:pPr>
            <w:r>
              <w:rPr>
                <w:rFonts w:ascii="Calibri" w:eastAsia="Times New Roman" w:hAnsi="Calibri" w:cs="Calibri"/>
                <w:b/>
                <w:bCs/>
                <w:color w:val="000000"/>
                <w:lang w:eastAsia="en-IE"/>
              </w:rPr>
              <w:t>66.36</w:t>
            </w:r>
          </w:p>
        </w:tc>
      </w:tr>
      <w:tr w:rsidR="00554F19" w:rsidRPr="00554F19" w:rsidTr="0082378C">
        <w:trPr>
          <w:trHeight w:val="315"/>
        </w:trPr>
        <w:tc>
          <w:tcPr>
            <w:tcW w:w="1428" w:type="dxa"/>
            <w:tcBorders>
              <w:top w:val="nil"/>
              <w:left w:val="single" w:sz="8" w:space="0" w:color="auto"/>
              <w:bottom w:val="single" w:sz="8" w:space="0" w:color="auto"/>
              <w:right w:val="single" w:sz="8" w:space="0" w:color="auto"/>
            </w:tcBorders>
            <w:shd w:val="clear" w:color="auto" w:fill="auto"/>
            <w:vAlign w:val="center"/>
            <w:hideMark/>
          </w:tcPr>
          <w:p w:rsidR="00554F19" w:rsidRPr="00554F19" w:rsidRDefault="00554F19" w:rsidP="0082378C">
            <w:pPr>
              <w:spacing w:after="0" w:line="240" w:lineRule="auto"/>
              <w:rPr>
                <w:rFonts w:ascii="Calibri" w:eastAsia="Times New Roman" w:hAnsi="Calibri" w:cs="Calibri"/>
                <w:color w:val="000000"/>
                <w:lang w:eastAsia="en-IE"/>
              </w:rPr>
            </w:pPr>
            <w:r w:rsidRPr="00554F19">
              <w:rPr>
                <w:rFonts w:ascii="Calibri" w:eastAsia="Times New Roman" w:hAnsi="Calibri" w:cs="Calibri"/>
                <w:color w:val="000000"/>
                <w:lang w:eastAsia="en-IE"/>
              </w:rPr>
              <w:t> </w:t>
            </w:r>
          </w:p>
        </w:tc>
        <w:tc>
          <w:tcPr>
            <w:tcW w:w="3402" w:type="dxa"/>
            <w:tcBorders>
              <w:top w:val="nil"/>
              <w:left w:val="nil"/>
              <w:bottom w:val="single" w:sz="8" w:space="0" w:color="auto"/>
              <w:right w:val="single" w:sz="8" w:space="0" w:color="auto"/>
            </w:tcBorders>
            <w:shd w:val="clear" w:color="auto" w:fill="auto"/>
            <w:vAlign w:val="center"/>
            <w:hideMark/>
          </w:tcPr>
          <w:p w:rsidR="00554F19" w:rsidRPr="00554F19" w:rsidRDefault="00554F19" w:rsidP="0082378C">
            <w:pPr>
              <w:spacing w:after="0" w:line="240" w:lineRule="auto"/>
              <w:rPr>
                <w:rFonts w:ascii="Calibri" w:eastAsia="Times New Roman" w:hAnsi="Calibri" w:cs="Calibri"/>
                <w:color w:val="000000"/>
                <w:lang w:eastAsia="en-IE"/>
              </w:rPr>
            </w:pPr>
            <w:r w:rsidRPr="00554F19">
              <w:rPr>
                <w:rFonts w:ascii="Calibri" w:eastAsia="Times New Roman" w:hAnsi="Calibri" w:cs="Calibri"/>
                <w:color w:val="000000"/>
                <w:lang w:eastAsia="en-IE"/>
              </w:rPr>
              <w:t>Mean</w:t>
            </w:r>
          </w:p>
        </w:tc>
        <w:tc>
          <w:tcPr>
            <w:tcW w:w="1134" w:type="dxa"/>
            <w:tcBorders>
              <w:top w:val="nil"/>
              <w:left w:val="nil"/>
              <w:bottom w:val="single" w:sz="8" w:space="0" w:color="auto"/>
              <w:right w:val="single" w:sz="8" w:space="0" w:color="auto"/>
            </w:tcBorders>
            <w:shd w:val="clear" w:color="auto" w:fill="auto"/>
            <w:vAlign w:val="center"/>
            <w:hideMark/>
          </w:tcPr>
          <w:p w:rsidR="00554F19" w:rsidRPr="00554F19" w:rsidRDefault="004B3016"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56.62</w:t>
            </w:r>
          </w:p>
        </w:tc>
      </w:tr>
    </w:tbl>
    <w:p w:rsidR="00892A21" w:rsidRPr="00B97E75" w:rsidRDefault="00892A21" w:rsidP="00554F19">
      <w:pPr>
        <w:pStyle w:val="PITableHeading"/>
        <w:rPr>
          <w:rFonts w:asciiTheme="minorHAnsi" w:hAnsiTheme="minorHAnsi" w:cstheme="minorHAnsi"/>
          <w:sz w:val="22"/>
          <w:szCs w:val="22"/>
        </w:rPr>
      </w:pPr>
    </w:p>
    <w:p w:rsidR="0087184C" w:rsidRDefault="0087184C" w:rsidP="00201EC9">
      <w:pPr>
        <w:rPr>
          <w:rFonts w:cstheme="minorHAnsi"/>
          <w:b/>
        </w:rPr>
      </w:pPr>
    </w:p>
    <w:p w:rsidR="0087184C" w:rsidRDefault="0087184C" w:rsidP="00201EC9">
      <w:pPr>
        <w:rPr>
          <w:rFonts w:cstheme="minorHAnsi"/>
          <w:b/>
        </w:rPr>
      </w:pPr>
    </w:p>
    <w:p w:rsidR="0087184C" w:rsidRDefault="0087184C" w:rsidP="00201EC9">
      <w:pPr>
        <w:rPr>
          <w:rFonts w:cstheme="minorHAnsi"/>
          <w:b/>
        </w:rPr>
      </w:pPr>
    </w:p>
    <w:p w:rsidR="0087184C" w:rsidRDefault="0087184C" w:rsidP="00201EC9">
      <w:pPr>
        <w:rPr>
          <w:rFonts w:cstheme="minorHAnsi"/>
          <w:b/>
        </w:rPr>
      </w:pPr>
    </w:p>
    <w:p w:rsidR="0087184C" w:rsidRDefault="0087184C" w:rsidP="00201EC9">
      <w:pPr>
        <w:rPr>
          <w:rFonts w:cstheme="minorHAnsi"/>
          <w:b/>
        </w:rPr>
      </w:pPr>
    </w:p>
    <w:p w:rsidR="0087184C" w:rsidRDefault="0087184C" w:rsidP="00201EC9">
      <w:pPr>
        <w:rPr>
          <w:rFonts w:cstheme="minorHAnsi"/>
          <w:b/>
        </w:rPr>
      </w:pPr>
    </w:p>
    <w:p w:rsidR="0087184C" w:rsidRDefault="0087184C" w:rsidP="00201EC9">
      <w:pPr>
        <w:rPr>
          <w:rFonts w:cstheme="minorHAnsi"/>
          <w:b/>
        </w:rPr>
      </w:pPr>
    </w:p>
    <w:p w:rsidR="0087184C" w:rsidRDefault="0087184C" w:rsidP="00201EC9">
      <w:pPr>
        <w:rPr>
          <w:rFonts w:cstheme="minorHAnsi"/>
          <w:b/>
        </w:rPr>
      </w:pPr>
    </w:p>
    <w:p w:rsidR="0087184C" w:rsidRDefault="0087184C" w:rsidP="00201EC9">
      <w:pPr>
        <w:rPr>
          <w:rFonts w:cstheme="minorHAnsi"/>
          <w:b/>
        </w:rPr>
      </w:pPr>
    </w:p>
    <w:p w:rsidR="000F78DF" w:rsidRDefault="000F78DF" w:rsidP="00201EC9">
      <w:pPr>
        <w:rPr>
          <w:rFonts w:cstheme="minorHAnsi"/>
          <w:b/>
        </w:rPr>
      </w:pPr>
    </w:p>
    <w:p w:rsidR="00DB27B8" w:rsidRDefault="00DB27B8">
      <w:pPr>
        <w:rPr>
          <w:rFonts w:cstheme="minorHAnsi"/>
          <w:b/>
        </w:rPr>
      </w:pPr>
      <w:r>
        <w:rPr>
          <w:rFonts w:cstheme="minorHAnsi"/>
          <w:b/>
        </w:rPr>
        <w:br w:type="page"/>
      </w:r>
    </w:p>
    <w:p w:rsidR="00B52429" w:rsidRDefault="00201EC9" w:rsidP="00201EC9">
      <w:pPr>
        <w:rPr>
          <w:rFonts w:cstheme="minorHAnsi"/>
          <w:b/>
        </w:rPr>
      </w:pPr>
      <w:r w:rsidRPr="00B97E75">
        <w:rPr>
          <w:rFonts w:cstheme="minorHAnsi"/>
          <w:b/>
        </w:rPr>
        <w:lastRenderedPageBreak/>
        <w:t xml:space="preserve">Table </w:t>
      </w:r>
      <w:r w:rsidR="00B70292">
        <w:rPr>
          <w:rFonts w:cstheme="minorHAnsi"/>
          <w:b/>
        </w:rPr>
        <w:t>6</w:t>
      </w:r>
      <w:r w:rsidRPr="00B97E75">
        <w:rPr>
          <w:rFonts w:cstheme="minorHAnsi"/>
          <w:b/>
        </w:rPr>
        <w:t xml:space="preserve">: </w:t>
      </w:r>
      <w:r w:rsidR="009C0479" w:rsidRPr="00B97E75">
        <w:rPr>
          <w:rFonts w:cstheme="minorHAnsi"/>
          <w:b/>
        </w:rPr>
        <w:t xml:space="preserve"> </w:t>
      </w:r>
      <w:r w:rsidR="00B52429" w:rsidRPr="00B52429">
        <w:rPr>
          <w:rFonts w:cstheme="minorHAnsi"/>
        </w:rPr>
        <w:t xml:space="preserve">Ratings in Pavement Surface Condition </w:t>
      </w:r>
      <w:proofErr w:type="spellStart"/>
      <w:r w:rsidR="00B52429" w:rsidRPr="00B52429">
        <w:rPr>
          <w:rFonts w:cstheme="minorHAnsi"/>
        </w:rPr>
        <w:t>Index</w:t>
      </w:r>
      <w:r w:rsidR="00326A0E">
        <w:rPr>
          <w:rFonts w:cstheme="minorHAnsi"/>
          <w:vertAlign w:val="superscript"/>
        </w:rPr>
        <w:t>a</w:t>
      </w:r>
      <w:proofErr w:type="spellEnd"/>
      <w:r w:rsidR="00B52429" w:rsidRPr="00B52429">
        <w:rPr>
          <w:rFonts w:cstheme="minorHAnsi"/>
        </w:rPr>
        <w:t xml:space="preserve"> </w:t>
      </w:r>
      <w:r w:rsidR="000F78DF">
        <w:rPr>
          <w:rFonts w:cstheme="minorHAnsi"/>
        </w:rPr>
        <w:t>–</w:t>
      </w:r>
      <w:r w:rsidR="00B52429" w:rsidRPr="00B52429">
        <w:rPr>
          <w:rFonts w:cstheme="minorHAnsi"/>
        </w:rPr>
        <w:t>Regional</w:t>
      </w:r>
      <w:r w:rsidR="000F78DF">
        <w:rPr>
          <w:rFonts w:cstheme="minorHAnsi"/>
        </w:rPr>
        <w:t xml:space="preserve"> as at 31/12/2014</w:t>
      </w:r>
    </w:p>
    <w:tbl>
      <w:tblPr>
        <w:tblStyle w:val="LightGrid-Accent5"/>
        <w:tblW w:w="4919" w:type="pct"/>
        <w:tblLayout w:type="fixed"/>
        <w:tblLook w:val="04A0" w:firstRow="1" w:lastRow="0" w:firstColumn="1" w:lastColumn="0" w:noHBand="0" w:noVBand="1"/>
      </w:tblPr>
      <w:tblGrid>
        <w:gridCol w:w="1952"/>
        <w:gridCol w:w="711"/>
        <w:gridCol w:w="711"/>
        <w:gridCol w:w="709"/>
        <w:gridCol w:w="711"/>
        <w:gridCol w:w="709"/>
        <w:gridCol w:w="709"/>
        <w:gridCol w:w="707"/>
        <w:gridCol w:w="709"/>
        <w:gridCol w:w="709"/>
        <w:gridCol w:w="755"/>
      </w:tblGrid>
      <w:tr w:rsidR="004E6623" w:rsidRPr="005F67C4" w:rsidTr="000953A0">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073" w:type="pct"/>
            <w:noWrap/>
            <w:vAlign w:val="center"/>
            <w:hideMark/>
          </w:tcPr>
          <w:p w:rsidR="004E6623" w:rsidRPr="005F67C4" w:rsidRDefault="004E6623" w:rsidP="00771880">
            <w:pPr>
              <w:rPr>
                <w:rFonts w:ascii="Calibri" w:eastAsia="Times New Roman" w:hAnsi="Calibri" w:cs="Calibri"/>
                <w:color w:val="000000"/>
                <w:sz w:val="20"/>
                <w:szCs w:val="20"/>
                <w:lang w:eastAsia="en-IE"/>
              </w:rPr>
            </w:pPr>
          </w:p>
        </w:tc>
        <w:tc>
          <w:tcPr>
            <w:tcW w:w="1563" w:type="pct"/>
            <w:gridSpan w:val="4"/>
            <w:shd w:val="clear" w:color="auto" w:fill="FFBDBD"/>
            <w:vAlign w:val="center"/>
            <w:hideMark/>
          </w:tcPr>
          <w:p w:rsidR="004E6623" w:rsidRPr="005F67C4" w:rsidRDefault="00D26CA9" w:rsidP="007718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Structural Distress</w:t>
            </w:r>
          </w:p>
        </w:tc>
        <w:tc>
          <w:tcPr>
            <w:tcW w:w="780" w:type="pct"/>
            <w:gridSpan w:val="2"/>
            <w:shd w:val="clear" w:color="auto" w:fill="FFE89F"/>
            <w:vAlign w:val="center"/>
            <w:hideMark/>
          </w:tcPr>
          <w:p w:rsidR="004E6623" w:rsidRPr="005F67C4" w:rsidRDefault="004E6623" w:rsidP="007718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Pavement Defects</w:t>
            </w:r>
          </w:p>
        </w:tc>
        <w:tc>
          <w:tcPr>
            <w:tcW w:w="779" w:type="pct"/>
            <w:gridSpan w:val="2"/>
            <w:shd w:val="clear" w:color="auto" w:fill="9BD4FF"/>
            <w:vAlign w:val="center"/>
            <w:hideMark/>
          </w:tcPr>
          <w:p w:rsidR="004E6623" w:rsidRPr="005F67C4" w:rsidRDefault="004E6623" w:rsidP="007718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Surface Defects</w:t>
            </w:r>
          </w:p>
        </w:tc>
        <w:tc>
          <w:tcPr>
            <w:tcW w:w="806" w:type="pct"/>
            <w:gridSpan w:val="2"/>
            <w:shd w:val="clear" w:color="auto" w:fill="ABFFD1"/>
            <w:vAlign w:val="center"/>
            <w:hideMark/>
          </w:tcPr>
          <w:p w:rsidR="004E6623" w:rsidRPr="005F67C4" w:rsidRDefault="004E6623" w:rsidP="007718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 xml:space="preserve">Not Visible/Minor </w:t>
            </w:r>
          </w:p>
        </w:tc>
      </w:tr>
      <w:tr w:rsidR="000953A0" w:rsidRPr="005F67C4" w:rsidTr="000953A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83560E" w:rsidP="0087184C">
            <w:pPr>
              <w:jc w:val="cente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Authority</w:t>
            </w:r>
          </w:p>
        </w:tc>
        <w:tc>
          <w:tcPr>
            <w:tcW w:w="391" w:type="pct"/>
            <w:hideMark/>
          </w:tcPr>
          <w:p w:rsidR="0083560E" w:rsidRPr="005F67C4" w:rsidRDefault="0083560E" w:rsidP="008718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Cat. 1</w:t>
            </w:r>
          </w:p>
        </w:tc>
        <w:tc>
          <w:tcPr>
            <w:tcW w:w="391" w:type="pct"/>
            <w:hideMark/>
          </w:tcPr>
          <w:p w:rsidR="0083560E" w:rsidRPr="005F67C4" w:rsidRDefault="0083560E" w:rsidP="008718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Cat. 2</w:t>
            </w:r>
          </w:p>
        </w:tc>
        <w:tc>
          <w:tcPr>
            <w:tcW w:w="390" w:type="pct"/>
            <w:hideMark/>
          </w:tcPr>
          <w:p w:rsidR="0083560E" w:rsidRPr="005F67C4" w:rsidRDefault="0083560E" w:rsidP="008718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Cat. 3</w:t>
            </w:r>
          </w:p>
        </w:tc>
        <w:tc>
          <w:tcPr>
            <w:tcW w:w="391" w:type="pct"/>
            <w:hideMark/>
          </w:tcPr>
          <w:p w:rsidR="0083560E" w:rsidRPr="005F67C4" w:rsidRDefault="0083560E" w:rsidP="008718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Cat. 4</w:t>
            </w:r>
          </w:p>
        </w:tc>
        <w:tc>
          <w:tcPr>
            <w:tcW w:w="390" w:type="pct"/>
            <w:hideMark/>
          </w:tcPr>
          <w:p w:rsidR="0083560E" w:rsidRPr="005F67C4" w:rsidRDefault="0083560E" w:rsidP="008718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Cat. 5</w:t>
            </w:r>
          </w:p>
        </w:tc>
        <w:tc>
          <w:tcPr>
            <w:tcW w:w="390" w:type="pct"/>
            <w:hideMark/>
          </w:tcPr>
          <w:p w:rsidR="0083560E" w:rsidRPr="005F67C4" w:rsidRDefault="0083560E" w:rsidP="008718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Cat. 6</w:t>
            </w:r>
          </w:p>
        </w:tc>
        <w:tc>
          <w:tcPr>
            <w:tcW w:w="389" w:type="pct"/>
            <w:hideMark/>
          </w:tcPr>
          <w:p w:rsidR="0083560E" w:rsidRPr="005F67C4" w:rsidRDefault="0083560E" w:rsidP="008718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Cat. 7</w:t>
            </w:r>
          </w:p>
        </w:tc>
        <w:tc>
          <w:tcPr>
            <w:tcW w:w="390" w:type="pct"/>
            <w:hideMark/>
          </w:tcPr>
          <w:p w:rsidR="0083560E" w:rsidRPr="005F67C4" w:rsidRDefault="0083560E" w:rsidP="008718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Cat. 8</w:t>
            </w:r>
          </w:p>
        </w:tc>
        <w:tc>
          <w:tcPr>
            <w:tcW w:w="390" w:type="pct"/>
            <w:hideMark/>
          </w:tcPr>
          <w:p w:rsidR="0083560E" w:rsidRPr="005F67C4" w:rsidRDefault="0083560E" w:rsidP="008718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Cat. 9</w:t>
            </w:r>
          </w:p>
        </w:tc>
        <w:tc>
          <w:tcPr>
            <w:tcW w:w="416" w:type="pct"/>
            <w:hideMark/>
          </w:tcPr>
          <w:p w:rsidR="0083560E" w:rsidRPr="005F67C4" w:rsidRDefault="0083560E" w:rsidP="008718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Cat. 10</w:t>
            </w:r>
          </w:p>
        </w:tc>
      </w:tr>
      <w:tr w:rsidR="000953A0" w:rsidRPr="00B52429" w:rsidTr="000953A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B52429" w:rsidRDefault="0083560E" w:rsidP="0087184C">
            <w:pPr>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 </w:t>
            </w:r>
          </w:p>
        </w:tc>
        <w:tc>
          <w:tcPr>
            <w:tcW w:w="391" w:type="pct"/>
            <w:hideMark/>
          </w:tcPr>
          <w:p w:rsidR="0083560E" w:rsidRPr="00B52429" w:rsidRDefault="0083560E" w:rsidP="0087184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 </w:t>
            </w:r>
          </w:p>
        </w:tc>
        <w:tc>
          <w:tcPr>
            <w:tcW w:w="391" w:type="pct"/>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 </w:t>
            </w:r>
          </w:p>
        </w:tc>
        <w:tc>
          <w:tcPr>
            <w:tcW w:w="390" w:type="pct"/>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 </w:t>
            </w:r>
          </w:p>
        </w:tc>
        <w:tc>
          <w:tcPr>
            <w:tcW w:w="391" w:type="pct"/>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 </w:t>
            </w:r>
          </w:p>
        </w:tc>
        <w:tc>
          <w:tcPr>
            <w:tcW w:w="390" w:type="pct"/>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 </w:t>
            </w:r>
          </w:p>
        </w:tc>
        <w:tc>
          <w:tcPr>
            <w:tcW w:w="390" w:type="pct"/>
            <w:hideMark/>
          </w:tcPr>
          <w:p w:rsidR="0083560E" w:rsidRPr="00B52429" w:rsidRDefault="0083560E" w:rsidP="0087184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 </w:t>
            </w:r>
          </w:p>
        </w:tc>
        <w:tc>
          <w:tcPr>
            <w:tcW w:w="389" w:type="pct"/>
            <w:hideMark/>
          </w:tcPr>
          <w:p w:rsidR="0083560E" w:rsidRPr="00B52429" w:rsidRDefault="0083560E" w:rsidP="0087184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 </w:t>
            </w:r>
          </w:p>
        </w:tc>
        <w:tc>
          <w:tcPr>
            <w:tcW w:w="390" w:type="pct"/>
            <w:hideMark/>
          </w:tcPr>
          <w:p w:rsidR="0083560E" w:rsidRPr="00B52429" w:rsidRDefault="0083560E" w:rsidP="0087184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 </w:t>
            </w:r>
          </w:p>
        </w:tc>
        <w:tc>
          <w:tcPr>
            <w:tcW w:w="390" w:type="pct"/>
            <w:hideMark/>
          </w:tcPr>
          <w:p w:rsidR="0083560E" w:rsidRPr="00B52429" w:rsidRDefault="0083560E" w:rsidP="0087184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 </w:t>
            </w:r>
          </w:p>
        </w:tc>
        <w:tc>
          <w:tcPr>
            <w:tcW w:w="416" w:type="pct"/>
            <w:noWrap/>
            <w:hideMark/>
          </w:tcPr>
          <w:p w:rsidR="0083560E" w:rsidRPr="00B52429" w:rsidRDefault="0083560E" w:rsidP="0087184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 </w:t>
            </w:r>
          </w:p>
        </w:tc>
      </w:tr>
      <w:tr w:rsidR="000953A0" w:rsidRPr="00B52429" w:rsidTr="000953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83560E" w:rsidP="0087184C">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Carlow County</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12</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4</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12</w:t>
            </w:r>
          </w:p>
        </w:tc>
        <w:tc>
          <w:tcPr>
            <w:tcW w:w="389"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12</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46</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12</w:t>
            </w:r>
          </w:p>
        </w:tc>
        <w:tc>
          <w:tcPr>
            <w:tcW w:w="416"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r>
      <w:tr w:rsidR="000953A0" w:rsidRPr="00B52429" w:rsidTr="000953A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83560E" w:rsidP="0087184C">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Cavan County</w:t>
            </w:r>
          </w:p>
        </w:tc>
        <w:tc>
          <w:tcPr>
            <w:tcW w:w="391" w:type="pct"/>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8</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31</w:t>
            </w:r>
          </w:p>
        </w:tc>
        <w:tc>
          <w:tcPr>
            <w:tcW w:w="389"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15</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15</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16</w:t>
            </w:r>
          </w:p>
        </w:tc>
        <w:tc>
          <w:tcPr>
            <w:tcW w:w="416"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w:t>
            </w:r>
          </w:p>
        </w:tc>
      </w:tr>
      <w:tr w:rsidR="000953A0" w:rsidRPr="00B52429" w:rsidTr="000953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83560E" w:rsidP="0087184C">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Clare County</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4</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14</w:t>
            </w:r>
          </w:p>
        </w:tc>
        <w:tc>
          <w:tcPr>
            <w:tcW w:w="389"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28</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34</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11</w:t>
            </w:r>
          </w:p>
        </w:tc>
        <w:tc>
          <w:tcPr>
            <w:tcW w:w="416"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7</w:t>
            </w:r>
          </w:p>
        </w:tc>
      </w:tr>
      <w:tr w:rsidR="000953A0" w:rsidRPr="00B52429" w:rsidTr="000953A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14356A" w:rsidRPr="005F67C4" w:rsidRDefault="0014356A" w:rsidP="0087184C">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Cork City</w:t>
            </w:r>
          </w:p>
        </w:tc>
        <w:tc>
          <w:tcPr>
            <w:tcW w:w="391" w:type="pct"/>
            <w:hideMark/>
          </w:tcPr>
          <w:p w:rsidR="0014356A" w:rsidRPr="00B52429" w:rsidRDefault="0014356A"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vertAlign w:val="superscript"/>
                <w:lang w:eastAsia="en-IE"/>
              </w:rPr>
            </w:pPr>
            <w:r w:rsidRPr="00B52429">
              <w:rPr>
                <w:rFonts w:ascii="Calibri" w:eastAsia="Times New Roman" w:hAnsi="Calibri" w:cs="Calibri"/>
                <w:color w:val="000000"/>
                <w:sz w:val="18"/>
                <w:szCs w:val="18"/>
                <w:lang w:eastAsia="en-IE"/>
              </w:rPr>
              <w:t>N/A </w:t>
            </w:r>
            <w:r>
              <w:rPr>
                <w:rFonts w:ascii="Calibri" w:eastAsia="Times New Roman" w:hAnsi="Calibri" w:cs="Calibri"/>
                <w:color w:val="000000"/>
                <w:sz w:val="18"/>
                <w:szCs w:val="18"/>
                <w:vertAlign w:val="superscript"/>
                <w:lang w:eastAsia="en-IE"/>
              </w:rPr>
              <w:t xml:space="preserve"> </w:t>
            </w:r>
            <w:r w:rsidR="00845B83">
              <w:rPr>
                <w:rFonts w:ascii="Calibri" w:eastAsia="Times New Roman" w:hAnsi="Calibri" w:cs="Calibri"/>
                <w:color w:val="000000"/>
                <w:sz w:val="18"/>
                <w:szCs w:val="18"/>
                <w:vertAlign w:val="superscript"/>
                <w:lang w:eastAsia="en-IE"/>
              </w:rPr>
              <w:t>b</w:t>
            </w:r>
          </w:p>
        </w:tc>
        <w:tc>
          <w:tcPr>
            <w:tcW w:w="391" w:type="pct"/>
            <w:noWrap/>
            <w:hideMark/>
          </w:tcPr>
          <w:p w:rsidR="0014356A" w:rsidRPr="005F5327" w:rsidRDefault="0014356A"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vertAlign w:val="superscript"/>
                <w:lang w:eastAsia="en-IE"/>
              </w:rPr>
            </w:pPr>
            <w:r w:rsidRPr="00B52429">
              <w:rPr>
                <w:rFonts w:ascii="Calibri" w:eastAsia="Times New Roman" w:hAnsi="Calibri" w:cs="Calibri"/>
                <w:color w:val="000000"/>
                <w:sz w:val="18"/>
                <w:szCs w:val="18"/>
                <w:lang w:eastAsia="en-IE"/>
              </w:rPr>
              <w:t>N/A </w:t>
            </w:r>
            <w:r>
              <w:rPr>
                <w:rFonts w:ascii="Calibri" w:eastAsia="Times New Roman" w:hAnsi="Calibri" w:cs="Calibri"/>
                <w:color w:val="000000"/>
                <w:sz w:val="18"/>
                <w:szCs w:val="18"/>
                <w:vertAlign w:val="superscript"/>
                <w:lang w:eastAsia="en-IE"/>
              </w:rPr>
              <w:t xml:space="preserve"> </w:t>
            </w:r>
          </w:p>
        </w:tc>
        <w:tc>
          <w:tcPr>
            <w:tcW w:w="390" w:type="pct"/>
            <w:noWrap/>
            <w:hideMark/>
          </w:tcPr>
          <w:p w:rsidR="0014356A" w:rsidRDefault="0014356A">
            <w:pPr>
              <w:cnfStyle w:val="000000010000" w:firstRow="0" w:lastRow="0" w:firstColumn="0" w:lastColumn="0" w:oddVBand="0" w:evenVBand="0" w:oddHBand="0" w:evenHBand="1" w:firstRowFirstColumn="0" w:firstRowLastColumn="0" w:lastRowFirstColumn="0" w:lastRowLastColumn="0"/>
            </w:pPr>
            <w:r w:rsidRPr="00432824">
              <w:rPr>
                <w:rFonts w:ascii="Calibri" w:eastAsia="Times New Roman" w:hAnsi="Calibri" w:cs="Calibri"/>
                <w:color w:val="000000"/>
                <w:sz w:val="18"/>
                <w:szCs w:val="18"/>
                <w:lang w:eastAsia="en-IE"/>
              </w:rPr>
              <w:t>N/A </w:t>
            </w:r>
          </w:p>
        </w:tc>
        <w:tc>
          <w:tcPr>
            <w:tcW w:w="391" w:type="pct"/>
            <w:noWrap/>
            <w:hideMark/>
          </w:tcPr>
          <w:p w:rsidR="0014356A" w:rsidRDefault="0014356A">
            <w:pPr>
              <w:cnfStyle w:val="000000010000" w:firstRow="0" w:lastRow="0" w:firstColumn="0" w:lastColumn="0" w:oddVBand="0" w:evenVBand="0" w:oddHBand="0" w:evenHBand="1" w:firstRowFirstColumn="0" w:firstRowLastColumn="0" w:lastRowFirstColumn="0" w:lastRowLastColumn="0"/>
            </w:pPr>
            <w:r w:rsidRPr="00432824">
              <w:rPr>
                <w:rFonts w:ascii="Calibri" w:eastAsia="Times New Roman" w:hAnsi="Calibri" w:cs="Calibri"/>
                <w:color w:val="000000"/>
                <w:sz w:val="18"/>
                <w:szCs w:val="18"/>
                <w:lang w:eastAsia="en-IE"/>
              </w:rPr>
              <w:t>N/A </w:t>
            </w:r>
          </w:p>
        </w:tc>
        <w:tc>
          <w:tcPr>
            <w:tcW w:w="390" w:type="pct"/>
            <w:noWrap/>
            <w:hideMark/>
          </w:tcPr>
          <w:p w:rsidR="0014356A" w:rsidRDefault="0014356A">
            <w:pPr>
              <w:cnfStyle w:val="000000010000" w:firstRow="0" w:lastRow="0" w:firstColumn="0" w:lastColumn="0" w:oddVBand="0" w:evenVBand="0" w:oddHBand="0" w:evenHBand="1" w:firstRowFirstColumn="0" w:firstRowLastColumn="0" w:lastRowFirstColumn="0" w:lastRowLastColumn="0"/>
            </w:pPr>
            <w:r w:rsidRPr="00432824">
              <w:rPr>
                <w:rFonts w:ascii="Calibri" w:eastAsia="Times New Roman" w:hAnsi="Calibri" w:cs="Calibri"/>
                <w:color w:val="000000"/>
                <w:sz w:val="18"/>
                <w:szCs w:val="18"/>
                <w:lang w:eastAsia="en-IE"/>
              </w:rPr>
              <w:t>N/A </w:t>
            </w:r>
          </w:p>
        </w:tc>
        <w:tc>
          <w:tcPr>
            <w:tcW w:w="390" w:type="pct"/>
            <w:noWrap/>
            <w:hideMark/>
          </w:tcPr>
          <w:p w:rsidR="0014356A" w:rsidRDefault="0014356A">
            <w:pPr>
              <w:cnfStyle w:val="000000010000" w:firstRow="0" w:lastRow="0" w:firstColumn="0" w:lastColumn="0" w:oddVBand="0" w:evenVBand="0" w:oddHBand="0" w:evenHBand="1" w:firstRowFirstColumn="0" w:firstRowLastColumn="0" w:lastRowFirstColumn="0" w:lastRowLastColumn="0"/>
            </w:pPr>
            <w:r w:rsidRPr="00432824">
              <w:rPr>
                <w:rFonts w:ascii="Calibri" w:eastAsia="Times New Roman" w:hAnsi="Calibri" w:cs="Calibri"/>
                <w:color w:val="000000"/>
                <w:sz w:val="18"/>
                <w:szCs w:val="18"/>
                <w:lang w:eastAsia="en-IE"/>
              </w:rPr>
              <w:t>N/A </w:t>
            </w:r>
          </w:p>
        </w:tc>
        <w:tc>
          <w:tcPr>
            <w:tcW w:w="389" w:type="pct"/>
            <w:noWrap/>
            <w:hideMark/>
          </w:tcPr>
          <w:p w:rsidR="0014356A" w:rsidRDefault="0014356A">
            <w:pPr>
              <w:cnfStyle w:val="000000010000" w:firstRow="0" w:lastRow="0" w:firstColumn="0" w:lastColumn="0" w:oddVBand="0" w:evenVBand="0" w:oddHBand="0" w:evenHBand="1" w:firstRowFirstColumn="0" w:firstRowLastColumn="0" w:lastRowFirstColumn="0" w:lastRowLastColumn="0"/>
            </w:pPr>
            <w:r w:rsidRPr="00432824">
              <w:rPr>
                <w:rFonts w:ascii="Calibri" w:eastAsia="Times New Roman" w:hAnsi="Calibri" w:cs="Calibri"/>
                <w:color w:val="000000"/>
                <w:sz w:val="18"/>
                <w:szCs w:val="18"/>
                <w:lang w:eastAsia="en-IE"/>
              </w:rPr>
              <w:t>N/A </w:t>
            </w:r>
          </w:p>
        </w:tc>
        <w:tc>
          <w:tcPr>
            <w:tcW w:w="390" w:type="pct"/>
            <w:noWrap/>
            <w:hideMark/>
          </w:tcPr>
          <w:p w:rsidR="0014356A" w:rsidRDefault="0014356A">
            <w:pPr>
              <w:cnfStyle w:val="000000010000" w:firstRow="0" w:lastRow="0" w:firstColumn="0" w:lastColumn="0" w:oddVBand="0" w:evenVBand="0" w:oddHBand="0" w:evenHBand="1" w:firstRowFirstColumn="0" w:firstRowLastColumn="0" w:lastRowFirstColumn="0" w:lastRowLastColumn="0"/>
            </w:pPr>
            <w:r w:rsidRPr="00432824">
              <w:rPr>
                <w:rFonts w:ascii="Calibri" w:eastAsia="Times New Roman" w:hAnsi="Calibri" w:cs="Calibri"/>
                <w:color w:val="000000"/>
                <w:sz w:val="18"/>
                <w:szCs w:val="18"/>
                <w:lang w:eastAsia="en-IE"/>
              </w:rPr>
              <w:t>N/A </w:t>
            </w:r>
          </w:p>
        </w:tc>
        <w:tc>
          <w:tcPr>
            <w:tcW w:w="390" w:type="pct"/>
            <w:noWrap/>
            <w:hideMark/>
          </w:tcPr>
          <w:p w:rsidR="0014356A" w:rsidRDefault="0014356A">
            <w:pPr>
              <w:cnfStyle w:val="000000010000" w:firstRow="0" w:lastRow="0" w:firstColumn="0" w:lastColumn="0" w:oddVBand="0" w:evenVBand="0" w:oddHBand="0" w:evenHBand="1" w:firstRowFirstColumn="0" w:firstRowLastColumn="0" w:lastRowFirstColumn="0" w:lastRowLastColumn="0"/>
            </w:pPr>
            <w:r w:rsidRPr="00432824">
              <w:rPr>
                <w:rFonts w:ascii="Calibri" w:eastAsia="Times New Roman" w:hAnsi="Calibri" w:cs="Calibri"/>
                <w:color w:val="000000"/>
                <w:sz w:val="18"/>
                <w:szCs w:val="18"/>
                <w:lang w:eastAsia="en-IE"/>
              </w:rPr>
              <w:t>N/A </w:t>
            </w:r>
          </w:p>
        </w:tc>
        <w:tc>
          <w:tcPr>
            <w:tcW w:w="416" w:type="pct"/>
            <w:noWrap/>
            <w:hideMark/>
          </w:tcPr>
          <w:p w:rsidR="0014356A" w:rsidRDefault="0014356A">
            <w:pPr>
              <w:cnfStyle w:val="000000010000" w:firstRow="0" w:lastRow="0" w:firstColumn="0" w:lastColumn="0" w:oddVBand="0" w:evenVBand="0" w:oddHBand="0" w:evenHBand="1" w:firstRowFirstColumn="0" w:firstRowLastColumn="0" w:lastRowFirstColumn="0" w:lastRowLastColumn="0"/>
            </w:pPr>
            <w:r w:rsidRPr="00432824">
              <w:rPr>
                <w:rFonts w:ascii="Calibri" w:eastAsia="Times New Roman" w:hAnsi="Calibri" w:cs="Calibri"/>
                <w:color w:val="000000"/>
                <w:sz w:val="18"/>
                <w:szCs w:val="18"/>
                <w:lang w:eastAsia="en-IE"/>
              </w:rPr>
              <w:t>N/A </w:t>
            </w:r>
          </w:p>
        </w:tc>
      </w:tr>
      <w:tr w:rsidR="000953A0" w:rsidRPr="00B52429" w:rsidTr="000953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83560E" w:rsidP="0087184C">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Cork County</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0.01</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0.44</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0.75</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6</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7.68</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13.69</w:t>
            </w:r>
          </w:p>
        </w:tc>
        <w:tc>
          <w:tcPr>
            <w:tcW w:w="389"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18.58</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25.6</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22.2</w:t>
            </w:r>
          </w:p>
        </w:tc>
        <w:tc>
          <w:tcPr>
            <w:tcW w:w="416"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5.06</w:t>
            </w:r>
          </w:p>
        </w:tc>
      </w:tr>
      <w:tr w:rsidR="000953A0" w:rsidRPr="00B52429" w:rsidTr="000953A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83560E" w:rsidP="0087184C">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Donegal County</w:t>
            </w:r>
          </w:p>
        </w:tc>
        <w:tc>
          <w:tcPr>
            <w:tcW w:w="391" w:type="pct"/>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1.77</w:t>
            </w:r>
          </w:p>
        </w:tc>
        <w:tc>
          <w:tcPr>
            <w:tcW w:w="391"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0.44</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0.41</w:t>
            </w:r>
          </w:p>
        </w:tc>
        <w:tc>
          <w:tcPr>
            <w:tcW w:w="391"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8.48</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14.75</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20.36</w:t>
            </w:r>
          </w:p>
        </w:tc>
        <w:tc>
          <w:tcPr>
            <w:tcW w:w="389"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20.57</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16</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12.41</w:t>
            </w:r>
          </w:p>
        </w:tc>
        <w:tc>
          <w:tcPr>
            <w:tcW w:w="416"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4.83</w:t>
            </w:r>
          </w:p>
        </w:tc>
      </w:tr>
      <w:tr w:rsidR="000953A0" w:rsidRPr="00B52429" w:rsidTr="000953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83560E" w:rsidP="0087184C">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Dublin City</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0.48</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1.5</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4.75</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6.8</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27.31</w:t>
            </w:r>
          </w:p>
        </w:tc>
        <w:tc>
          <w:tcPr>
            <w:tcW w:w="389"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0.85</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14.88</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20.49</w:t>
            </w:r>
          </w:p>
        </w:tc>
        <w:tc>
          <w:tcPr>
            <w:tcW w:w="416"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22.94</w:t>
            </w:r>
          </w:p>
        </w:tc>
      </w:tr>
      <w:tr w:rsidR="000953A0" w:rsidRPr="00B52429" w:rsidTr="000953A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83560E" w:rsidP="0087184C">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 xml:space="preserve">Dun Laoghaire </w:t>
            </w:r>
            <w:proofErr w:type="spellStart"/>
            <w:r w:rsidRPr="005F67C4">
              <w:rPr>
                <w:rFonts w:ascii="Calibri" w:eastAsia="Times New Roman" w:hAnsi="Calibri" w:cs="Calibri"/>
                <w:color w:val="000000"/>
                <w:sz w:val="20"/>
                <w:szCs w:val="20"/>
                <w:lang w:eastAsia="en-IE"/>
              </w:rPr>
              <w:t>Rathdown</w:t>
            </w:r>
            <w:proofErr w:type="spellEnd"/>
          </w:p>
        </w:tc>
        <w:tc>
          <w:tcPr>
            <w:tcW w:w="391" w:type="pct"/>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vertAlign w:val="superscript"/>
                <w:lang w:eastAsia="en-IE"/>
              </w:rPr>
            </w:pPr>
            <w:r w:rsidRPr="00B52429">
              <w:rPr>
                <w:rFonts w:ascii="Calibri" w:eastAsia="Times New Roman" w:hAnsi="Calibri" w:cs="Calibri"/>
                <w:color w:val="000000"/>
                <w:sz w:val="18"/>
                <w:szCs w:val="18"/>
                <w:lang w:eastAsia="en-IE"/>
              </w:rPr>
              <w:t> N/</w:t>
            </w:r>
            <w:proofErr w:type="spellStart"/>
            <w:r w:rsidRPr="00B52429">
              <w:rPr>
                <w:rFonts w:ascii="Calibri" w:eastAsia="Times New Roman" w:hAnsi="Calibri" w:cs="Calibri"/>
                <w:color w:val="000000"/>
                <w:sz w:val="18"/>
                <w:szCs w:val="18"/>
                <w:lang w:eastAsia="en-IE"/>
              </w:rPr>
              <w:t>A</w:t>
            </w:r>
            <w:r>
              <w:rPr>
                <w:rFonts w:ascii="Calibri" w:eastAsia="Times New Roman" w:hAnsi="Calibri" w:cs="Calibri"/>
                <w:color w:val="000000"/>
                <w:sz w:val="18"/>
                <w:szCs w:val="18"/>
                <w:vertAlign w:val="superscript"/>
                <w:lang w:eastAsia="en-IE"/>
              </w:rPr>
              <w:t>b</w:t>
            </w:r>
            <w:proofErr w:type="spellEnd"/>
          </w:p>
        </w:tc>
        <w:tc>
          <w:tcPr>
            <w:tcW w:w="391"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N/A</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N/A </w:t>
            </w:r>
          </w:p>
        </w:tc>
        <w:tc>
          <w:tcPr>
            <w:tcW w:w="391"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 N/A</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 N/A</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 N/A</w:t>
            </w:r>
          </w:p>
        </w:tc>
        <w:tc>
          <w:tcPr>
            <w:tcW w:w="389"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N/A </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N/A </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N/A </w:t>
            </w:r>
          </w:p>
        </w:tc>
        <w:tc>
          <w:tcPr>
            <w:tcW w:w="416"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 N/A</w:t>
            </w:r>
          </w:p>
        </w:tc>
      </w:tr>
      <w:tr w:rsidR="000953A0" w:rsidRPr="00B52429" w:rsidTr="000953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83560E" w:rsidP="0087184C">
            <w:pPr>
              <w:rPr>
                <w:rFonts w:ascii="Calibri" w:eastAsia="Times New Roman" w:hAnsi="Calibri" w:cs="Calibri"/>
                <w:color w:val="000000"/>
                <w:sz w:val="20"/>
                <w:szCs w:val="20"/>
                <w:lang w:eastAsia="en-IE"/>
              </w:rPr>
            </w:pPr>
            <w:proofErr w:type="spellStart"/>
            <w:r w:rsidRPr="005F67C4">
              <w:rPr>
                <w:rFonts w:ascii="Calibri" w:eastAsia="Times New Roman" w:hAnsi="Calibri" w:cs="Calibri"/>
                <w:color w:val="000000"/>
                <w:sz w:val="20"/>
                <w:szCs w:val="20"/>
                <w:lang w:eastAsia="en-IE"/>
              </w:rPr>
              <w:t>Fingal</w:t>
            </w:r>
            <w:proofErr w:type="spellEnd"/>
            <w:r w:rsidRPr="005F67C4">
              <w:rPr>
                <w:rFonts w:ascii="Calibri" w:eastAsia="Times New Roman" w:hAnsi="Calibri" w:cs="Calibri"/>
                <w:color w:val="000000"/>
                <w:sz w:val="20"/>
                <w:szCs w:val="20"/>
                <w:lang w:eastAsia="en-IE"/>
              </w:rPr>
              <w:t xml:space="preserve"> County</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vertAlign w:val="superscript"/>
                <w:lang w:eastAsia="en-IE"/>
              </w:rPr>
            </w:pPr>
            <w:r w:rsidRPr="00B52429">
              <w:rPr>
                <w:rFonts w:ascii="Calibri" w:eastAsia="Times New Roman" w:hAnsi="Calibri" w:cs="Calibri"/>
                <w:color w:val="000000"/>
                <w:sz w:val="18"/>
                <w:szCs w:val="18"/>
                <w:lang w:eastAsia="en-IE"/>
              </w:rPr>
              <w:t>N/</w:t>
            </w:r>
            <w:proofErr w:type="spellStart"/>
            <w:r w:rsidRPr="00B52429">
              <w:rPr>
                <w:rFonts w:ascii="Calibri" w:eastAsia="Times New Roman" w:hAnsi="Calibri" w:cs="Calibri"/>
                <w:color w:val="000000"/>
                <w:sz w:val="18"/>
                <w:szCs w:val="18"/>
                <w:lang w:eastAsia="en-IE"/>
              </w:rPr>
              <w:t>A</w:t>
            </w:r>
            <w:r w:rsidR="00845B83">
              <w:rPr>
                <w:rFonts w:ascii="Calibri" w:eastAsia="Times New Roman" w:hAnsi="Calibri" w:cs="Calibri"/>
                <w:color w:val="000000"/>
                <w:sz w:val="18"/>
                <w:szCs w:val="18"/>
                <w:vertAlign w:val="superscript"/>
                <w:lang w:eastAsia="en-IE"/>
              </w:rPr>
              <w:t>b</w:t>
            </w:r>
            <w:proofErr w:type="spellEnd"/>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N/A</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N/A</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N/A</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N/A</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N/A</w:t>
            </w:r>
          </w:p>
        </w:tc>
        <w:tc>
          <w:tcPr>
            <w:tcW w:w="389"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N/A</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N/A</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N/A</w:t>
            </w:r>
          </w:p>
        </w:tc>
        <w:tc>
          <w:tcPr>
            <w:tcW w:w="416"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N/A</w:t>
            </w:r>
          </w:p>
        </w:tc>
      </w:tr>
      <w:tr w:rsidR="000953A0" w:rsidRPr="00B52429" w:rsidTr="000953A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83560E" w:rsidP="0087184C">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Galway City</w:t>
            </w:r>
          </w:p>
        </w:tc>
        <w:tc>
          <w:tcPr>
            <w:tcW w:w="391" w:type="pct"/>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8.9</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89"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4.3</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40.2</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16</w:t>
            </w:r>
          </w:p>
        </w:tc>
        <w:tc>
          <w:tcPr>
            <w:tcW w:w="416"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30</w:t>
            </w:r>
          </w:p>
        </w:tc>
      </w:tr>
      <w:tr w:rsidR="000953A0" w:rsidRPr="00B52429" w:rsidTr="000953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83560E" w:rsidP="0087184C">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Galway County</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0.02</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0.41</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15.03</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9.98</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13.18</w:t>
            </w:r>
          </w:p>
        </w:tc>
        <w:tc>
          <w:tcPr>
            <w:tcW w:w="389"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21.15</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20.7</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11.8</w:t>
            </w:r>
          </w:p>
        </w:tc>
        <w:tc>
          <w:tcPr>
            <w:tcW w:w="416"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7.74</w:t>
            </w:r>
          </w:p>
        </w:tc>
      </w:tr>
      <w:tr w:rsidR="000953A0" w:rsidRPr="00B52429" w:rsidTr="000953A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83560E" w:rsidP="0087184C">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Kerry County</w:t>
            </w:r>
          </w:p>
        </w:tc>
        <w:tc>
          <w:tcPr>
            <w:tcW w:w="391" w:type="pct"/>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w:t>
            </w:r>
          </w:p>
        </w:tc>
        <w:tc>
          <w:tcPr>
            <w:tcW w:w="391"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4.8</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3.3</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10.8</w:t>
            </w:r>
          </w:p>
        </w:tc>
        <w:tc>
          <w:tcPr>
            <w:tcW w:w="389"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27.3</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18.9</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27.7</w:t>
            </w:r>
          </w:p>
        </w:tc>
        <w:tc>
          <w:tcPr>
            <w:tcW w:w="416"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4.3</w:t>
            </w:r>
          </w:p>
        </w:tc>
      </w:tr>
      <w:tr w:rsidR="000953A0" w:rsidRPr="00B52429" w:rsidTr="000953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83560E" w:rsidP="0087184C">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Kildare County</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2.26</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0.75</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0.75</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5.26</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3.38</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8.65</w:t>
            </w:r>
          </w:p>
        </w:tc>
        <w:tc>
          <w:tcPr>
            <w:tcW w:w="389"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16.92</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21.43</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24.81</w:t>
            </w:r>
          </w:p>
        </w:tc>
        <w:tc>
          <w:tcPr>
            <w:tcW w:w="416"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15.79</w:t>
            </w:r>
          </w:p>
        </w:tc>
      </w:tr>
      <w:tr w:rsidR="000953A0" w:rsidRPr="00B52429" w:rsidTr="000953A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83560E" w:rsidP="0087184C">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Kilkenny County</w:t>
            </w:r>
          </w:p>
        </w:tc>
        <w:tc>
          <w:tcPr>
            <w:tcW w:w="391" w:type="pct"/>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21</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15</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4</w:t>
            </w:r>
          </w:p>
        </w:tc>
        <w:tc>
          <w:tcPr>
            <w:tcW w:w="389"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18</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40</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w:t>
            </w:r>
          </w:p>
        </w:tc>
        <w:tc>
          <w:tcPr>
            <w:tcW w:w="416"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r>
      <w:tr w:rsidR="000953A0" w:rsidRPr="00B52429" w:rsidTr="000953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83560E" w:rsidP="0087184C">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Laois County</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9</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13</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20</w:t>
            </w:r>
          </w:p>
        </w:tc>
        <w:tc>
          <w:tcPr>
            <w:tcW w:w="389"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15</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18</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16</w:t>
            </w:r>
          </w:p>
        </w:tc>
        <w:tc>
          <w:tcPr>
            <w:tcW w:w="416"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6</w:t>
            </w:r>
          </w:p>
        </w:tc>
      </w:tr>
      <w:tr w:rsidR="000953A0" w:rsidRPr="00B52429" w:rsidTr="000953A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83560E" w:rsidP="0087184C">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Leitrim County</w:t>
            </w:r>
          </w:p>
        </w:tc>
        <w:tc>
          <w:tcPr>
            <w:tcW w:w="391" w:type="pct"/>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74</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20</w:t>
            </w:r>
          </w:p>
        </w:tc>
        <w:tc>
          <w:tcPr>
            <w:tcW w:w="389"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3</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w:t>
            </w:r>
          </w:p>
        </w:tc>
        <w:tc>
          <w:tcPr>
            <w:tcW w:w="416"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r>
      <w:tr w:rsidR="000953A0" w:rsidRPr="00B52429" w:rsidTr="000953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83560E" w:rsidP="0087184C">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Limerick City &amp; County</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0.35</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4.16</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13.68</w:t>
            </w:r>
          </w:p>
        </w:tc>
        <w:tc>
          <w:tcPr>
            <w:tcW w:w="389"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21.29</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44.73</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14.99</w:t>
            </w:r>
          </w:p>
        </w:tc>
        <w:tc>
          <w:tcPr>
            <w:tcW w:w="416"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0.79</w:t>
            </w:r>
          </w:p>
        </w:tc>
      </w:tr>
      <w:tr w:rsidR="000953A0" w:rsidRPr="00B52429" w:rsidTr="000953A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83560E" w:rsidP="0087184C">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Longford County</w:t>
            </w:r>
          </w:p>
        </w:tc>
        <w:tc>
          <w:tcPr>
            <w:tcW w:w="391" w:type="pct"/>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13</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11</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34</w:t>
            </w:r>
          </w:p>
        </w:tc>
        <w:tc>
          <w:tcPr>
            <w:tcW w:w="389"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9</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11</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21</w:t>
            </w:r>
          </w:p>
        </w:tc>
        <w:tc>
          <w:tcPr>
            <w:tcW w:w="416"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w:t>
            </w:r>
          </w:p>
        </w:tc>
      </w:tr>
      <w:tr w:rsidR="000953A0" w:rsidRPr="00B52429" w:rsidTr="000953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83560E" w:rsidP="0087184C">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Louth County</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4</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4</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34</w:t>
            </w:r>
          </w:p>
        </w:tc>
        <w:tc>
          <w:tcPr>
            <w:tcW w:w="389"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24</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26</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8</w:t>
            </w:r>
          </w:p>
        </w:tc>
        <w:tc>
          <w:tcPr>
            <w:tcW w:w="416"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r>
      <w:tr w:rsidR="000953A0" w:rsidRPr="00B52429" w:rsidTr="000953A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83560E" w:rsidP="0087184C">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Mayo County</w:t>
            </w:r>
          </w:p>
        </w:tc>
        <w:tc>
          <w:tcPr>
            <w:tcW w:w="391" w:type="pct"/>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0.84</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6.3</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13.15</w:t>
            </w:r>
          </w:p>
        </w:tc>
        <w:tc>
          <w:tcPr>
            <w:tcW w:w="389"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2.47</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46.18</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19.47</w:t>
            </w:r>
          </w:p>
        </w:tc>
        <w:tc>
          <w:tcPr>
            <w:tcW w:w="416"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11.61</w:t>
            </w:r>
          </w:p>
        </w:tc>
      </w:tr>
      <w:tr w:rsidR="000953A0" w:rsidRPr="00B52429" w:rsidTr="000953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14356A" w:rsidRPr="005F67C4" w:rsidRDefault="0014356A" w:rsidP="0087184C">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Meath County</w:t>
            </w:r>
          </w:p>
        </w:tc>
        <w:tc>
          <w:tcPr>
            <w:tcW w:w="391" w:type="pct"/>
            <w:vAlign w:val="center"/>
            <w:hideMark/>
          </w:tcPr>
          <w:p w:rsidR="0014356A" w:rsidRDefault="0014356A" w:rsidP="00753EA5">
            <w:pPr>
              <w:jc w:val="center"/>
              <w:cnfStyle w:val="000000100000" w:firstRow="0" w:lastRow="0" w:firstColumn="0" w:lastColumn="0" w:oddVBand="0" w:evenVBand="0" w:oddHBand="1" w:evenHBand="0" w:firstRowFirstColumn="0" w:firstRowLastColumn="0" w:lastRowFirstColumn="0" w:lastRowLastColumn="0"/>
            </w:pPr>
            <w:r w:rsidRPr="001B6873">
              <w:rPr>
                <w:rFonts w:ascii="Calibri" w:eastAsia="Times New Roman" w:hAnsi="Calibri" w:cs="Calibri"/>
                <w:color w:val="000000"/>
                <w:sz w:val="18"/>
                <w:szCs w:val="18"/>
                <w:lang w:eastAsia="en-IE"/>
              </w:rPr>
              <w:t>N/</w:t>
            </w:r>
            <w:proofErr w:type="spellStart"/>
            <w:r w:rsidRPr="001B6873">
              <w:rPr>
                <w:rFonts w:ascii="Calibri" w:eastAsia="Times New Roman" w:hAnsi="Calibri" w:cs="Calibri"/>
                <w:color w:val="000000"/>
                <w:sz w:val="18"/>
                <w:szCs w:val="18"/>
                <w:lang w:eastAsia="en-IE"/>
              </w:rPr>
              <w:t>A</w:t>
            </w:r>
            <w:r w:rsidR="00845B83">
              <w:rPr>
                <w:rFonts w:ascii="Calibri" w:eastAsia="Times New Roman" w:hAnsi="Calibri" w:cs="Calibri"/>
                <w:color w:val="000000"/>
                <w:sz w:val="18"/>
                <w:szCs w:val="18"/>
                <w:vertAlign w:val="superscript"/>
                <w:lang w:eastAsia="en-IE"/>
              </w:rPr>
              <w:t>b</w:t>
            </w:r>
            <w:proofErr w:type="spellEnd"/>
          </w:p>
        </w:tc>
        <w:tc>
          <w:tcPr>
            <w:tcW w:w="391" w:type="pct"/>
            <w:vAlign w:val="center"/>
            <w:hideMark/>
          </w:tcPr>
          <w:p w:rsidR="0014356A" w:rsidRDefault="0014356A" w:rsidP="00753EA5">
            <w:pPr>
              <w:jc w:val="center"/>
              <w:cnfStyle w:val="000000100000" w:firstRow="0" w:lastRow="0" w:firstColumn="0" w:lastColumn="0" w:oddVBand="0" w:evenVBand="0" w:oddHBand="1" w:evenHBand="0" w:firstRowFirstColumn="0" w:firstRowLastColumn="0" w:lastRowFirstColumn="0" w:lastRowLastColumn="0"/>
            </w:pPr>
            <w:r w:rsidRPr="001B6873">
              <w:rPr>
                <w:rFonts w:ascii="Calibri" w:eastAsia="Times New Roman" w:hAnsi="Calibri" w:cs="Calibri"/>
                <w:color w:val="000000"/>
                <w:sz w:val="18"/>
                <w:szCs w:val="18"/>
                <w:lang w:eastAsia="en-IE"/>
              </w:rPr>
              <w:t>N/A</w:t>
            </w:r>
          </w:p>
        </w:tc>
        <w:tc>
          <w:tcPr>
            <w:tcW w:w="390" w:type="pct"/>
            <w:vAlign w:val="center"/>
            <w:hideMark/>
          </w:tcPr>
          <w:p w:rsidR="0014356A" w:rsidRDefault="0014356A" w:rsidP="00753EA5">
            <w:pPr>
              <w:jc w:val="center"/>
              <w:cnfStyle w:val="000000100000" w:firstRow="0" w:lastRow="0" w:firstColumn="0" w:lastColumn="0" w:oddVBand="0" w:evenVBand="0" w:oddHBand="1" w:evenHBand="0" w:firstRowFirstColumn="0" w:firstRowLastColumn="0" w:lastRowFirstColumn="0" w:lastRowLastColumn="0"/>
            </w:pPr>
            <w:r w:rsidRPr="001B6873">
              <w:rPr>
                <w:rFonts w:ascii="Calibri" w:eastAsia="Times New Roman" w:hAnsi="Calibri" w:cs="Calibri"/>
                <w:color w:val="000000"/>
                <w:sz w:val="18"/>
                <w:szCs w:val="18"/>
                <w:lang w:eastAsia="en-IE"/>
              </w:rPr>
              <w:t>N/A</w:t>
            </w:r>
          </w:p>
        </w:tc>
        <w:tc>
          <w:tcPr>
            <w:tcW w:w="391" w:type="pct"/>
            <w:vAlign w:val="center"/>
            <w:hideMark/>
          </w:tcPr>
          <w:p w:rsidR="0014356A" w:rsidRDefault="0014356A" w:rsidP="00753EA5">
            <w:pPr>
              <w:jc w:val="center"/>
              <w:cnfStyle w:val="000000100000" w:firstRow="0" w:lastRow="0" w:firstColumn="0" w:lastColumn="0" w:oddVBand="0" w:evenVBand="0" w:oddHBand="1" w:evenHBand="0" w:firstRowFirstColumn="0" w:firstRowLastColumn="0" w:lastRowFirstColumn="0" w:lastRowLastColumn="0"/>
            </w:pPr>
            <w:r w:rsidRPr="001B6873">
              <w:rPr>
                <w:rFonts w:ascii="Calibri" w:eastAsia="Times New Roman" w:hAnsi="Calibri" w:cs="Calibri"/>
                <w:color w:val="000000"/>
                <w:sz w:val="18"/>
                <w:szCs w:val="18"/>
                <w:lang w:eastAsia="en-IE"/>
              </w:rPr>
              <w:t>N/A</w:t>
            </w:r>
          </w:p>
        </w:tc>
        <w:tc>
          <w:tcPr>
            <w:tcW w:w="390" w:type="pct"/>
            <w:vAlign w:val="center"/>
            <w:hideMark/>
          </w:tcPr>
          <w:p w:rsidR="0014356A" w:rsidRDefault="0014356A" w:rsidP="00753EA5">
            <w:pPr>
              <w:jc w:val="center"/>
              <w:cnfStyle w:val="000000100000" w:firstRow="0" w:lastRow="0" w:firstColumn="0" w:lastColumn="0" w:oddVBand="0" w:evenVBand="0" w:oddHBand="1" w:evenHBand="0" w:firstRowFirstColumn="0" w:firstRowLastColumn="0" w:lastRowFirstColumn="0" w:lastRowLastColumn="0"/>
            </w:pPr>
            <w:r w:rsidRPr="001B6873">
              <w:rPr>
                <w:rFonts w:ascii="Calibri" w:eastAsia="Times New Roman" w:hAnsi="Calibri" w:cs="Calibri"/>
                <w:color w:val="000000"/>
                <w:sz w:val="18"/>
                <w:szCs w:val="18"/>
                <w:lang w:eastAsia="en-IE"/>
              </w:rPr>
              <w:t>N/A</w:t>
            </w:r>
          </w:p>
        </w:tc>
        <w:tc>
          <w:tcPr>
            <w:tcW w:w="390" w:type="pct"/>
            <w:vAlign w:val="center"/>
            <w:hideMark/>
          </w:tcPr>
          <w:p w:rsidR="0014356A" w:rsidRDefault="0014356A" w:rsidP="00753EA5">
            <w:pPr>
              <w:jc w:val="center"/>
              <w:cnfStyle w:val="000000100000" w:firstRow="0" w:lastRow="0" w:firstColumn="0" w:lastColumn="0" w:oddVBand="0" w:evenVBand="0" w:oddHBand="1" w:evenHBand="0" w:firstRowFirstColumn="0" w:firstRowLastColumn="0" w:lastRowFirstColumn="0" w:lastRowLastColumn="0"/>
            </w:pPr>
            <w:r w:rsidRPr="001B6873">
              <w:rPr>
                <w:rFonts w:ascii="Calibri" w:eastAsia="Times New Roman" w:hAnsi="Calibri" w:cs="Calibri"/>
                <w:color w:val="000000"/>
                <w:sz w:val="18"/>
                <w:szCs w:val="18"/>
                <w:lang w:eastAsia="en-IE"/>
              </w:rPr>
              <w:t>N/A</w:t>
            </w:r>
          </w:p>
        </w:tc>
        <w:tc>
          <w:tcPr>
            <w:tcW w:w="389" w:type="pct"/>
            <w:vAlign w:val="center"/>
            <w:hideMark/>
          </w:tcPr>
          <w:p w:rsidR="0014356A" w:rsidRDefault="0014356A" w:rsidP="00753EA5">
            <w:pPr>
              <w:jc w:val="center"/>
              <w:cnfStyle w:val="000000100000" w:firstRow="0" w:lastRow="0" w:firstColumn="0" w:lastColumn="0" w:oddVBand="0" w:evenVBand="0" w:oddHBand="1" w:evenHBand="0" w:firstRowFirstColumn="0" w:firstRowLastColumn="0" w:lastRowFirstColumn="0" w:lastRowLastColumn="0"/>
            </w:pPr>
            <w:r w:rsidRPr="001B6873">
              <w:rPr>
                <w:rFonts w:ascii="Calibri" w:eastAsia="Times New Roman" w:hAnsi="Calibri" w:cs="Calibri"/>
                <w:color w:val="000000"/>
                <w:sz w:val="18"/>
                <w:szCs w:val="18"/>
                <w:lang w:eastAsia="en-IE"/>
              </w:rPr>
              <w:t>N/A</w:t>
            </w:r>
          </w:p>
        </w:tc>
        <w:tc>
          <w:tcPr>
            <w:tcW w:w="390" w:type="pct"/>
            <w:vAlign w:val="center"/>
            <w:hideMark/>
          </w:tcPr>
          <w:p w:rsidR="0014356A" w:rsidRDefault="0014356A" w:rsidP="00753EA5">
            <w:pPr>
              <w:jc w:val="center"/>
              <w:cnfStyle w:val="000000100000" w:firstRow="0" w:lastRow="0" w:firstColumn="0" w:lastColumn="0" w:oddVBand="0" w:evenVBand="0" w:oddHBand="1" w:evenHBand="0" w:firstRowFirstColumn="0" w:firstRowLastColumn="0" w:lastRowFirstColumn="0" w:lastRowLastColumn="0"/>
            </w:pPr>
            <w:r w:rsidRPr="001B6873">
              <w:rPr>
                <w:rFonts w:ascii="Calibri" w:eastAsia="Times New Roman" w:hAnsi="Calibri" w:cs="Calibri"/>
                <w:color w:val="000000"/>
                <w:sz w:val="18"/>
                <w:szCs w:val="18"/>
                <w:lang w:eastAsia="en-IE"/>
              </w:rPr>
              <w:t>N/A</w:t>
            </w:r>
          </w:p>
        </w:tc>
        <w:tc>
          <w:tcPr>
            <w:tcW w:w="390" w:type="pct"/>
            <w:vAlign w:val="center"/>
            <w:hideMark/>
          </w:tcPr>
          <w:p w:rsidR="0014356A" w:rsidRDefault="0014356A" w:rsidP="00753EA5">
            <w:pPr>
              <w:jc w:val="center"/>
              <w:cnfStyle w:val="000000100000" w:firstRow="0" w:lastRow="0" w:firstColumn="0" w:lastColumn="0" w:oddVBand="0" w:evenVBand="0" w:oddHBand="1" w:evenHBand="0" w:firstRowFirstColumn="0" w:firstRowLastColumn="0" w:lastRowFirstColumn="0" w:lastRowLastColumn="0"/>
            </w:pPr>
            <w:r w:rsidRPr="001B6873">
              <w:rPr>
                <w:rFonts w:ascii="Calibri" w:eastAsia="Times New Roman" w:hAnsi="Calibri" w:cs="Calibri"/>
                <w:color w:val="000000"/>
                <w:sz w:val="18"/>
                <w:szCs w:val="18"/>
                <w:lang w:eastAsia="en-IE"/>
              </w:rPr>
              <w:t>N/A</w:t>
            </w:r>
          </w:p>
        </w:tc>
        <w:tc>
          <w:tcPr>
            <w:tcW w:w="416" w:type="pct"/>
            <w:vAlign w:val="center"/>
            <w:hideMark/>
          </w:tcPr>
          <w:p w:rsidR="0014356A" w:rsidRDefault="0014356A" w:rsidP="00753EA5">
            <w:pPr>
              <w:jc w:val="center"/>
              <w:cnfStyle w:val="000000100000" w:firstRow="0" w:lastRow="0" w:firstColumn="0" w:lastColumn="0" w:oddVBand="0" w:evenVBand="0" w:oddHBand="1" w:evenHBand="0" w:firstRowFirstColumn="0" w:firstRowLastColumn="0" w:lastRowFirstColumn="0" w:lastRowLastColumn="0"/>
            </w:pPr>
            <w:r w:rsidRPr="001B6873">
              <w:rPr>
                <w:rFonts w:ascii="Calibri" w:eastAsia="Times New Roman" w:hAnsi="Calibri" w:cs="Calibri"/>
                <w:color w:val="000000"/>
                <w:sz w:val="18"/>
                <w:szCs w:val="18"/>
                <w:lang w:eastAsia="en-IE"/>
              </w:rPr>
              <w:t>N/A</w:t>
            </w:r>
          </w:p>
        </w:tc>
      </w:tr>
      <w:tr w:rsidR="000953A0" w:rsidRPr="00B52429" w:rsidTr="000953A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83560E" w:rsidP="0087184C">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Monaghan County</w:t>
            </w:r>
          </w:p>
        </w:tc>
        <w:tc>
          <w:tcPr>
            <w:tcW w:w="391" w:type="pct"/>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16</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w:t>
            </w:r>
          </w:p>
        </w:tc>
        <w:tc>
          <w:tcPr>
            <w:tcW w:w="389"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29</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26</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24</w:t>
            </w:r>
          </w:p>
        </w:tc>
        <w:tc>
          <w:tcPr>
            <w:tcW w:w="416"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w:t>
            </w:r>
          </w:p>
        </w:tc>
      </w:tr>
      <w:tr w:rsidR="000953A0" w:rsidRPr="00B52429" w:rsidTr="000953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83560E" w:rsidP="0087184C">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Offaly County</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0.02</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1.8</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12.08</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3.48</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10.85</w:t>
            </w:r>
          </w:p>
        </w:tc>
        <w:tc>
          <w:tcPr>
            <w:tcW w:w="389"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11.95</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15.31</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41.5</w:t>
            </w:r>
          </w:p>
        </w:tc>
        <w:tc>
          <w:tcPr>
            <w:tcW w:w="416"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3.01</w:t>
            </w:r>
          </w:p>
        </w:tc>
      </w:tr>
      <w:tr w:rsidR="000953A0" w:rsidRPr="00B52429" w:rsidTr="000953A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83560E" w:rsidP="0087184C">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Roscommon County</w:t>
            </w:r>
          </w:p>
        </w:tc>
        <w:tc>
          <w:tcPr>
            <w:tcW w:w="391" w:type="pct"/>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0.42</w:t>
            </w:r>
          </w:p>
        </w:tc>
        <w:tc>
          <w:tcPr>
            <w:tcW w:w="391"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1.63</w:t>
            </w:r>
          </w:p>
        </w:tc>
        <w:tc>
          <w:tcPr>
            <w:tcW w:w="391"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10.88</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3.46</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7.36</w:t>
            </w:r>
          </w:p>
        </w:tc>
        <w:tc>
          <w:tcPr>
            <w:tcW w:w="389"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11.9</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32.2</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19.78</w:t>
            </w:r>
          </w:p>
        </w:tc>
        <w:tc>
          <w:tcPr>
            <w:tcW w:w="416"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12.38</w:t>
            </w:r>
          </w:p>
        </w:tc>
      </w:tr>
      <w:tr w:rsidR="000953A0" w:rsidRPr="00B52429" w:rsidTr="000953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83560E" w:rsidP="0087184C">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Sligo County</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3</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3</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9</w:t>
            </w:r>
          </w:p>
        </w:tc>
        <w:tc>
          <w:tcPr>
            <w:tcW w:w="389"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14</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22</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33</w:t>
            </w:r>
          </w:p>
        </w:tc>
        <w:tc>
          <w:tcPr>
            <w:tcW w:w="416"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12</w:t>
            </w:r>
          </w:p>
        </w:tc>
      </w:tr>
      <w:tr w:rsidR="000953A0" w:rsidRPr="00B52429" w:rsidTr="000953A0">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0953A0" w:rsidP="0087184C">
            <w:pPr>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Sou</w:t>
            </w:r>
            <w:r w:rsidR="0083560E" w:rsidRPr="005F67C4">
              <w:rPr>
                <w:rFonts w:ascii="Calibri" w:eastAsia="Times New Roman" w:hAnsi="Calibri" w:cs="Calibri"/>
                <w:color w:val="000000"/>
                <w:sz w:val="20"/>
                <w:szCs w:val="20"/>
                <w:lang w:eastAsia="en-IE"/>
              </w:rPr>
              <w:t>th Dublin County</w:t>
            </w:r>
          </w:p>
        </w:tc>
        <w:tc>
          <w:tcPr>
            <w:tcW w:w="391" w:type="pct"/>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vertAlign w:val="superscript"/>
                <w:lang w:eastAsia="en-IE"/>
              </w:rPr>
            </w:pPr>
            <w:r w:rsidRPr="00B52429">
              <w:rPr>
                <w:rFonts w:ascii="Calibri" w:eastAsia="Times New Roman" w:hAnsi="Calibri" w:cs="Calibri"/>
                <w:color w:val="000000"/>
                <w:sz w:val="18"/>
                <w:szCs w:val="18"/>
                <w:lang w:eastAsia="en-IE"/>
              </w:rPr>
              <w:t>N/</w:t>
            </w:r>
            <w:proofErr w:type="spellStart"/>
            <w:r w:rsidRPr="00B52429">
              <w:rPr>
                <w:rFonts w:ascii="Calibri" w:eastAsia="Times New Roman" w:hAnsi="Calibri" w:cs="Calibri"/>
                <w:color w:val="000000"/>
                <w:sz w:val="18"/>
                <w:szCs w:val="18"/>
                <w:lang w:eastAsia="en-IE"/>
              </w:rPr>
              <w:t>A</w:t>
            </w:r>
            <w:r w:rsidR="00845B83">
              <w:rPr>
                <w:rFonts w:ascii="Calibri" w:eastAsia="Times New Roman" w:hAnsi="Calibri" w:cs="Calibri"/>
                <w:color w:val="000000"/>
                <w:sz w:val="18"/>
                <w:szCs w:val="18"/>
                <w:vertAlign w:val="superscript"/>
                <w:lang w:eastAsia="en-IE"/>
              </w:rPr>
              <w:t>b</w:t>
            </w:r>
            <w:proofErr w:type="spellEnd"/>
          </w:p>
        </w:tc>
        <w:tc>
          <w:tcPr>
            <w:tcW w:w="391"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N/A</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N/A</w:t>
            </w:r>
          </w:p>
        </w:tc>
        <w:tc>
          <w:tcPr>
            <w:tcW w:w="391"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N/A</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N/A</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N/A</w:t>
            </w:r>
          </w:p>
        </w:tc>
        <w:tc>
          <w:tcPr>
            <w:tcW w:w="389"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N/A</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N/A</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N/A</w:t>
            </w:r>
          </w:p>
        </w:tc>
        <w:tc>
          <w:tcPr>
            <w:tcW w:w="416"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N/A</w:t>
            </w:r>
          </w:p>
        </w:tc>
      </w:tr>
      <w:tr w:rsidR="000953A0" w:rsidRPr="00B52429" w:rsidTr="000953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83560E" w:rsidP="0087184C">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Tipperary County</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6</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7</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13</w:t>
            </w:r>
          </w:p>
        </w:tc>
        <w:tc>
          <w:tcPr>
            <w:tcW w:w="389"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31</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19</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18</w:t>
            </w:r>
          </w:p>
        </w:tc>
        <w:tc>
          <w:tcPr>
            <w:tcW w:w="416"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4</w:t>
            </w:r>
          </w:p>
        </w:tc>
      </w:tr>
      <w:tr w:rsidR="000953A0" w:rsidRPr="00B52429" w:rsidTr="000953A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83560E" w:rsidP="0087184C">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Waterford City &amp; County</w:t>
            </w:r>
          </w:p>
        </w:tc>
        <w:tc>
          <w:tcPr>
            <w:tcW w:w="391" w:type="pct"/>
            <w:hideMark/>
          </w:tcPr>
          <w:p w:rsidR="0083560E" w:rsidRPr="00B52429" w:rsidRDefault="00713C3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0</w:t>
            </w:r>
          </w:p>
        </w:tc>
        <w:tc>
          <w:tcPr>
            <w:tcW w:w="391"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0" w:type="pct"/>
            <w:noWrap/>
            <w:hideMark/>
          </w:tcPr>
          <w:p w:rsidR="0083560E" w:rsidRPr="00B52429" w:rsidRDefault="00713C3E" w:rsidP="00713C3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0</w:t>
            </w:r>
          </w:p>
        </w:tc>
        <w:tc>
          <w:tcPr>
            <w:tcW w:w="391" w:type="pct"/>
            <w:noWrap/>
            <w:hideMark/>
          </w:tcPr>
          <w:p w:rsidR="0083560E" w:rsidRPr="00B52429" w:rsidRDefault="00713C3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4</w:t>
            </w:r>
          </w:p>
        </w:tc>
        <w:tc>
          <w:tcPr>
            <w:tcW w:w="390" w:type="pct"/>
            <w:noWrap/>
            <w:hideMark/>
          </w:tcPr>
          <w:p w:rsidR="0083560E" w:rsidRPr="00B52429" w:rsidRDefault="00713C3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5</w:t>
            </w:r>
          </w:p>
        </w:tc>
        <w:tc>
          <w:tcPr>
            <w:tcW w:w="390" w:type="pct"/>
            <w:noWrap/>
            <w:hideMark/>
          </w:tcPr>
          <w:p w:rsidR="0083560E" w:rsidRPr="00B52429" w:rsidRDefault="00713C3E" w:rsidP="00713C3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6</w:t>
            </w:r>
          </w:p>
        </w:tc>
        <w:tc>
          <w:tcPr>
            <w:tcW w:w="389" w:type="pct"/>
            <w:noWrap/>
            <w:hideMark/>
          </w:tcPr>
          <w:p w:rsidR="0083560E" w:rsidRPr="00B52429" w:rsidRDefault="00713C3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29</w:t>
            </w:r>
          </w:p>
        </w:tc>
        <w:tc>
          <w:tcPr>
            <w:tcW w:w="390" w:type="pct"/>
            <w:noWrap/>
            <w:hideMark/>
          </w:tcPr>
          <w:p w:rsidR="0083560E" w:rsidRPr="00B52429" w:rsidRDefault="00713C3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28</w:t>
            </w:r>
          </w:p>
        </w:tc>
        <w:tc>
          <w:tcPr>
            <w:tcW w:w="390" w:type="pct"/>
            <w:noWrap/>
            <w:hideMark/>
          </w:tcPr>
          <w:p w:rsidR="0083560E" w:rsidRPr="00B52429" w:rsidRDefault="00713C3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27</w:t>
            </w:r>
          </w:p>
        </w:tc>
        <w:tc>
          <w:tcPr>
            <w:tcW w:w="416" w:type="pct"/>
            <w:noWrap/>
            <w:hideMark/>
          </w:tcPr>
          <w:p w:rsidR="0083560E" w:rsidRPr="00B52429" w:rsidRDefault="00713C3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1</w:t>
            </w:r>
          </w:p>
        </w:tc>
      </w:tr>
      <w:tr w:rsidR="000953A0" w:rsidRPr="00B52429" w:rsidTr="000953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83560E" w:rsidP="0087184C">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Westmeath County</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17</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25</w:t>
            </w:r>
          </w:p>
        </w:tc>
        <w:tc>
          <w:tcPr>
            <w:tcW w:w="389"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47</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8</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w:t>
            </w:r>
          </w:p>
        </w:tc>
        <w:tc>
          <w:tcPr>
            <w:tcW w:w="416"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r>
      <w:tr w:rsidR="000953A0" w:rsidRPr="00B52429" w:rsidTr="000953A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83560E" w:rsidP="0087184C">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Wexford County</w:t>
            </w:r>
          </w:p>
        </w:tc>
        <w:tc>
          <w:tcPr>
            <w:tcW w:w="391" w:type="pct"/>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w:t>
            </w:r>
          </w:p>
        </w:tc>
        <w:tc>
          <w:tcPr>
            <w:tcW w:w="391"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14</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6</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9</w:t>
            </w:r>
          </w:p>
        </w:tc>
        <w:tc>
          <w:tcPr>
            <w:tcW w:w="389"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21</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15</w:t>
            </w:r>
          </w:p>
        </w:tc>
        <w:tc>
          <w:tcPr>
            <w:tcW w:w="390"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21</w:t>
            </w:r>
          </w:p>
        </w:tc>
        <w:tc>
          <w:tcPr>
            <w:tcW w:w="416" w:type="pct"/>
            <w:noWrap/>
            <w:hideMark/>
          </w:tcPr>
          <w:p w:rsidR="0083560E" w:rsidRPr="00B52429" w:rsidRDefault="0083560E" w:rsidP="0087184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12</w:t>
            </w:r>
          </w:p>
        </w:tc>
      </w:tr>
      <w:tr w:rsidR="000953A0" w:rsidRPr="00B52429" w:rsidTr="000953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3" w:type="pct"/>
            <w:noWrap/>
            <w:hideMark/>
          </w:tcPr>
          <w:p w:rsidR="0083560E" w:rsidRPr="005F67C4" w:rsidRDefault="0083560E" w:rsidP="0087184C">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Wicklow County</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w:t>
            </w:r>
          </w:p>
        </w:tc>
        <w:tc>
          <w:tcPr>
            <w:tcW w:w="391"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0.19</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0.93</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0.31</w:t>
            </w:r>
          </w:p>
        </w:tc>
        <w:tc>
          <w:tcPr>
            <w:tcW w:w="389"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31.35</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48.92</w:t>
            </w:r>
          </w:p>
        </w:tc>
        <w:tc>
          <w:tcPr>
            <w:tcW w:w="390"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10.18</w:t>
            </w:r>
          </w:p>
        </w:tc>
        <w:tc>
          <w:tcPr>
            <w:tcW w:w="416" w:type="pct"/>
            <w:hideMark/>
          </w:tcPr>
          <w:p w:rsidR="0083560E" w:rsidRPr="00B52429" w:rsidRDefault="0083560E" w:rsidP="008718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B52429">
              <w:rPr>
                <w:rFonts w:ascii="Calibri" w:eastAsia="Times New Roman" w:hAnsi="Calibri" w:cs="Calibri"/>
                <w:color w:val="000000"/>
                <w:sz w:val="18"/>
                <w:szCs w:val="18"/>
                <w:lang w:eastAsia="en-IE"/>
              </w:rPr>
              <w:t>8.12</w:t>
            </w:r>
          </w:p>
        </w:tc>
      </w:tr>
    </w:tbl>
    <w:p w:rsidR="008A159D" w:rsidRPr="008A159D" w:rsidRDefault="008A159D" w:rsidP="008A159D">
      <w:pPr>
        <w:spacing w:after="0" w:line="240" w:lineRule="auto"/>
        <w:jc w:val="both"/>
        <w:rPr>
          <w:rFonts w:cstheme="minorHAnsi"/>
          <w:i/>
          <w:sz w:val="18"/>
          <w:szCs w:val="18"/>
        </w:rPr>
      </w:pPr>
      <w:r w:rsidRPr="008A159D">
        <w:rPr>
          <w:rFonts w:cstheme="minorHAnsi"/>
          <w:i/>
          <w:sz w:val="18"/>
          <w:szCs w:val="18"/>
        </w:rPr>
        <w:t>These comments apply to table</w:t>
      </w:r>
      <w:r w:rsidR="00130886">
        <w:rPr>
          <w:rFonts w:cstheme="minorHAnsi"/>
          <w:i/>
          <w:sz w:val="18"/>
          <w:szCs w:val="18"/>
        </w:rPr>
        <w:t>s</w:t>
      </w:r>
      <w:r w:rsidRPr="008A159D">
        <w:rPr>
          <w:rFonts w:cstheme="minorHAnsi"/>
          <w:i/>
          <w:sz w:val="18"/>
          <w:szCs w:val="18"/>
        </w:rPr>
        <w:t xml:space="preserve"> 6-9</w:t>
      </w:r>
      <w:r>
        <w:rPr>
          <w:rFonts w:cstheme="minorHAnsi"/>
          <w:i/>
          <w:sz w:val="18"/>
          <w:szCs w:val="18"/>
        </w:rPr>
        <w:t>;</w:t>
      </w:r>
    </w:p>
    <w:p w:rsidR="00326A0E" w:rsidRPr="00326A0E" w:rsidRDefault="00326A0E" w:rsidP="00B52429">
      <w:pPr>
        <w:spacing w:after="0" w:line="240" w:lineRule="auto"/>
        <w:jc w:val="both"/>
        <w:rPr>
          <w:rFonts w:cstheme="minorHAnsi"/>
          <w:sz w:val="18"/>
          <w:szCs w:val="18"/>
        </w:rPr>
      </w:pPr>
      <w:proofErr w:type="spellStart"/>
      <w:proofErr w:type="gramStart"/>
      <w:r>
        <w:rPr>
          <w:rFonts w:cstheme="minorHAnsi"/>
          <w:sz w:val="18"/>
          <w:szCs w:val="18"/>
          <w:vertAlign w:val="superscript"/>
        </w:rPr>
        <w:t>a</w:t>
      </w:r>
      <w:r w:rsidR="00FC1701">
        <w:rPr>
          <w:rFonts w:cstheme="minorHAnsi"/>
          <w:sz w:val="18"/>
          <w:szCs w:val="18"/>
        </w:rPr>
        <w:t>Ref</w:t>
      </w:r>
      <w:proofErr w:type="spellEnd"/>
      <w:proofErr w:type="gramEnd"/>
      <w:r w:rsidR="00FC1701">
        <w:rPr>
          <w:rFonts w:cstheme="minorHAnsi"/>
          <w:sz w:val="18"/>
          <w:szCs w:val="18"/>
        </w:rPr>
        <w:t xml:space="preserve">. </w:t>
      </w:r>
      <w:r>
        <w:rPr>
          <w:rFonts w:cstheme="minorHAnsi"/>
          <w:sz w:val="18"/>
          <w:szCs w:val="18"/>
        </w:rPr>
        <w:t>Appendix</w:t>
      </w:r>
      <w:r w:rsidR="00DB27B8">
        <w:rPr>
          <w:rFonts w:cstheme="minorHAnsi"/>
          <w:sz w:val="18"/>
          <w:szCs w:val="18"/>
        </w:rPr>
        <w:t xml:space="preserve"> </w:t>
      </w:r>
      <w:r w:rsidR="00626A2A">
        <w:rPr>
          <w:rFonts w:cstheme="minorHAnsi"/>
          <w:sz w:val="18"/>
          <w:szCs w:val="18"/>
        </w:rPr>
        <w:t>page 80</w:t>
      </w:r>
      <w:r w:rsidR="00DB27B8">
        <w:rPr>
          <w:rFonts w:cstheme="minorHAnsi"/>
          <w:sz w:val="18"/>
          <w:szCs w:val="18"/>
        </w:rPr>
        <w:t xml:space="preserve"> </w:t>
      </w:r>
      <w:r>
        <w:rPr>
          <w:rFonts w:cstheme="minorHAnsi"/>
          <w:sz w:val="18"/>
          <w:szCs w:val="18"/>
        </w:rPr>
        <w:t>for category clarifications</w:t>
      </w:r>
    </w:p>
    <w:p w:rsidR="008A159D" w:rsidRDefault="00845B83" w:rsidP="00DB27B8">
      <w:pPr>
        <w:spacing w:after="0" w:line="240" w:lineRule="auto"/>
        <w:jc w:val="both"/>
        <w:rPr>
          <w:rFonts w:cstheme="minorHAnsi"/>
          <w:sz w:val="18"/>
          <w:szCs w:val="18"/>
        </w:rPr>
      </w:pPr>
      <w:proofErr w:type="spellStart"/>
      <w:proofErr w:type="gramStart"/>
      <w:r>
        <w:rPr>
          <w:rFonts w:cstheme="minorHAnsi"/>
          <w:sz w:val="18"/>
          <w:szCs w:val="18"/>
          <w:vertAlign w:val="superscript"/>
        </w:rPr>
        <w:t>b</w:t>
      </w:r>
      <w:r w:rsidR="00B52429" w:rsidRPr="00B52429">
        <w:rPr>
          <w:rFonts w:cstheme="minorHAnsi"/>
          <w:sz w:val="18"/>
          <w:szCs w:val="18"/>
          <w:u w:val="single"/>
        </w:rPr>
        <w:t>Cork</w:t>
      </w:r>
      <w:proofErr w:type="spellEnd"/>
      <w:proofErr w:type="gramEnd"/>
      <w:r w:rsidR="00B52429" w:rsidRPr="00B52429">
        <w:rPr>
          <w:rFonts w:cstheme="minorHAnsi"/>
          <w:sz w:val="18"/>
          <w:szCs w:val="18"/>
          <w:u w:val="single"/>
        </w:rPr>
        <w:t xml:space="preserve"> City</w:t>
      </w:r>
      <w:r>
        <w:rPr>
          <w:rFonts w:cstheme="minorHAnsi"/>
          <w:sz w:val="18"/>
          <w:szCs w:val="18"/>
          <w:u w:val="single"/>
        </w:rPr>
        <w:t xml:space="preserve">, </w:t>
      </w:r>
      <w:r w:rsidRPr="00B52429">
        <w:rPr>
          <w:rFonts w:cstheme="minorHAnsi"/>
          <w:sz w:val="18"/>
          <w:szCs w:val="18"/>
          <w:u w:val="single"/>
        </w:rPr>
        <w:t>DLR</w:t>
      </w:r>
      <w:r>
        <w:rPr>
          <w:rFonts w:cstheme="minorHAnsi"/>
          <w:sz w:val="18"/>
          <w:szCs w:val="18"/>
          <w:u w:val="single"/>
        </w:rPr>
        <w:t xml:space="preserve">, </w:t>
      </w:r>
      <w:proofErr w:type="spellStart"/>
      <w:r w:rsidRPr="00B52429">
        <w:rPr>
          <w:rFonts w:cstheme="minorHAnsi"/>
          <w:sz w:val="18"/>
          <w:szCs w:val="18"/>
          <w:u w:val="single"/>
        </w:rPr>
        <w:t>Finga</w:t>
      </w:r>
      <w:r>
        <w:rPr>
          <w:rFonts w:cstheme="minorHAnsi"/>
          <w:sz w:val="18"/>
          <w:szCs w:val="18"/>
          <w:u w:val="single"/>
        </w:rPr>
        <w:t>l</w:t>
      </w:r>
      <w:proofErr w:type="spellEnd"/>
      <w:r>
        <w:rPr>
          <w:rFonts w:cstheme="minorHAnsi"/>
          <w:sz w:val="18"/>
          <w:szCs w:val="18"/>
          <w:u w:val="single"/>
        </w:rPr>
        <w:t>, Meath &amp; S Dublin</w:t>
      </w:r>
      <w:r w:rsidR="00B52429" w:rsidRPr="00B52429">
        <w:rPr>
          <w:rFonts w:cstheme="minorHAnsi"/>
          <w:sz w:val="18"/>
          <w:szCs w:val="18"/>
        </w:rPr>
        <w:t>: Surveys only commenced in 2015.</w:t>
      </w:r>
      <w:r w:rsidR="00DB27B8">
        <w:rPr>
          <w:rFonts w:cstheme="minorHAnsi"/>
          <w:sz w:val="18"/>
          <w:szCs w:val="18"/>
        </w:rPr>
        <w:t xml:space="preserve"> </w:t>
      </w:r>
      <w:r w:rsidR="00B52429" w:rsidRPr="00B52429">
        <w:rPr>
          <w:rFonts w:cstheme="minorHAnsi"/>
          <w:sz w:val="18"/>
          <w:szCs w:val="18"/>
        </w:rPr>
        <w:tab/>
      </w:r>
    </w:p>
    <w:p w:rsidR="004C099D" w:rsidRDefault="004C099D" w:rsidP="00B52429">
      <w:pPr>
        <w:spacing w:after="0" w:line="240" w:lineRule="auto"/>
        <w:jc w:val="both"/>
        <w:rPr>
          <w:rFonts w:cstheme="minorHAnsi"/>
          <w:sz w:val="18"/>
          <w:szCs w:val="18"/>
        </w:rPr>
      </w:pPr>
    </w:p>
    <w:p w:rsidR="007B6923" w:rsidRDefault="007B6923" w:rsidP="00B52429">
      <w:pPr>
        <w:spacing w:after="0" w:line="240" w:lineRule="auto"/>
        <w:jc w:val="both"/>
        <w:rPr>
          <w:rFonts w:cstheme="minorHAnsi"/>
          <w:sz w:val="18"/>
          <w:szCs w:val="18"/>
        </w:rPr>
      </w:pPr>
    </w:p>
    <w:tbl>
      <w:tblPr>
        <w:tblW w:w="5333" w:type="dxa"/>
        <w:tblInd w:w="98" w:type="dxa"/>
        <w:tblLook w:val="04A0" w:firstRow="1" w:lastRow="0" w:firstColumn="1" w:lastColumn="0" w:noHBand="0" w:noVBand="1"/>
      </w:tblPr>
      <w:tblGrid>
        <w:gridCol w:w="2460"/>
        <w:gridCol w:w="960"/>
        <w:gridCol w:w="1913"/>
      </w:tblGrid>
      <w:tr w:rsidR="005F67C4" w:rsidRPr="005F67C4" w:rsidTr="0082378C">
        <w:trPr>
          <w:trHeight w:val="315"/>
        </w:trPr>
        <w:tc>
          <w:tcPr>
            <w:tcW w:w="533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lastRenderedPageBreak/>
              <w:t>Ratings in Pavement Surface Condition Index -</w:t>
            </w:r>
            <w:r w:rsidR="00130886">
              <w:rPr>
                <w:rFonts w:eastAsia="Times New Roman" w:cstheme="minorHAnsi"/>
                <w:b/>
                <w:bCs/>
                <w:color w:val="000000"/>
                <w:lang w:eastAsia="en-IE"/>
              </w:rPr>
              <w:t xml:space="preserve"> </w:t>
            </w:r>
            <w:r w:rsidRPr="005F67C4">
              <w:rPr>
                <w:rFonts w:eastAsia="Times New Roman" w:cstheme="minorHAnsi"/>
                <w:b/>
                <w:bCs/>
                <w:color w:val="000000"/>
                <w:lang w:eastAsia="en-IE"/>
              </w:rPr>
              <w:t>Regional</w:t>
            </w:r>
          </w:p>
        </w:tc>
      </w:tr>
      <w:tr w:rsidR="005F67C4" w:rsidRPr="005F67C4" w:rsidTr="0082378C">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Cat 1</w:t>
            </w:r>
          </w:p>
        </w:tc>
        <w:tc>
          <w:tcPr>
            <w:tcW w:w="1913" w:type="dxa"/>
            <w:tcBorders>
              <w:top w:val="nil"/>
              <w:left w:val="nil"/>
              <w:bottom w:val="single" w:sz="8" w:space="0" w:color="auto"/>
              <w:right w:val="single" w:sz="8" w:space="0" w:color="auto"/>
            </w:tcBorders>
            <w:shd w:val="clear" w:color="auto" w:fill="B6DDE8" w:themeFill="accent5" w:themeFillTint="66"/>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2014</w:t>
            </w:r>
          </w:p>
        </w:tc>
      </w:tr>
      <w:tr w:rsidR="005F67C4"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N</w:t>
            </w:r>
          </w:p>
        </w:tc>
        <w:tc>
          <w:tcPr>
            <w:tcW w:w="960" w:type="dxa"/>
            <w:tcBorders>
              <w:top w:val="nil"/>
              <w:left w:val="nil"/>
              <w:bottom w:val="single" w:sz="8" w:space="0" w:color="auto"/>
              <w:right w:val="nil"/>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Valid</w:t>
            </w:r>
          </w:p>
        </w:tc>
        <w:tc>
          <w:tcPr>
            <w:tcW w:w="1913" w:type="dxa"/>
            <w:tcBorders>
              <w:top w:val="nil"/>
              <w:left w:val="single" w:sz="8" w:space="0" w:color="auto"/>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2</w:t>
            </w:r>
            <w:r w:rsidR="0014356A">
              <w:rPr>
                <w:rFonts w:eastAsia="Times New Roman" w:cstheme="minorHAnsi"/>
                <w:color w:val="000000"/>
                <w:lang w:eastAsia="en-IE"/>
              </w:rPr>
              <w:t>6</w:t>
            </w:r>
          </w:p>
        </w:tc>
      </w:tr>
      <w:tr w:rsidR="005F67C4"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 </w:t>
            </w:r>
          </w:p>
        </w:tc>
        <w:tc>
          <w:tcPr>
            <w:tcW w:w="960" w:type="dxa"/>
            <w:tcBorders>
              <w:top w:val="nil"/>
              <w:left w:val="nil"/>
              <w:bottom w:val="single" w:sz="8" w:space="0" w:color="auto"/>
              <w:right w:val="nil"/>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Missing</w:t>
            </w:r>
          </w:p>
        </w:tc>
        <w:tc>
          <w:tcPr>
            <w:tcW w:w="1913" w:type="dxa"/>
            <w:tcBorders>
              <w:top w:val="nil"/>
              <w:left w:val="single" w:sz="8" w:space="0" w:color="auto"/>
              <w:bottom w:val="single" w:sz="8" w:space="0" w:color="auto"/>
              <w:right w:val="single" w:sz="8" w:space="0" w:color="auto"/>
            </w:tcBorders>
            <w:shd w:val="clear" w:color="auto" w:fill="auto"/>
            <w:vAlign w:val="center"/>
            <w:hideMark/>
          </w:tcPr>
          <w:p w:rsidR="005F67C4" w:rsidRPr="005F67C4" w:rsidRDefault="0014356A" w:rsidP="0082378C">
            <w:pPr>
              <w:spacing w:after="0" w:line="240" w:lineRule="auto"/>
              <w:rPr>
                <w:rFonts w:eastAsia="Times New Roman" w:cstheme="minorHAnsi"/>
                <w:color w:val="000000"/>
                <w:lang w:eastAsia="en-IE"/>
              </w:rPr>
            </w:pPr>
            <w:r>
              <w:rPr>
                <w:rFonts w:eastAsia="Times New Roman" w:cstheme="minorHAnsi"/>
                <w:color w:val="000000"/>
                <w:lang w:eastAsia="en-IE"/>
              </w:rPr>
              <w:t>5</w:t>
            </w:r>
          </w:p>
        </w:tc>
      </w:tr>
      <w:tr w:rsidR="005F67C4"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Average</w:t>
            </w:r>
          </w:p>
        </w:tc>
        <w:tc>
          <w:tcPr>
            <w:tcW w:w="960" w:type="dxa"/>
            <w:tcBorders>
              <w:top w:val="nil"/>
              <w:left w:val="nil"/>
              <w:bottom w:val="single" w:sz="8" w:space="0" w:color="auto"/>
              <w:right w:val="nil"/>
            </w:tcBorders>
            <w:shd w:val="clear" w:color="auto" w:fill="auto"/>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Median</w:t>
            </w:r>
          </w:p>
        </w:tc>
        <w:tc>
          <w:tcPr>
            <w:tcW w:w="1913" w:type="dxa"/>
            <w:tcBorders>
              <w:top w:val="nil"/>
              <w:left w:val="single" w:sz="8" w:space="0" w:color="auto"/>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0.00</w:t>
            </w:r>
          </w:p>
        </w:tc>
      </w:tr>
      <w:tr w:rsidR="005F67C4"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 </w:t>
            </w:r>
          </w:p>
        </w:tc>
        <w:tc>
          <w:tcPr>
            <w:tcW w:w="960" w:type="dxa"/>
            <w:tcBorders>
              <w:top w:val="nil"/>
              <w:left w:val="nil"/>
              <w:bottom w:val="single" w:sz="8" w:space="0" w:color="auto"/>
              <w:right w:val="nil"/>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Mean</w:t>
            </w:r>
          </w:p>
        </w:tc>
        <w:tc>
          <w:tcPr>
            <w:tcW w:w="1913" w:type="dxa"/>
            <w:tcBorders>
              <w:top w:val="nil"/>
              <w:left w:val="single" w:sz="8" w:space="0" w:color="auto"/>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0.2</w:t>
            </w:r>
            <w:r w:rsidR="0014356A">
              <w:rPr>
                <w:rFonts w:eastAsia="Times New Roman" w:cstheme="minorHAnsi"/>
                <w:color w:val="000000"/>
                <w:lang w:eastAsia="en-IE"/>
              </w:rPr>
              <w:t>1</w:t>
            </w:r>
          </w:p>
        </w:tc>
      </w:tr>
      <w:tr w:rsidR="005F67C4" w:rsidRPr="005F67C4" w:rsidTr="0082378C">
        <w:trPr>
          <w:trHeight w:val="315"/>
        </w:trPr>
        <w:tc>
          <w:tcPr>
            <w:tcW w:w="3420" w:type="dxa"/>
            <w:gridSpan w:val="2"/>
            <w:tcBorders>
              <w:top w:val="single" w:sz="8" w:space="0" w:color="auto"/>
              <w:left w:val="single" w:sz="8" w:space="0" w:color="auto"/>
              <w:bottom w:val="single" w:sz="8" w:space="0" w:color="auto"/>
              <w:right w:val="nil"/>
            </w:tcBorders>
            <w:shd w:val="clear" w:color="auto" w:fill="B6DDE8" w:themeFill="accent5" w:themeFillTint="66"/>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Cat 2</w:t>
            </w:r>
          </w:p>
        </w:tc>
        <w:tc>
          <w:tcPr>
            <w:tcW w:w="1913" w:type="dxa"/>
            <w:tcBorders>
              <w:top w:val="nil"/>
              <w:left w:val="single" w:sz="8" w:space="0" w:color="auto"/>
              <w:bottom w:val="single" w:sz="8" w:space="0" w:color="auto"/>
              <w:right w:val="single" w:sz="8" w:space="0" w:color="auto"/>
            </w:tcBorders>
            <w:shd w:val="clear" w:color="auto" w:fill="B6DDE8" w:themeFill="accent5" w:themeFillTint="66"/>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2014</w:t>
            </w:r>
          </w:p>
        </w:tc>
      </w:tr>
      <w:tr w:rsidR="0014356A"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N</w:t>
            </w:r>
          </w:p>
        </w:tc>
        <w:tc>
          <w:tcPr>
            <w:tcW w:w="960" w:type="dxa"/>
            <w:tcBorders>
              <w:top w:val="nil"/>
              <w:left w:val="nil"/>
              <w:bottom w:val="single" w:sz="8" w:space="0" w:color="auto"/>
              <w:right w:val="nil"/>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Valid</w:t>
            </w:r>
          </w:p>
        </w:tc>
        <w:tc>
          <w:tcPr>
            <w:tcW w:w="1913" w:type="dxa"/>
            <w:tcBorders>
              <w:top w:val="nil"/>
              <w:left w:val="single" w:sz="8" w:space="0" w:color="auto"/>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2</w:t>
            </w:r>
            <w:r>
              <w:rPr>
                <w:rFonts w:eastAsia="Times New Roman" w:cstheme="minorHAnsi"/>
                <w:color w:val="000000"/>
                <w:lang w:eastAsia="en-IE"/>
              </w:rPr>
              <w:t>6</w:t>
            </w:r>
          </w:p>
        </w:tc>
      </w:tr>
      <w:tr w:rsidR="0014356A"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 </w:t>
            </w:r>
          </w:p>
        </w:tc>
        <w:tc>
          <w:tcPr>
            <w:tcW w:w="960" w:type="dxa"/>
            <w:tcBorders>
              <w:top w:val="nil"/>
              <w:left w:val="nil"/>
              <w:bottom w:val="single" w:sz="8" w:space="0" w:color="auto"/>
              <w:right w:val="nil"/>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Missing</w:t>
            </w:r>
          </w:p>
        </w:tc>
        <w:tc>
          <w:tcPr>
            <w:tcW w:w="1913" w:type="dxa"/>
            <w:tcBorders>
              <w:top w:val="nil"/>
              <w:left w:val="single" w:sz="8" w:space="0" w:color="auto"/>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Pr>
                <w:rFonts w:eastAsia="Times New Roman" w:cstheme="minorHAnsi"/>
                <w:color w:val="000000"/>
                <w:lang w:eastAsia="en-IE"/>
              </w:rPr>
              <w:t>5</w:t>
            </w:r>
          </w:p>
        </w:tc>
      </w:tr>
      <w:tr w:rsidR="005F67C4"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Median</w:t>
            </w:r>
          </w:p>
        </w:tc>
        <w:tc>
          <w:tcPr>
            <w:tcW w:w="1913" w:type="dxa"/>
            <w:tcBorders>
              <w:top w:val="nil"/>
              <w:left w:val="nil"/>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0.00</w:t>
            </w:r>
          </w:p>
        </w:tc>
      </w:tr>
      <w:tr w:rsidR="005F67C4"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Mean</w:t>
            </w:r>
          </w:p>
        </w:tc>
        <w:tc>
          <w:tcPr>
            <w:tcW w:w="1913" w:type="dxa"/>
            <w:tcBorders>
              <w:top w:val="nil"/>
              <w:left w:val="nil"/>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0.</w:t>
            </w:r>
            <w:r w:rsidR="0014356A">
              <w:rPr>
                <w:rFonts w:eastAsia="Times New Roman" w:cstheme="minorHAnsi"/>
                <w:color w:val="000000"/>
                <w:lang w:eastAsia="en-IE"/>
              </w:rPr>
              <w:t>20</w:t>
            </w:r>
          </w:p>
        </w:tc>
      </w:tr>
      <w:tr w:rsidR="005F67C4" w:rsidRPr="005F67C4" w:rsidTr="0082378C">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Cat 3</w:t>
            </w:r>
          </w:p>
        </w:tc>
        <w:tc>
          <w:tcPr>
            <w:tcW w:w="1913" w:type="dxa"/>
            <w:tcBorders>
              <w:top w:val="nil"/>
              <w:left w:val="nil"/>
              <w:bottom w:val="single" w:sz="8" w:space="0" w:color="auto"/>
              <w:right w:val="single" w:sz="8" w:space="0" w:color="auto"/>
            </w:tcBorders>
            <w:shd w:val="clear" w:color="auto" w:fill="B6DDE8" w:themeFill="accent5" w:themeFillTint="66"/>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2014</w:t>
            </w:r>
          </w:p>
        </w:tc>
      </w:tr>
      <w:tr w:rsidR="0014356A"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Valid</w:t>
            </w:r>
          </w:p>
        </w:tc>
        <w:tc>
          <w:tcPr>
            <w:tcW w:w="1913"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2</w:t>
            </w:r>
            <w:r>
              <w:rPr>
                <w:rFonts w:eastAsia="Times New Roman" w:cstheme="minorHAnsi"/>
                <w:color w:val="000000"/>
                <w:lang w:eastAsia="en-IE"/>
              </w:rPr>
              <w:t>6</w:t>
            </w:r>
          </w:p>
        </w:tc>
      </w:tr>
      <w:tr w:rsidR="0014356A"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Missing</w:t>
            </w:r>
          </w:p>
        </w:tc>
        <w:tc>
          <w:tcPr>
            <w:tcW w:w="1913"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Pr>
                <w:rFonts w:eastAsia="Times New Roman" w:cstheme="minorHAnsi"/>
                <w:color w:val="000000"/>
                <w:lang w:eastAsia="en-IE"/>
              </w:rPr>
              <w:t>5</w:t>
            </w:r>
          </w:p>
        </w:tc>
      </w:tr>
      <w:tr w:rsidR="005F67C4"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Median</w:t>
            </w:r>
          </w:p>
        </w:tc>
        <w:tc>
          <w:tcPr>
            <w:tcW w:w="1913" w:type="dxa"/>
            <w:tcBorders>
              <w:top w:val="nil"/>
              <w:left w:val="nil"/>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0.00</w:t>
            </w:r>
          </w:p>
        </w:tc>
      </w:tr>
      <w:tr w:rsidR="005F67C4"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Mean</w:t>
            </w:r>
          </w:p>
        </w:tc>
        <w:tc>
          <w:tcPr>
            <w:tcW w:w="1913" w:type="dxa"/>
            <w:tcBorders>
              <w:top w:val="nil"/>
              <w:left w:val="nil"/>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0.</w:t>
            </w:r>
            <w:r w:rsidR="0014356A">
              <w:rPr>
                <w:rFonts w:eastAsia="Times New Roman" w:cstheme="minorHAnsi"/>
                <w:color w:val="000000"/>
                <w:lang w:eastAsia="en-IE"/>
              </w:rPr>
              <w:t>63</w:t>
            </w:r>
          </w:p>
        </w:tc>
      </w:tr>
      <w:tr w:rsidR="005F67C4" w:rsidRPr="005F67C4" w:rsidTr="0082378C">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Cat 4</w:t>
            </w:r>
          </w:p>
        </w:tc>
        <w:tc>
          <w:tcPr>
            <w:tcW w:w="1913" w:type="dxa"/>
            <w:tcBorders>
              <w:top w:val="single" w:sz="4" w:space="0" w:color="auto"/>
              <w:left w:val="nil"/>
              <w:bottom w:val="single" w:sz="8" w:space="0" w:color="auto"/>
              <w:right w:val="single" w:sz="8" w:space="0" w:color="auto"/>
            </w:tcBorders>
            <w:shd w:val="clear" w:color="auto" w:fill="B6DDE8" w:themeFill="accent5" w:themeFillTint="66"/>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2014</w:t>
            </w:r>
          </w:p>
        </w:tc>
      </w:tr>
      <w:tr w:rsidR="0014356A"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Valid</w:t>
            </w:r>
          </w:p>
        </w:tc>
        <w:tc>
          <w:tcPr>
            <w:tcW w:w="1913"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2</w:t>
            </w:r>
            <w:r>
              <w:rPr>
                <w:rFonts w:eastAsia="Times New Roman" w:cstheme="minorHAnsi"/>
                <w:color w:val="000000"/>
                <w:lang w:eastAsia="en-IE"/>
              </w:rPr>
              <w:t>6</w:t>
            </w:r>
          </w:p>
        </w:tc>
      </w:tr>
      <w:tr w:rsidR="0014356A"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Missing</w:t>
            </w:r>
          </w:p>
        </w:tc>
        <w:tc>
          <w:tcPr>
            <w:tcW w:w="1913"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Pr>
                <w:rFonts w:eastAsia="Times New Roman" w:cstheme="minorHAnsi"/>
                <w:color w:val="000000"/>
                <w:lang w:eastAsia="en-IE"/>
              </w:rPr>
              <w:t>5</w:t>
            </w:r>
          </w:p>
        </w:tc>
      </w:tr>
      <w:tr w:rsidR="005F67C4"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Median</w:t>
            </w:r>
          </w:p>
        </w:tc>
        <w:tc>
          <w:tcPr>
            <w:tcW w:w="1913" w:type="dxa"/>
            <w:tcBorders>
              <w:top w:val="nil"/>
              <w:left w:val="nil"/>
              <w:bottom w:val="single" w:sz="8" w:space="0" w:color="auto"/>
              <w:right w:val="single" w:sz="8" w:space="0" w:color="auto"/>
            </w:tcBorders>
            <w:shd w:val="clear" w:color="auto" w:fill="auto"/>
            <w:vAlign w:val="center"/>
            <w:hideMark/>
          </w:tcPr>
          <w:p w:rsidR="005F67C4" w:rsidRPr="005F67C4" w:rsidRDefault="0014356A" w:rsidP="0082378C">
            <w:pPr>
              <w:spacing w:after="0" w:line="240" w:lineRule="auto"/>
              <w:rPr>
                <w:rFonts w:eastAsia="Times New Roman" w:cstheme="minorHAnsi"/>
                <w:b/>
                <w:bCs/>
                <w:color w:val="000000"/>
                <w:lang w:eastAsia="en-IE"/>
              </w:rPr>
            </w:pPr>
            <w:r>
              <w:rPr>
                <w:rFonts w:eastAsia="Times New Roman" w:cstheme="minorHAnsi"/>
                <w:b/>
                <w:bCs/>
                <w:color w:val="000000"/>
                <w:lang w:eastAsia="en-IE"/>
              </w:rPr>
              <w:t>5.03</w:t>
            </w:r>
          </w:p>
        </w:tc>
      </w:tr>
      <w:tr w:rsidR="005F67C4"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Mean</w:t>
            </w:r>
          </w:p>
        </w:tc>
        <w:tc>
          <w:tcPr>
            <w:tcW w:w="1913" w:type="dxa"/>
            <w:tcBorders>
              <w:top w:val="nil"/>
              <w:left w:val="nil"/>
              <w:bottom w:val="single" w:sz="8" w:space="0" w:color="auto"/>
              <w:right w:val="single" w:sz="8" w:space="0" w:color="auto"/>
            </w:tcBorders>
            <w:shd w:val="clear" w:color="auto" w:fill="auto"/>
            <w:vAlign w:val="center"/>
            <w:hideMark/>
          </w:tcPr>
          <w:p w:rsidR="005F67C4" w:rsidRPr="005F67C4" w:rsidRDefault="00713C3E" w:rsidP="0082378C">
            <w:pPr>
              <w:spacing w:after="0" w:line="240" w:lineRule="auto"/>
              <w:rPr>
                <w:rFonts w:eastAsia="Times New Roman" w:cstheme="minorHAnsi"/>
                <w:color w:val="000000"/>
                <w:lang w:eastAsia="en-IE"/>
              </w:rPr>
            </w:pPr>
            <w:r>
              <w:rPr>
                <w:rFonts w:eastAsia="Times New Roman" w:cstheme="minorHAnsi"/>
                <w:color w:val="000000"/>
                <w:lang w:eastAsia="en-IE"/>
              </w:rPr>
              <w:t>6.</w:t>
            </w:r>
            <w:r w:rsidR="0014356A">
              <w:rPr>
                <w:rFonts w:eastAsia="Times New Roman" w:cstheme="minorHAnsi"/>
                <w:color w:val="000000"/>
                <w:lang w:eastAsia="en-IE"/>
              </w:rPr>
              <w:t>79</w:t>
            </w:r>
          </w:p>
        </w:tc>
      </w:tr>
      <w:tr w:rsidR="005F67C4" w:rsidRPr="005F67C4" w:rsidTr="0082378C">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Cat 5</w:t>
            </w:r>
          </w:p>
        </w:tc>
        <w:tc>
          <w:tcPr>
            <w:tcW w:w="1913" w:type="dxa"/>
            <w:tcBorders>
              <w:top w:val="single" w:sz="4" w:space="0" w:color="auto"/>
              <w:left w:val="nil"/>
              <w:bottom w:val="single" w:sz="8" w:space="0" w:color="auto"/>
              <w:right w:val="single" w:sz="8" w:space="0" w:color="auto"/>
            </w:tcBorders>
            <w:shd w:val="clear" w:color="auto" w:fill="B6DDE8" w:themeFill="accent5" w:themeFillTint="66"/>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2014</w:t>
            </w:r>
          </w:p>
        </w:tc>
      </w:tr>
      <w:tr w:rsidR="0014356A"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Valid</w:t>
            </w:r>
          </w:p>
        </w:tc>
        <w:tc>
          <w:tcPr>
            <w:tcW w:w="1913"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2</w:t>
            </w:r>
            <w:r>
              <w:rPr>
                <w:rFonts w:eastAsia="Times New Roman" w:cstheme="minorHAnsi"/>
                <w:color w:val="000000"/>
                <w:lang w:eastAsia="en-IE"/>
              </w:rPr>
              <w:t>6</w:t>
            </w:r>
          </w:p>
        </w:tc>
      </w:tr>
      <w:tr w:rsidR="0014356A"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Missing</w:t>
            </w:r>
          </w:p>
        </w:tc>
        <w:tc>
          <w:tcPr>
            <w:tcW w:w="1913"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Pr>
                <w:rFonts w:eastAsia="Times New Roman" w:cstheme="minorHAnsi"/>
                <w:color w:val="000000"/>
                <w:lang w:eastAsia="en-IE"/>
              </w:rPr>
              <w:t>5</w:t>
            </w:r>
          </w:p>
        </w:tc>
      </w:tr>
      <w:tr w:rsidR="005F67C4"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Median</w:t>
            </w:r>
          </w:p>
        </w:tc>
        <w:tc>
          <w:tcPr>
            <w:tcW w:w="1913" w:type="dxa"/>
            <w:tcBorders>
              <w:top w:val="nil"/>
              <w:left w:val="nil"/>
              <w:bottom w:val="single" w:sz="8" w:space="0" w:color="auto"/>
              <w:right w:val="single" w:sz="8" w:space="0" w:color="auto"/>
            </w:tcBorders>
            <w:shd w:val="clear" w:color="auto" w:fill="auto"/>
            <w:vAlign w:val="center"/>
            <w:hideMark/>
          </w:tcPr>
          <w:p w:rsidR="005F67C4" w:rsidRPr="005F67C4" w:rsidRDefault="0014356A" w:rsidP="0082378C">
            <w:pPr>
              <w:spacing w:after="0" w:line="240" w:lineRule="auto"/>
              <w:rPr>
                <w:rFonts w:eastAsia="Times New Roman" w:cstheme="minorHAnsi"/>
                <w:b/>
                <w:bCs/>
                <w:color w:val="000000"/>
                <w:lang w:eastAsia="en-IE"/>
              </w:rPr>
            </w:pPr>
            <w:r>
              <w:rPr>
                <w:rFonts w:eastAsia="Times New Roman" w:cstheme="minorHAnsi"/>
                <w:b/>
                <w:bCs/>
                <w:color w:val="000000"/>
                <w:lang w:eastAsia="en-IE"/>
              </w:rPr>
              <w:t>6.15</w:t>
            </w:r>
          </w:p>
        </w:tc>
      </w:tr>
      <w:tr w:rsidR="005F67C4"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Mean</w:t>
            </w:r>
          </w:p>
        </w:tc>
        <w:tc>
          <w:tcPr>
            <w:tcW w:w="1913" w:type="dxa"/>
            <w:tcBorders>
              <w:top w:val="nil"/>
              <w:left w:val="nil"/>
              <w:bottom w:val="single" w:sz="8" w:space="0" w:color="auto"/>
              <w:right w:val="single" w:sz="8" w:space="0" w:color="auto"/>
            </w:tcBorders>
            <w:shd w:val="clear" w:color="auto" w:fill="auto"/>
            <w:vAlign w:val="center"/>
            <w:hideMark/>
          </w:tcPr>
          <w:p w:rsidR="005F67C4" w:rsidRPr="005F67C4" w:rsidRDefault="0014356A" w:rsidP="0082378C">
            <w:pPr>
              <w:spacing w:after="0" w:line="240" w:lineRule="auto"/>
              <w:rPr>
                <w:rFonts w:eastAsia="Times New Roman" w:cstheme="minorHAnsi"/>
                <w:color w:val="000000"/>
                <w:lang w:eastAsia="en-IE"/>
              </w:rPr>
            </w:pPr>
            <w:r>
              <w:rPr>
                <w:rFonts w:eastAsia="Times New Roman" w:cstheme="minorHAnsi"/>
                <w:color w:val="000000"/>
                <w:lang w:eastAsia="en-IE"/>
              </w:rPr>
              <w:t>9.43</w:t>
            </w:r>
          </w:p>
        </w:tc>
      </w:tr>
      <w:tr w:rsidR="005F67C4" w:rsidRPr="005F67C4" w:rsidTr="0082378C">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Cat 6</w:t>
            </w:r>
          </w:p>
        </w:tc>
        <w:tc>
          <w:tcPr>
            <w:tcW w:w="1913" w:type="dxa"/>
            <w:tcBorders>
              <w:top w:val="single" w:sz="4" w:space="0" w:color="auto"/>
              <w:left w:val="nil"/>
              <w:bottom w:val="single" w:sz="8" w:space="0" w:color="auto"/>
              <w:right w:val="single" w:sz="8" w:space="0" w:color="auto"/>
            </w:tcBorders>
            <w:shd w:val="clear" w:color="auto" w:fill="B6DDE8" w:themeFill="accent5" w:themeFillTint="66"/>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2014</w:t>
            </w:r>
          </w:p>
        </w:tc>
      </w:tr>
      <w:tr w:rsidR="0014356A"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Valid</w:t>
            </w:r>
          </w:p>
        </w:tc>
        <w:tc>
          <w:tcPr>
            <w:tcW w:w="1913"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2</w:t>
            </w:r>
            <w:r>
              <w:rPr>
                <w:rFonts w:eastAsia="Times New Roman" w:cstheme="minorHAnsi"/>
                <w:color w:val="000000"/>
                <w:lang w:eastAsia="en-IE"/>
              </w:rPr>
              <w:t>6</w:t>
            </w:r>
          </w:p>
        </w:tc>
      </w:tr>
      <w:tr w:rsidR="0014356A"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Missing</w:t>
            </w:r>
          </w:p>
        </w:tc>
        <w:tc>
          <w:tcPr>
            <w:tcW w:w="1913"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Pr>
                <w:rFonts w:eastAsia="Times New Roman" w:cstheme="minorHAnsi"/>
                <w:color w:val="000000"/>
                <w:lang w:eastAsia="en-IE"/>
              </w:rPr>
              <w:t>5</w:t>
            </w:r>
          </w:p>
        </w:tc>
      </w:tr>
      <w:tr w:rsidR="005F67C4"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Median</w:t>
            </w:r>
          </w:p>
        </w:tc>
        <w:tc>
          <w:tcPr>
            <w:tcW w:w="1913" w:type="dxa"/>
            <w:tcBorders>
              <w:top w:val="nil"/>
              <w:left w:val="nil"/>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1</w:t>
            </w:r>
            <w:r w:rsidR="0014356A">
              <w:rPr>
                <w:rFonts w:eastAsia="Times New Roman" w:cstheme="minorHAnsi"/>
                <w:b/>
                <w:bCs/>
                <w:color w:val="000000"/>
                <w:lang w:eastAsia="en-IE"/>
              </w:rPr>
              <w:t>3.08</w:t>
            </w:r>
          </w:p>
        </w:tc>
      </w:tr>
      <w:tr w:rsidR="005F67C4"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Mean</w:t>
            </w:r>
          </w:p>
        </w:tc>
        <w:tc>
          <w:tcPr>
            <w:tcW w:w="1913" w:type="dxa"/>
            <w:tcBorders>
              <w:top w:val="nil"/>
              <w:left w:val="nil"/>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1</w:t>
            </w:r>
            <w:r w:rsidR="0014356A">
              <w:rPr>
                <w:rFonts w:eastAsia="Times New Roman" w:cstheme="minorHAnsi"/>
                <w:color w:val="000000"/>
                <w:lang w:eastAsia="en-IE"/>
              </w:rPr>
              <w:t>4.32</w:t>
            </w:r>
          </w:p>
        </w:tc>
      </w:tr>
      <w:tr w:rsidR="005F67C4" w:rsidRPr="005F67C4" w:rsidTr="0082378C">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Cat 7</w:t>
            </w:r>
          </w:p>
        </w:tc>
        <w:tc>
          <w:tcPr>
            <w:tcW w:w="1913" w:type="dxa"/>
            <w:tcBorders>
              <w:top w:val="nil"/>
              <w:left w:val="nil"/>
              <w:bottom w:val="single" w:sz="8" w:space="0" w:color="auto"/>
              <w:right w:val="single" w:sz="8" w:space="0" w:color="auto"/>
            </w:tcBorders>
            <w:shd w:val="clear" w:color="auto" w:fill="B6DDE8" w:themeFill="accent5" w:themeFillTint="66"/>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2014</w:t>
            </w:r>
          </w:p>
        </w:tc>
      </w:tr>
      <w:tr w:rsidR="0014356A"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Valid</w:t>
            </w:r>
          </w:p>
        </w:tc>
        <w:tc>
          <w:tcPr>
            <w:tcW w:w="1913"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2</w:t>
            </w:r>
            <w:r>
              <w:rPr>
                <w:rFonts w:eastAsia="Times New Roman" w:cstheme="minorHAnsi"/>
                <w:color w:val="000000"/>
                <w:lang w:eastAsia="en-IE"/>
              </w:rPr>
              <w:t>6</w:t>
            </w:r>
          </w:p>
        </w:tc>
      </w:tr>
      <w:tr w:rsidR="0014356A"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Missing</w:t>
            </w:r>
          </w:p>
        </w:tc>
        <w:tc>
          <w:tcPr>
            <w:tcW w:w="1913"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Pr>
                <w:rFonts w:eastAsia="Times New Roman" w:cstheme="minorHAnsi"/>
                <w:color w:val="000000"/>
                <w:lang w:eastAsia="en-IE"/>
              </w:rPr>
              <w:t>5</w:t>
            </w:r>
          </w:p>
        </w:tc>
      </w:tr>
      <w:tr w:rsidR="005F67C4"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Median</w:t>
            </w:r>
          </w:p>
        </w:tc>
        <w:tc>
          <w:tcPr>
            <w:tcW w:w="1913" w:type="dxa"/>
            <w:tcBorders>
              <w:top w:val="nil"/>
              <w:left w:val="nil"/>
              <w:bottom w:val="single" w:sz="8" w:space="0" w:color="auto"/>
              <w:right w:val="single" w:sz="8" w:space="0" w:color="auto"/>
            </w:tcBorders>
            <w:shd w:val="clear" w:color="auto" w:fill="auto"/>
            <w:vAlign w:val="center"/>
            <w:hideMark/>
          </w:tcPr>
          <w:p w:rsidR="005F67C4" w:rsidRPr="005F67C4" w:rsidRDefault="00713C3E" w:rsidP="0082378C">
            <w:pPr>
              <w:spacing w:after="0" w:line="240" w:lineRule="auto"/>
              <w:rPr>
                <w:rFonts w:eastAsia="Times New Roman" w:cstheme="minorHAnsi"/>
                <w:b/>
                <w:bCs/>
                <w:color w:val="000000"/>
                <w:lang w:eastAsia="en-IE"/>
              </w:rPr>
            </w:pPr>
            <w:r>
              <w:rPr>
                <w:rFonts w:eastAsia="Times New Roman" w:cstheme="minorHAnsi"/>
                <w:b/>
                <w:bCs/>
                <w:color w:val="000000"/>
                <w:lang w:eastAsia="en-IE"/>
              </w:rPr>
              <w:t>1</w:t>
            </w:r>
            <w:r w:rsidR="0014356A">
              <w:rPr>
                <w:rFonts w:eastAsia="Times New Roman" w:cstheme="minorHAnsi"/>
                <w:b/>
                <w:bCs/>
                <w:color w:val="000000"/>
                <w:lang w:eastAsia="en-IE"/>
              </w:rPr>
              <w:t>8.29</w:t>
            </w:r>
          </w:p>
        </w:tc>
      </w:tr>
      <w:tr w:rsidR="005F67C4"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Mean</w:t>
            </w:r>
          </w:p>
        </w:tc>
        <w:tc>
          <w:tcPr>
            <w:tcW w:w="1913" w:type="dxa"/>
            <w:tcBorders>
              <w:top w:val="nil"/>
              <w:left w:val="nil"/>
              <w:bottom w:val="single" w:sz="8" w:space="0" w:color="auto"/>
              <w:right w:val="single" w:sz="8" w:space="0" w:color="auto"/>
            </w:tcBorders>
            <w:shd w:val="clear" w:color="auto" w:fill="auto"/>
            <w:vAlign w:val="center"/>
            <w:hideMark/>
          </w:tcPr>
          <w:p w:rsidR="005F67C4" w:rsidRPr="005F67C4" w:rsidRDefault="00713C3E" w:rsidP="0082378C">
            <w:pPr>
              <w:spacing w:after="0" w:line="240" w:lineRule="auto"/>
              <w:rPr>
                <w:rFonts w:eastAsia="Times New Roman" w:cstheme="minorHAnsi"/>
                <w:color w:val="000000"/>
                <w:lang w:eastAsia="en-IE"/>
              </w:rPr>
            </w:pPr>
            <w:r>
              <w:rPr>
                <w:rFonts w:eastAsia="Times New Roman" w:cstheme="minorHAnsi"/>
                <w:color w:val="000000"/>
                <w:lang w:eastAsia="en-IE"/>
              </w:rPr>
              <w:t>1</w:t>
            </w:r>
            <w:r w:rsidR="0014356A">
              <w:rPr>
                <w:rFonts w:eastAsia="Times New Roman" w:cstheme="minorHAnsi"/>
                <w:color w:val="000000"/>
                <w:lang w:eastAsia="en-IE"/>
              </w:rPr>
              <w:t>8.56</w:t>
            </w:r>
          </w:p>
        </w:tc>
      </w:tr>
      <w:tr w:rsidR="005F67C4" w:rsidRPr="005F67C4" w:rsidTr="0082378C">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Cat 8</w:t>
            </w:r>
          </w:p>
        </w:tc>
        <w:tc>
          <w:tcPr>
            <w:tcW w:w="1913" w:type="dxa"/>
            <w:tcBorders>
              <w:top w:val="single" w:sz="4" w:space="0" w:color="auto"/>
              <w:left w:val="nil"/>
              <w:bottom w:val="single" w:sz="8" w:space="0" w:color="auto"/>
              <w:right w:val="single" w:sz="8" w:space="0" w:color="auto"/>
            </w:tcBorders>
            <w:shd w:val="clear" w:color="auto" w:fill="B6DDE8" w:themeFill="accent5" w:themeFillTint="66"/>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2014</w:t>
            </w:r>
          </w:p>
        </w:tc>
      </w:tr>
      <w:tr w:rsidR="0014356A"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Valid</w:t>
            </w:r>
          </w:p>
        </w:tc>
        <w:tc>
          <w:tcPr>
            <w:tcW w:w="1913"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2</w:t>
            </w:r>
            <w:r>
              <w:rPr>
                <w:rFonts w:eastAsia="Times New Roman" w:cstheme="minorHAnsi"/>
                <w:color w:val="000000"/>
                <w:lang w:eastAsia="en-IE"/>
              </w:rPr>
              <w:t>6</w:t>
            </w:r>
          </w:p>
        </w:tc>
      </w:tr>
      <w:tr w:rsidR="0014356A"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Missing</w:t>
            </w:r>
          </w:p>
        </w:tc>
        <w:tc>
          <w:tcPr>
            <w:tcW w:w="1913"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Pr>
                <w:rFonts w:eastAsia="Times New Roman" w:cstheme="minorHAnsi"/>
                <w:color w:val="000000"/>
                <w:lang w:eastAsia="en-IE"/>
              </w:rPr>
              <w:t>5</w:t>
            </w:r>
          </w:p>
        </w:tc>
      </w:tr>
      <w:tr w:rsidR="005F67C4"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Median</w:t>
            </w:r>
          </w:p>
        </w:tc>
        <w:tc>
          <w:tcPr>
            <w:tcW w:w="1913" w:type="dxa"/>
            <w:tcBorders>
              <w:top w:val="nil"/>
              <w:left w:val="nil"/>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2</w:t>
            </w:r>
            <w:r w:rsidR="0014356A">
              <w:rPr>
                <w:rFonts w:eastAsia="Times New Roman" w:cstheme="minorHAnsi"/>
                <w:b/>
                <w:bCs/>
                <w:color w:val="000000"/>
                <w:lang w:eastAsia="en-IE"/>
              </w:rPr>
              <w:t>1.72</w:t>
            </w:r>
          </w:p>
        </w:tc>
      </w:tr>
      <w:tr w:rsidR="005F67C4"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Mean</w:t>
            </w:r>
          </w:p>
        </w:tc>
        <w:tc>
          <w:tcPr>
            <w:tcW w:w="1913" w:type="dxa"/>
            <w:tcBorders>
              <w:top w:val="nil"/>
              <w:left w:val="nil"/>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2</w:t>
            </w:r>
            <w:r w:rsidR="0014356A">
              <w:rPr>
                <w:rFonts w:eastAsia="Times New Roman" w:cstheme="minorHAnsi"/>
                <w:color w:val="000000"/>
                <w:lang w:eastAsia="en-IE"/>
              </w:rPr>
              <w:t>5.23</w:t>
            </w:r>
          </w:p>
        </w:tc>
      </w:tr>
      <w:tr w:rsidR="005F67C4" w:rsidRPr="005F67C4" w:rsidTr="0082378C">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lastRenderedPageBreak/>
              <w:t>Cat 9</w:t>
            </w:r>
          </w:p>
        </w:tc>
        <w:tc>
          <w:tcPr>
            <w:tcW w:w="1913" w:type="dxa"/>
            <w:tcBorders>
              <w:top w:val="nil"/>
              <w:left w:val="nil"/>
              <w:bottom w:val="single" w:sz="8" w:space="0" w:color="auto"/>
              <w:right w:val="single" w:sz="8" w:space="0" w:color="auto"/>
            </w:tcBorders>
            <w:shd w:val="clear" w:color="auto" w:fill="B6DDE8" w:themeFill="accent5" w:themeFillTint="66"/>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2014</w:t>
            </w:r>
          </w:p>
        </w:tc>
      </w:tr>
      <w:tr w:rsidR="0014356A"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Valid</w:t>
            </w:r>
          </w:p>
        </w:tc>
        <w:tc>
          <w:tcPr>
            <w:tcW w:w="1913"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2</w:t>
            </w:r>
            <w:r>
              <w:rPr>
                <w:rFonts w:eastAsia="Times New Roman" w:cstheme="minorHAnsi"/>
                <w:color w:val="000000"/>
                <w:lang w:eastAsia="en-IE"/>
              </w:rPr>
              <w:t>6</w:t>
            </w:r>
          </w:p>
        </w:tc>
      </w:tr>
      <w:tr w:rsidR="0014356A"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Missing</w:t>
            </w:r>
          </w:p>
        </w:tc>
        <w:tc>
          <w:tcPr>
            <w:tcW w:w="1913"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Pr>
                <w:rFonts w:eastAsia="Times New Roman" w:cstheme="minorHAnsi"/>
                <w:color w:val="000000"/>
                <w:lang w:eastAsia="en-IE"/>
              </w:rPr>
              <w:t>5</w:t>
            </w:r>
          </w:p>
        </w:tc>
      </w:tr>
      <w:tr w:rsidR="005F67C4"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Median</w:t>
            </w:r>
          </w:p>
        </w:tc>
        <w:tc>
          <w:tcPr>
            <w:tcW w:w="1913" w:type="dxa"/>
            <w:tcBorders>
              <w:top w:val="nil"/>
              <w:left w:val="nil"/>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1</w:t>
            </w:r>
            <w:r w:rsidR="0014356A">
              <w:rPr>
                <w:rFonts w:eastAsia="Times New Roman" w:cstheme="minorHAnsi"/>
                <w:b/>
                <w:bCs/>
                <w:color w:val="000000"/>
                <w:lang w:eastAsia="en-IE"/>
              </w:rPr>
              <w:t>7.00</w:t>
            </w:r>
          </w:p>
        </w:tc>
      </w:tr>
      <w:tr w:rsidR="005F67C4"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Mean</w:t>
            </w:r>
          </w:p>
        </w:tc>
        <w:tc>
          <w:tcPr>
            <w:tcW w:w="1913" w:type="dxa"/>
            <w:tcBorders>
              <w:top w:val="nil"/>
              <w:left w:val="nil"/>
              <w:bottom w:val="single" w:sz="8" w:space="0" w:color="auto"/>
              <w:right w:val="single" w:sz="8" w:space="0" w:color="auto"/>
            </w:tcBorders>
            <w:shd w:val="clear" w:color="auto" w:fill="auto"/>
            <w:vAlign w:val="center"/>
            <w:hideMark/>
          </w:tcPr>
          <w:p w:rsidR="005F67C4" w:rsidRPr="005F67C4" w:rsidRDefault="00713C3E" w:rsidP="0082378C">
            <w:pPr>
              <w:spacing w:after="0" w:line="240" w:lineRule="auto"/>
              <w:rPr>
                <w:rFonts w:eastAsia="Times New Roman" w:cstheme="minorHAnsi"/>
                <w:color w:val="000000"/>
                <w:lang w:eastAsia="en-IE"/>
              </w:rPr>
            </w:pPr>
            <w:r>
              <w:rPr>
                <w:rFonts w:eastAsia="Times New Roman" w:cstheme="minorHAnsi"/>
                <w:color w:val="000000"/>
                <w:lang w:eastAsia="en-IE"/>
              </w:rPr>
              <w:t>1</w:t>
            </w:r>
            <w:r w:rsidR="0014356A">
              <w:rPr>
                <w:rFonts w:eastAsia="Times New Roman" w:cstheme="minorHAnsi"/>
                <w:color w:val="000000"/>
                <w:lang w:eastAsia="en-IE"/>
              </w:rPr>
              <w:t>7.44</w:t>
            </w:r>
          </w:p>
        </w:tc>
      </w:tr>
      <w:tr w:rsidR="005F67C4" w:rsidRPr="005F67C4" w:rsidTr="0082378C">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Cat 10</w:t>
            </w:r>
          </w:p>
        </w:tc>
        <w:tc>
          <w:tcPr>
            <w:tcW w:w="1913" w:type="dxa"/>
            <w:tcBorders>
              <w:top w:val="nil"/>
              <w:left w:val="nil"/>
              <w:bottom w:val="single" w:sz="8" w:space="0" w:color="auto"/>
              <w:right w:val="single" w:sz="8" w:space="0" w:color="auto"/>
            </w:tcBorders>
            <w:shd w:val="clear" w:color="auto" w:fill="B6DDE8" w:themeFill="accent5" w:themeFillTint="66"/>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2014</w:t>
            </w:r>
          </w:p>
        </w:tc>
      </w:tr>
      <w:tr w:rsidR="0014356A"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Valid</w:t>
            </w:r>
          </w:p>
        </w:tc>
        <w:tc>
          <w:tcPr>
            <w:tcW w:w="1913"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2</w:t>
            </w:r>
            <w:r>
              <w:rPr>
                <w:rFonts w:eastAsia="Times New Roman" w:cstheme="minorHAnsi"/>
                <w:color w:val="000000"/>
                <w:lang w:eastAsia="en-IE"/>
              </w:rPr>
              <w:t>6</w:t>
            </w:r>
          </w:p>
        </w:tc>
      </w:tr>
      <w:tr w:rsidR="0014356A"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Missing</w:t>
            </w:r>
          </w:p>
        </w:tc>
        <w:tc>
          <w:tcPr>
            <w:tcW w:w="1913" w:type="dxa"/>
            <w:tcBorders>
              <w:top w:val="nil"/>
              <w:left w:val="nil"/>
              <w:bottom w:val="single" w:sz="8" w:space="0" w:color="auto"/>
              <w:right w:val="single" w:sz="8" w:space="0" w:color="auto"/>
            </w:tcBorders>
            <w:shd w:val="clear" w:color="auto" w:fill="auto"/>
            <w:vAlign w:val="center"/>
            <w:hideMark/>
          </w:tcPr>
          <w:p w:rsidR="0014356A" w:rsidRPr="005F67C4" w:rsidRDefault="0014356A" w:rsidP="0082378C">
            <w:pPr>
              <w:spacing w:after="0" w:line="240" w:lineRule="auto"/>
              <w:rPr>
                <w:rFonts w:eastAsia="Times New Roman" w:cstheme="minorHAnsi"/>
                <w:color w:val="000000"/>
                <w:lang w:eastAsia="en-IE"/>
              </w:rPr>
            </w:pPr>
            <w:r>
              <w:rPr>
                <w:rFonts w:eastAsia="Times New Roman" w:cstheme="minorHAnsi"/>
                <w:color w:val="000000"/>
                <w:lang w:eastAsia="en-IE"/>
              </w:rPr>
              <w:t>5</w:t>
            </w:r>
          </w:p>
        </w:tc>
      </w:tr>
      <w:tr w:rsidR="005F67C4"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Median</w:t>
            </w:r>
          </w:p>
        </w:tc>
        <w:tc>
          <w:tcPr>
            <w:tcW w:w="1913" w:type="dxa"/>
            <w:tcBorders>
              <w:top w:val="nil"/>
              <w:left w:val="nil"/>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b/>
                <w:bCs/>
                <w:color w:val="000000"/>
                <w:lang w:eastAsia="en-IE"/>
              </w:rPr>
            </w:pPr>
            <w:r w:rsidRPr="005F67C4">
              <w:rPr>
                <w:rFonts w:eastAsia="Times New Roman" w:cstheme="minorHAnsi"/>
                <w:b/>
                <w:bCs/>
                <w:color w:val="000000"/>
                <w:lang w:eastAsia="en-IE"/>
              </w:rPr>
              <w:t>4.</w:t>
            </w:r>
            <w:r w:rsidR="0014356A">
              <w:rPr>
                <w:rFonts w:eastAsia="Times New Roman" w:cstheme="minorHAnsi"/>
                <w:b/>
                <w:bCs/>
                <w:color w:val="000000"/>
                <w:lang w:eastAsia="en-IE"/>
              </w:rPr>
              <w:t>57</w:t>
            </w:r>
          </w:p>
        </w:tc>
      </w:tr>
      <w:tr w:rsidR="005F67C4" w:rsidRPr="005F67C4" w:rsidTr="0082378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Mean</w:t>
            </w:r>
          </w:p>
        </w:tc>
        <w:tc>
          <w:tcPr>
            <w:tcW w:w="1913" w:type="dxa"/>
            <w:tcBorders>
              <w:top w:val="nil"/>
              <w:left w:val="nil"/>
              <w:bottom w:val="single" w:sz="8" w:space="0" w:color="auto"/>
              <w:right w:val="single" w:sz="8" w:space="0" w:color="auto"/>
            </w:tcBorders>
            <w:shd w:val="clear" w:color="auto" w:fill="auto"/>
            <w:vAlign w:val="center"/>
            <w:hideMark/>
          </w:tcPr>
          <w:p w:rsidR="005F67C4" w:rsidRPr="005F67C4" w:rsidRDefault="005F67C4" w:rsidP="0082378C">
            <w:pPr>
              <w:spacing w:after="0" w:line="240" w:lineRule="auto"/>
              <w:rPr>
                <w:rFonts w:eastAsia="Times New Roman" w:cstheme="minorHAnsi"/>
                <w:color w:val="000000"/>
                <w:lang w:eastAsia="en-IE"/>
              </w:rPr>
            </w:pPr>
            <w:r w:rsidRPr="005F67C4">
              <w:rPr>
                <w:rFonts w:eastAsia="Times New Roman" w:cstheme="minorHAnsi"/>
                <w:color w:val="000000"/>
                <w:lang w:eastAsia="en-IE"/>
              </w:rPr>
              <w:t>6.</w:t>
            </w:r>
            <w:r w:rsidR="0014356A">
              <w:rPr>
                <w:rFonts w:eastAsia="Times New Roman" w:cstheme="minorHAnsi"/>
                <w:color w:val="000000"/>
                <w:lang w:eastAsia="en-IE"/>
              </w:rPr>
              <w:t>64</w:t>
            </w:r>
          </w:p>
        </w:tc>
      </w:tr>
    </w:tbl>
    <w:p w:rsidR="0083560E" w:rsidRDefault="0083560E" w:rsidP="005F67C4">
      <w:pPr>
        <w:rPr>
          <w:rFonts w:cstheme="minorHAnsi"/>
          <w:b/>
        </w:rPr>
      </w:pPr>
    </w:p>
    <w:p w:rsidR="00403145" w:rsidRDefault="00403145" w:rsidP="005F67C4">
      <w:pPr>
        <w:rPr>
          <w:rFonts w:cstheme="minorHAnsi"/>
          <w:b/>
        </w:rPr>
      </w:pPr>
    </w:p>
    <w:p w:rsidR="0083560E" w:rsidRDefault="0083560E" w:rsidP="005F67C4">
      <w:pPr>
        <w:rPr>
          <w:rFonts w:cstheme="minorHAnsi"/>
          <w:b/>
        </w:rPr>
      </w:pPr>
    </w:p>
    <w:p w:rsidR="0083560E" w:rsidRDefault="0083560E" w:rsidP="005F67C4">
      <w:pPr>
        <w:rPr>
          <w:rFonts w:cstheme="minorHAnsi"/>
          <w:b/>
        </w:rPr>
      </w:pPr>
    </w:p>
    <w:p w:rsidR="000F78DF" w:rsidRDefault="000F78DF" w:rsidP="005F67C4">
      <w:pPr>
        <w:rPr>
          <w:rFonts w:cstheme="minorHAnsi"/>
          <w:b/>
        </w:rPr>
      </w:pPr>
    </w:p>
    <w:p w:rsidR="00DB27B8" w:rsidRDefault="00DB27B8">
      <w:pPr>
        <w:rPr>
          <w:rFonts w:cstheme="minorHAnsi"/>
          <w:b/>
        </w:rPr>
      </w:pPr>
      <w:r>
        <w:rPr>
          <w:rFonts w:cstheme="minorHAnsi"/>
          <w:b/>
        </w:rPr>
        <w:br w:type="page"/>
      </w:r>
    </w:p>
    <w:p w:rsidR="004E6623" w:rsidRPr="005F67C4" w:rsidRDefault="00201EC9" w:rsidP="005F67C4">
      <w:pPr>
        <w:rPr>
          <w:rFonts w:ascii="Calibri" w:eastAsia="Times New Roman" w:hAnsi="Calibri" w:cs="Calibri"/>
          <w:color w:val="000000"/>
          <w:lang w:eastAsia="en-IE"/>
        </w:rPr>
      </w:pPr>
      <w:r w:rsidRPr="00B97E75">
        <w:rPr>
          <w:rFonts w:cstheme="minorHAnsi"/>
          <w:b/>
        </w:rPr>
        <w:lastRenderedPageBreak/>
        <w:t xml:space="preserve">Table </w:t>
      </w:r>
      <w:r w:rsidR="00B70292">
        <w:rPr>
          <w:rFonts w:cstheme="minorHAnsi"/>
          <w:b/>
        </w:rPr>
        <w:t>7</w:t>
      </w:r>
      <w:r w:rsidRPr="00B97E75">
        <w:rPr>
          <w:rFonts w:cstheme="minorHAnsi"/>
          <w:b/>
        </w:rPr>
        <w:t xml:space="preserve">: </w:t>
      </w:r>
      <w:r w:rsidR="005F67C4" w:rsidRPr="005F67C4">
        <w:rPr>
          <w:rFonts w:ascii="Calibri" w:eastAsia="Times New Roman" w:hAnsi="Calibri" w:cs="Calibri"/>
          <w:color w:val="000000"/>
          <w:lang w:eastAsia="en-IE"/>
        </w:rPr>
        <w:t>Ratings in Pavement Surface Condition Index - Local Primary</w:t>
      </w:r>
      <w:r w:rsidR="000F78DF">
        <w:rPr>
          <w:rFonts w:ascii="Calibri" w:eastAsia="Times New Roman" w:hAnsi="Calibri" w:cs="Calibri"/>
          <w:color w:val="000000"/>
          <w:lang w:eastAsia="en-IE"/>
        </w:rPr>
        <w:t xml:space="preserve"> </w:t>
      </w:r>
      <w:r w:rsidR="000F78DF">
        <w:rPr>
          <w:rFonts w:cstheme="minorHAnsi"/>
        </w:rPr>
        <w:t>as at 31/12/2014</w:t>
      </w:r>
    </w:p>
    <w:tbl>
      <w:tblPr>
        <w:tblStyle w:val="LightGrid-Accent5"/>
        <w:tblW w:w="5347" w:type="pct"/>
        <w:tblLook w:val="04A0" w:firstRow="1" w:lastRow="0" w:firstColumn="1" w:lastColumn="0" w:noHBand="0" w:noVBand="1"/>
      </w:tblPr>
      <w:tblGrid>
        <w:gridCol w:w="2325"/>
        <w:gridCol w:w="803"/>
        <w:gridCol w:w="794"/>
        <w:gridCol w:w="789"/>
        <w:gridCol w:w="721"/>
        <w:gridCol w:w="721"/>
        <w:gridCol w:w="721"/>
        <w:gridCol w:w="721"/>
        <w:gridCol w:w="721"/>
        <w:gridCol w:w="721"/>
        <w:gridCol w:w="846"/>
      </w:tblGrid>
      <w:tr w:rsidR="00631B23" w:rsidRPr="00631B23" w:rsidTr="00FC1701">
        <w:trPr>
          <w:cnfStyle w:val="100000000000" w:firstRow="1" w:lastRow="0" w:firstColumn="0" w:lastColumn="0" w:oddVBand="0" w:evenVBand="0" w:oddHBand="0"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176" w:type="pct"/>
            <w:noWrap/>
            <w:vAlign w:val="center"/>
            <w:hideMark/>
          </w:tcPr>
          <w:p w:rsidR="00631B23" w:rsidRPr="00631B23" w:rsidRDefault="00631B23" w:rsidP="00771880">
            <w:pPr>
              <w:rPr>
                <w:rFonts w:asciiTheme="minorHAnsi" w:hAnsiTheme="minorHAnsi" w:cstheme="minorHAnsi"/>
                <w:sz w:val="20"/>
                <w:szCs w:val="20"/>
              </w:rPr>
            </w:pPr>
          </w:p>
        </w:tc>
        <w:tc>
          <w:tcPr>
            <w:tcW w:w="1571" w:type="pct"/>
            <w:gridSpan w:val="4"/>
            <w:shd w:val="clear" w:color="auto" w:fill="FFBDBD"/>
            <w:vAlign w:val="center"/>
            <w:hideMark/>
          </w:tcPr>
          <w:p w:rsidR="00631B23" w:rsidRPr="00631B23" w:rsidRDefault="00D26CA9" w:rsidP="0077188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eastAsia="Times New Roman" w:hAnsi="Calibri" w:cs="Calibri"/>
                <w:color w:val="000000"/>
                <w:sz w:val="20"/>
                <w:szCs w:val="20"/>
                <w:lang w:eastAsia="en-IE"/>
              </w:rPr>
              <w:t>Structural Distress</w:t>
            </w:r>
          </w:p>
        </w:tc>
        <w:tc>
          <w:tcPr>
            <w:tcW w:w="730" w:type="pct"/>
            <w:gridSpan w:val="2"/>
            <w:shd w:val="clear" w:color="auto" w:fill="FFE89F"/>
            <w:vAlign w:val="center"/>
            <w:hideMark/>
          </w:tcPr>
          <w:p w:rsidR="00631B23" w:rsidRPr="00631B23" w:rsidRDefault="00631B23" w:rsidP="0077188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1B23">
              <w:rPr>
                <w:rFonts w:asciiTheme="minorHAnsi" w:hAnsiTheme="minorHAnsi" w:cstheme="minorHAnsi"/>
                <w:sz w:val="20"/>
                <w:szCs w:val="20"/>
              </w:rPr>
              <w:t>Pavement Defects</w:t>
            </w:r>
          </w:p>
        </w:tc>
        <w:tc>
          <w:tcPr>
            <w:tcW w:w="730" w:type="pct"/>
            <w:gridSpan w:val="2"/>
            <w:shd w:val="clear" w:color="auto" w:fill="9BD4FF"/>
            <w:vAlign w:val="center"/>
            <w:hideMark/>
          </w:tcPr>
          <w:p w:rsidR="00631B23" w:rsidRPr="00631B23" w:rsidRDefault="00631B23" w:rsidP="0077188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1B23">
              <w:rPr>
                <w:rFonts w:asciiTheme="minorHAnsi" w:hAnsiTheme="minorHAnsi" w:cstheme="minorHAnsi"/>
                <w:sz w:val="20"/>
                <w:szCs w:val="20"/>
              </w:rPr>
              <w:t>Surface Defects</w:t>
            </w:r>
          </w:p>
        </w:tc>
        <w:tc>
          <w:tcPr>
            <w:tcW w:w="794" w:type="pct"/>
            <w:gridSpan w:val="2"/>
            <w:shd w:val="clear" w:color="auto" w:fill="ABFFD1"/>
            <w:vAlign w:val="center"/>
            <w:hideMark/>
          </w:tcPr>
          <w:p w:rsidR="00631B23" w:rsidRPr="00631B23" w:rsidRDefault="00631B23" w:rsidP="0077188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1B23">
              <w:rPr>
                <w:rFonts w:asciiTheme="minorHAnsi" w:hAnsiTheme="minorHAnsi" w:cstheme="minorHAnsi"/>
                <w:sz w:val="20"/>
                <w:szCs w:val="20"/>
              </w:rPr>
              <w:t xml:space="preserve">Not Visible/Minor </w:t>
            </w:r>
          </w:p>
        </w:tc>
      </w:tr>
      <w:tr w:rsidR="00631B23" w:rsidRPr="005F67C4" w:rsidTr="00FC1701">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jc w:val="cente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Authority</w:t>
            </w:r>
          </w:p>
        </w:tc>
        <w:tc>
          <w:tcPr>
            <w:tcW w:w="406" w:type="pct"/>
            <w:hideMark/>
          </w:tcPr>
          <w:p w:rsidR="00631B23" w:rsidRPr="005F67C4" w:rsidRDefault="00631B23" w:rsidP="005F6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Cat. 1</w:t>
            </w:r>
          </w:p>
        </w:tc>
        <w:tc>
          <w:tcPr>
            <w:tcW w:w="401" w:type="pct"/>
            <w:hideMark/>
          </w:tcPr>
          <w:p w:rsidR="00631B23" w:rsidRPr="005F67C4" w:rsidRDefault="00631B23" w:rsidP="005F6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Cat. 2</w:t>
            </w:r>
          </w:p>
        </w:tc>
        <w:tc>
          <w:tcPr>
            <w:tcW w:w="399" w:type="pct"/>
            <w:hideMark/>
          </w:tcPr>
          <w:p w:rsidR="00631B23" w:rsidRPr="005F67C4" w:rsidRDefault="00631B23" w:rsidP="005F6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Cat. 3</w:t>
            </w:r>
          </w:p>
        </w:tc>
        <w:tc>
          <w:tcPr>
            <w:tcW w:w="365" w:type="pct"/>
            <w:hideMark/>
          </w:tcPr>
          <w:p w:rsidR="00631B23" w:rsidRPr="005F67C4" w:rsidRDefault="00631B23" w:rsidP="005F6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Cat. 4</w:t>
            </w:r>
          </w:p>
        </w:tc>
        <w:tc>
          <w:tcPr>
            <w:tcW w:w="365" w:type="pct"/>
            <w:hideMark/>
          </w:tcPr>
          <w:p w:rsidR="00631B23" w:rsidRPr="005F67C4" w:rsidRDefault="00631B23" w:rsidP="005F6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Cat. 5</w:t>
            </w:r>
          </w:p>
        </w:tc>
        <w:tc>
          <w:tcPr>
            <w:tcW w:w="365" w:type="pct"/>
            <w:hideMark/>
          </w:tcPr>
          <w:p w:rsidR="00631B23" w:rsidRPr="005F67C4" w:rsidRDefault="00631B23" w:rsidP="005F6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Cat. 6</w:t>
            </w:r>
          </w:p>
        </w:tc>
        <w:tc>
          <w:tcPr>
            <w:tcW w:w="365" w:type="pct"/>
            <w:hideMark/>
          </w:tcPr>
          <w:p w:rsidR="00631B23" w:rsidRPr="005F67C4" w:rsidRDefault="00631B23" w:rsidP="005F6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Cat. 7</w:t>
            </w:r>
          </w:p>
        </w:tc>
        <w:tc>
          <w:tcPr>
            <w:tcW w:w="365" w:type="pct"/>
            <w:hideMark/>
          </w:tcPr>
          <w:p w:rsidR="00631B23" w:rsidRPr="005F67C4" w:rsidRDefault="00631B23" w:rsidP="005F6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Cat. 8</w:t>
            </w:r>
          </w:p>
        </w:tc>
        <w:tc>
          <w:tcPr>
            <w:tcW w:w="365" w:type="pct"/>
            <w:hideMark/>
          </w:tcPr>
          <w:p w:rsidR="00631B23" w:rsidRPr="005F67C4" w:rsidRDefault="00631B23" w:rsidP="005F6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Cat. 9</w:t>
            </w:r>
          </w:p>
        </w:tc>
        <w:tc>
          <w:tcPr>
            <w:tcW w:w="429" w:type="pct"/>
            <w:hideMark/>
          </w:tcPr>
          <w:p w:rsidR="00631B23" w:rsidRPr="005F67C4" w:rsidRDefault="00631B23" w:rsidP="005F6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Cat. 10</w:t>
            </w:r>
          </w:p>
        </w:tc>
      </w:tr>
      <w:tr w:rsidR="00631B23" w:rsidRPr="005F67C4" w:rsidTr="00FC170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 </w:t>
            </w:r>
          </w:p>
        </w:tc>
        <w:tc>
          <w:tcPr>
            <w:tcW w:w="406" w:type="pct"/>
            <w:hideMark/>
          </w:tcPr>
          <w:p w:rsidR="00631B23" w:rsidRPr="005F67C4" w:rsidRDefault="00631B23" w:rsidP="005F6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5F67C4">
              <w:rPr>
                <w:rFonts w:ascii="Calibri" w:eastAsia="Times New Roman" w:hAnsi="Calibri" w:cs="Calibri"/>
                <w:color w:val="000000"/>
                <w:lang w:eastAsia="en-IE"/>
              </w:rPr>
              <w:t> </w:t>
            </w:r>
          </w:p>
        </w:tc>
        <w:tc>
          <w:tcPr>
            <w:tcW w:w="401" w:type="pct"/>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5F67C4">
              <w:rPr>
                <w:rFonts w:ascii="Calibri" w:eastAsia="Times New Roman" w:hAnsi="Calibri" w:cs="Calibri"/>
                <w:color w:val="000000"/>
                <w:lang w:eastAsia="en-IE"/>
              </w:rPr>
              <w:t> </w:t>
            </w:r>
          </w:p>
        </w:tc>
        <w:tc>
          <w:tcPr>
            <w:tcW w:w="399" w:type="pct"/>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5F67C4">
              <w:rPr>
                <w:rFonts w:ascii="Calibri" w:eastAsia="Times New Roman" w:hAnsi="Calibri" w:cs="Calibri"/>
                <w:color w:val="000000"/>
                <w:lang w:eastAsia="en-IE"/>
              </w:rPr>
              <w:t> </w:t>
            </w:r>
          </w:p>
        </w:tc>
        <w:tc>
          <w:tcPr>
            <w:tcW w:w="365" w:type="pct"/>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5F67C4">
              <w:rPr>
                <w:rFonts w:ascii="Calibri" w:eastAsia="Times New Roman" w:hAnsi="Calibri" w:cs="Calibri"/>
                <w:color w:val="000000"/>
                <w:lang w:eastAsia="en-IE"/>
              </w:rPr>
              <w:t> </w:t>
            </w:r>
          </w:p>
        </w:tc>
        <w:tc>
          <w:tcPr>
            <w:tcW w:w="365" w:type="pct"/>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5F67C4">
              <w:rPr>
                <w:rFonts w:ascii="Calibri" w:eastAsia="Times New Roman" w:hAnsi="Calibri" w:cs="Calibri"/>
                <w:color w:val="000000"/>
                <w:lang w:eastAsia="en-IE"/>
              </w:rPr>
              <w:t> </w:t>
            </w:r>
          </w:p>
        </w:tc>
        <w:tc>
          <w:tcPr>
            <w:tcW w:w="365" w:type="pct"/>
            <w:hideMark/>
          </w:tcPr>
          <w:p w:rsidR="00631B23" w:rsidRPr="005F67C4" w:rsidRDefault="00631B23" w:rsidP="005F6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p>
        </w:tc>
        <w:tc>
          <w:tcPr>
            <w:tcW w:w="365" w:type="pct"/>
            <w:hideMark/>
          </w:tcPr>
          <w:p w:rsidR="00631B23" w:rsidRPr="005F67C4" w:rsidRDefault="00631B23" w:rsidP="005F6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p>
        </w:tc>
        <w:tc>
          <w:tcPr>
            <w:tcW w:w="365" w:type="pct"/>
            <w:hideMark/>
          </w:tcPr>
          <w:p w:rsidR="00631B23" w:rsidRPr="005F67C4" w:rsidRDefault="00631B23" w:rsidP="005F6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p>
        </w:tc>
        <w:tc>
          <w:tcPr>
            <w:tcW w:w="365" w:type="pct"/>
            <w:hideMark/>
          </w:tcPr>
          <w:p w:rsidR="00631B23" w:rsidRPr="005F67C4" w:rsidRDefault="00631B23" w:rsidP="005F6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p>
        </w:tc>
        <w:tc>
          <w:tcPr>
            <w:tcW w:w="429" w:type="pct"/>
            <w:noWrap/>
            <w:hideMark/>
          </w:tcPr>
          <w:p w:rsidR="00631B23" w:rsidRPr="005F67C4" w:rsidRDefault="00631B23" w:rsidP="005F6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p>
        </w:tc>
      </w:tr>
      <w:tr w:rsidR="00631B23" w:rsidRPr="005F67C4" w:rsidTr="00FC170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Carlow County</w:t>
            </w:r>
          </w:p>
        </w:tc>
        <w:tc>
          <w:tcPr>
            <w:tcW w:w="406"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401"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39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4</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20</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41</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28</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4</w:t>
            </w:r>
          </w:p>
        </w:tc>
        <w:tc>
          <w:tcPr>
            <w:tcW w:w="42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vertAlign w:val="superscript"/>
                <w:lang w:eastAsia="en-IE"/>
              </w:rPr>
            </w:pPr>
            <w:r w:rsidRPr="005F67C4">
              <w:rPr>
                <w:rFonts w:ascii="Calibri" w:eastAsia="Times New Roman" w:hAnsi="Calibri" w:cs="Calibri"/>
                <w:color w:val="000000"/>
                <w:sz w:val="18"/>
                <w:szCs w:val="18"/>
                <w:lang w:eastAsia="en-IE"/>
              </w:rPr>
              <w:t>0</w:t>
            </w:r>
          </w:p>
        </w:tc>
      </w:tr>
      <w:tr w:rsidR="00631B23" w:rsidRPr="005F67C4" w:rsidTr="00FC170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Cavan County</w:t>
            </w:r>
          </w:p>
        </w:tc>
        <w:tc>
          <w:tcPr>
            <w:tcW w:w="406" w:type="pct"/>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401"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399"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4</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12</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33</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32</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12</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7</w:t>
            </w:r>
          </w:p>
        </w:tc>
        <w:tc>
          <w:tcPr>
            <w:tcW w:w="429"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w:t>
            </w:r>
          </w:p>
        </w:tc>
      </w:tr>
      <w:tr w:rsidR="00631B23" w:rsidRPr="005F67C4" w:rsidTr="00FC170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Clare County</w:t>
            </w:r>
          </w:p>
        </w:tc>
        <w:tc>
          <w:tcPr>
            <w:tcW w:w="406"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401"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39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4</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5</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17</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29</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27</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11</w:t>
            </w:r>
          </w:p>
        </w:tc>
        <w:tc>
          <w:tcPr>
            <w:tcW w:w="42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6</w:t>
            </w:r>
          </w:p>
        </w:tc>
      </w:tr>
      <w:tr w:rsidR="0014356A" w:rsidRPr="005F67C4" w:rsidTr="00FC170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14356A" w:rsidRPr="005F67C4" w:rsidRDefault="0014356A"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Cork City</w:t>
            </w:r>
          </w:p>
        </w:tc>
        <w:tc>
          <w:tcPr>
            <w:tcW w:w="406" w:type="pct"/>
            <w:hideMark/>
          </w:tcPr>
          <w:p w:rsidR="0014356A" w:rsidRPr="005F67C4" w:rsidRDefault="0014356A"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vertAlign w:val="superscript"/>
                <w:lang w:eastAsia="en-IE"/>
              </w:rPr>
            </w:pPr>
            <w:r w:rsidRPr="005F67C4">
              <w:rPr>
                <w:rFonts w:ascii="Calibri" w:eastAsia="Times New Roman" w:hAnsi="Calibri" w:cs="Calibri"/>
                <w:color w:val="000000"/>
                <w:sz w:val="18"/>
                <w:szCs w:val="18"/>
                <w:lang w:eastAsia="en-IE"/>
              </w:rPr>
              <w:t>N/A</w:t>
            </w:r>
            <w:r>
              <w:rPr>
                <w:rFonts w:ascii="Calibri" w:eastAsia="Times New Roman" w:hAnsi="Calibri" w:cs="Calibri"/>
                <w:color w:val="000000"/>
                <w:sz w:val="18"/>
                <w:szCs w:val="18"/>
                <w:vertAlign w:val="superscript"/>
                <w:lang w:eastAsia="en-IE"/>
              </w:rPr>
              <w:t xml:space="preserve"> </w:t>
            </w:r>
          </w:p>
        </w:tc>
        <w:tc>
          <w:tcPr>
            <w:tcW w:w="401" w:type="pct"/>
            <w:noWrap/>
            <w:hideMark/>
          </w:tcPr>
          <w:p w:rsidR="0014356A" w:rsidRDefault="0014356A">
            <w:pPr>
              <w:cnfStyle w:val="000000010000" w:firstRow="0" w:lastRow="0" w:firstColumn="0" w:lastColumn="0" w:oddVBand="0" w:evenVBand="0" w:oddHBand="0" w:evenHBand="1" w:firstRowFirstColumn="0" w:firstRowLastColumn="0" w:lastRowFirstColumn="0" w:lastRowLastColumn="0"/>
            </w:pPr>
            <w:r w:rsidRPr="0062634B">
              <w:rPr>
                <w:rFonts w:ascii="Calibri" w:eastAsia="Times New Roman" w:hAnsi="Calibri" w:cs="Calibri"/>
                <w:color w:val="000000"/>
                <w:sz w:val="18"/>
                <w:szCs w:val="18"/>
                <w:lang w:eastAsia="en-IE"/>
              </w:rPr>
              <w:t>N/A</w:t>
            </w:r>
          </w:p>
        </w:tc>
        <w:tc>
          <w:tcPr>
            <w:tcW w:w="399" w:type="pct"/>
            <w:noWrap/>
            <w:hideMark/>
          </w:tcPr>
          <w:p w:rsidR="0014356A" w:rsidRDefault="0014356A">
            <w:pPr>
              <w:cnfStyle w:val="000000010000" w:firstRow="0" w:lastRow="0" w:firstColumn="0" w:lastColumn="0" w:oddVBand="0" w:evenVBand="0" w:oddHBand="0" w:evenHBand="1" w:firstRowFirstColumn="0" w:firstRowLastColumn="0" w:lastRowFirstColumn="0" w:lastRowLastColumn="0"/>
            </w:pPr>
            <w:r w:rsidRPr="0062634B">
              <w:rPr>
                <w:rFonts w:ascii="Calibri" w:eastAsia="Times New Roman" w:hAnsi="Calibri" w:cs="Calibri"/>
                <w:color w:val="000000"/>
                <w:sz w:val="18"/>
                <w:szCs w:val="18"/>
                <w:lang w:eastAsia="en-IE"/>
              </w:rPr>
              <w:t>N/A</w:t>
            </w:r>
          </w:p>
        </w:tc>
        <w:tc>
          <w:tcPr>
            <w:tcW w:w="365" w:type="pct"/>
            <w:noWrap/>
            <w:hideMark/>
          </w:tcPr>
          <w:p w:rsidR="0014356A" w:rsidRDefault="0014356A">
            <w:pPr>
              <w:cnfStyle w:val="000000010000" w:firstRow="0" w:lastRow="0" w:firstColumn="0" w:lastColumn="0" w:oddVBand="0" w:evenVBand="0" w:oddHBand="0" w:evenHBand="1" w:firstRowFirstColumn="0" w:firstRowLastColumn="0" w:lastRowFirstColumn="0" w:lastRowLastColumn="0"/>
            </w:pPr>
            <w:r w:rsidRPr="0062634B">
              <w:rPr>
                <w:rFonts w:ascii="Calibri" w:eastAsia="Times New Roman" w:hAnsi="Calibri" w:cs="Calibri"/>
                <w:color w:val="000000"/>
                <w:sz w:val="18"/>
                <w:szCs w:val="18"/>
                <w:lang w:eastAsia="en-IE"/>
              </w:rPr>
              <w:t>N/A</w:t>
            </w:r>
          </w:p>
        </w:tc>
        <w:tc>
          <w:tcPr>
            <w:tcW w:w="365" w:type="pct"/>
            <w:noWrap/>
            <w:hideMark/>
          </w:tcPr>
          <w:p w:rsidR="0014356A" w:rsidRDefault="0014356A">
            <w:pPr>
              <w:cnfStyle w:val="000000010000" w:firstRow="0" w:lastRow="0" w:firstColumn="0" w:lastColumn="0" w:oddVBand="0" w:evenVBand="0" w:oddHBand="0" w:evenHBand="1" w:firstRowFirstColumn="0" w:firstRowLastColumn="0" w:lastRowFirstColumn="0" w:lastRowLastColumn="0"/>
            </w:pPr>
            <w:r w:rsidRPr="0062634B">
              <w:rPr>
                <w:rFonts w:ascii="Calibri" w:eastAsia="Times New Roman" w:hAnsi="Calibri" w:cs="Calibri"/>
                <w:color w:val="000000"/>
                <w:sz w:val="18"/>
                <w:szCs w:val="18"/>
                <w:lang w:eastAsia="en-IE"/>
              </w:rPr>
              <w:t>N/A</w:t>
            </w:r>
          </w:p>
        </w:tc>
        <w:tc>
          <w:tcPr>
            <w:tcW w:w="365" w:type="pct"/>
            <w:noWrap/>
            <w:hideMark/>
          </w:tcPr>
          <w:p w:rsidR="0014356A" w:rsidRDefault="0014356A">
            <w:pPr>
              <w:cnfStyle w:val="000000010000" w:firstRow="0" w:lastRow="0" w:firstColumn="0" w:lastColumn="0" w:oddVBand="0" w:evenVBand="0" w:oddHBand="0" w:evenHBand="1" w:firstRowFirstColumn="0" w:firstRowLastColumn="0" w:lastRowFirstColumn="0" w:lastRowLastColumn="0"/>
            </w:pPr>
            <w:r w:rsidRPr="0062634B">
              <w:rPr>
                <w:rFonts w:ascii="Calibri" w:eastAsia="Times New Roman" w:hAnsi="Calibri" w:cs="Calibri"/>
                <w:color w:val="000000"/>
                <w:sz w:val="18"/>
                <w:szCs w:val="18"/>
                <w:lang w:eastAsia="en-IE"/>
              </w:rPr>
              <w:t>N/A</w:t>
            </w:r>
          </w:p>
        </w:tc>
        <w:tc>
          <w:tcPr>
            <w:tcW w:w="365" w:type="pct"/>
            <w:noWrap/>
            <w:hideMark/>
          </w:tcPr>
          <w:p w:rsidR="0014356A" w:rsidRDefault="0014356A">
            <w:pPr>
              <w:cnfStyle w:val="000000010000" w:firstRow="0" w:lastRow="0" w:firstColumn="0" w:lastColumn="0" w:oddVBand="0" w:evenVBand="0" w:oddHBand="0" w:evenHBand="1" w:firstRowFirstColumn="0" w:firstRowLastColumn="0" w:lastRowFirstColumn="0" w:lastRowLastColumn="0"/>
            </w:pPr>
            <w:r w:rsidRPr="0062634B">
              <w:rPr>
                <w:rFonts w:ascii="Calibri" w:eastAsia="Times New Roman" w:hAnsi="Calibri" w:cs="Calibri"/>
                <w:color w:val="000000"/>
                <w:sz w:val="18"/>
                <w:szCs w:val="18"/>
                <w:lang w:eastAsia="en-IE"/>
              </w:rPr>
              <w:t>N/A</w:t>
            </w:r>
          </w:p>
        </w:tc>
        <w:tc>
          <w:tcPr>
            <w:tcW w:w="365" w:type="pct"/>
            <w:noWrap/>
            <w:hideMark/>
          </w:tcPr>
          <w:p w:rsidR="0014356A" w:rsidRDefault="0014356A">
            <w:pPr>
              <w:cnfStyle w:val="000000010000" w:firstRow="0" w:lastRow="0" w:firstColumn="0" w:lastColumn="0" w:oddVBand="0" w:evenVBand="0" w:oddHBand="0" w:evenHBand="1" w:firstRowFirstColumn="0" w:firstRowLastColumn="0" w:lastRowFirstColumn="0" w:lastRowLastColumn="0"/>
            </w:pPr>
            <w:r w:rsidRPr="0062634B">
              <w:rPr>
                <w:rFonts w:ascii="Calibri" w:eastAsia="Times New Roman" w:hAnsi="Calibri" w:cs="Calibri"/>
                <w:color w:val="000000"/>
                <w:sz w:val="18"/>
                <w:szCs w:val="18"/>
                <w:lang w:eastAsia="en-IE"/>
              </w:rPr>
              <w:t>N/A</w:t>
            </w:r>
          </w:p>
        </w:tc>
        <w:tc>
          <w:tcPr>
            <w:tcW w:w="365" w:type="pct"/>
            <w:noWrap/>
            <w:hideMark/>
          </w:tcPr>
          <w:p w:rsidR="0014356A" w:rsidRDefault="0014356A">
            <w:pPr>
              <w:cnfStyle w:val="000000010000" w:firstRow="0" w:lastRow="0" w:firstColumn="0" w:lastColumn="0" w:oddVBand="0" w:evenVBand="0" w:oddHBand="0" w:evenHBand="1" w:firstRowFirstColumn="0" w:firstRowLastColumn="0" w:lastRowFirstColumn="0" w:lastRowLastColumn="0"/>
            </w:pPr>
            <w:r w:rsidRPr="0062634B">
              <w:rPr>
                <w:rFonts w:ascii="Calibri" w:eastAsia="Times New Roman" w:hAnsi="Calibri" w:cs="Calibri"/>
                <w:color w:val="000000"/>
                <w:sz w:val="18"/>
                <w:szCs w:val="18"/>
                <w:lang w:eastAsia="en-IE"/>
              </w:rPr>
              <w:t>N/A</w:t>
            </w:r>
          </w:p>
        </w:tc>
        <w:tc>
          <w:tcPr>
            <w:tcW w:w="429" w:type="pct"/>
            <w:noWrap/>
            <w:hideMark/>
          </w:tcPr>
          <w:p w:rsidR="0014356A" w:rsidRPr="005F67C4" w:rsidRDefault="0014356A"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vertAlign w:val="superscript"/>
                <w:lang w:eastAsia="en-IE"/>
              </w:rPr>
            </w:pPr>
            <w:r w:rsidRPr="005F67C4">
              <w:rPr>
                <w:rFonts w:ascii="Calibri" w:eastAsia="Times New Roman" w:hAnsi="Calibri" w:cs="Calibri"/>
                <w:color w:val="000000"/>
                <w:sz w:val="18"/>
                <w:szCs w:val="18"/>
                <w:lang w:eastAsia="en-IE"/>
              </w:rPr>
              <w:t>N/A</w:t>
            </w:r>
            <w:r>
              <w:rPr>
                <w:rFonts w:ascii="Calibri" w:eastAsia="Times New Roman" w:hAnsi="Calibri" w:cs="Calibri"/>
                <w:color w:val="000000"/>
                <w:sz w:val="18"/>
                <w:szCs w:val="18"/>
                <w:vertAlign w:val="superscript"/>
                <w:lang w:eastAsia="en-IE"/>
              </w:rPr>
              <w:t xml:space="preserve"> </w:t>
            </w:r>
          </w:p>
        </w:tc>
      </w:tr>
      <w:tr w:rsidR="00631B23" w:rsidRPr="005F67C4" w:rsidTr="00FC170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Cork County</w:t>
            </w:r>
          </w:p>
        </w:tc>
        <w:tc>
          <w:tcPr>
            <w:tcW w:w="406"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0.11</w:t>
            </w:r>
          </w:p>
        </w:tc>
        <w:tc>
          <w:tcPr>
            <w:tcW w:w="401"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0.44</w:t>
            </w:r>
          </w:p>
        </w:tc>
        <w:tc>
          <w:tcPr>
            <w:tcW w:w="39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1.1</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11.23</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8.36</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15.09</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23.2</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25.63</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13.12</w:t>
            </w:r>
          </w:p>
        </w:tc>
        <w:tc>
          <w:tcPr>
            <w:tcW w:w="42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1.72</w:t>
            </w:r>
          </w:p>
        </w:tc>
      </w:tr>
      <w:tr w:rsidR="00631B23" w:rsidRPr="005F67C4" w:rsidTr="00FC170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Donegal County</w:t>
            </w:r>
          </w:p>
        </w:tc>
        <w:tc>
          <w:tcPr>
            <w:tcW w:w="406" w:type="pct"/>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0.53</w:t>
            </w:r>
          </w:p>
        </w:tc>
        <w:tc>
          <w:tcPr>
            <w:tcW w:w="401"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0.77</w:t>
            </w:r>
          </w:p>
        </w:tc>
        <w:tc>
          <w:tcPr>
            <w:tcW w:w="399"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1.37</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7.19</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13.14</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22.43</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22.39</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12.52</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18.24</w:t>
            </w:r>
          </w:p>
        </w:tc>
        <w:tc>
          <w:tcPr>
            <w:tcW w:w="429"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vertAlign w:val="superscript"/>
                <w:lang w:eastAsia="en-IE"/>
              </w:rPr>
            </w:pPr>
            <w:r w:rsidRPr="005F67C4">
              <w:rPr>
                <w:rFonts w:ascii="Calibri" w:eastAsia="Times New Roman" w:hAnsi="Calibri" w:cs="Calibri"/>
                <w:color w:val="000000"/>
                <w:sz w:val="18"/>
                <w:szCs w:val="18"/>
                <w:lang w:eastAsia="en-IE"/>
              </w:rPr>
              <w:t>1.43</w:t>
            </w:r>
          </w:p>
        </w:tc>
      </w:tr>
      <w:tr w:rsidR="00631B23" w:rsidRPr="005F67C4" w:rsidTr="00FC170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Dublin City</w:t>
            </w:r>
          </w:p>
        </w:tc>
        <w:tc>
          <w:tcPr>
            <w:tcW w:w="406"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0.08</w:t>
            </w:r>
          </w:p>
        </w:tc>
        <w:tc>
          <w:tcPr>
            <w:tcW w:w="401"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0.48</w:t>
            </w:r>
          </w:p>
        </w:tc>
        <w:tc>
          <w:tcPr>
            <w:tcW w:w="39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2.01</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9.61</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9.75</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34.64</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3.61</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11.2</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18.14</w:t>
            </w:r>
          </w:p>
        </w:tc>
        <w:tc>
          <w:tcPr>
            <w:tcW w:w="42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10.48</w:t>
            </w:r>
          </w:p>
        </w:tc>
      </w:tr>
      <w:tr w:rsidR="00631B23" w:rsidRPr="005F67C4" w:rsidTr="00FC170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 xml:space="preserve">Dun Laoghaire </w:t>
            </w:r>
            <w:proofErr w:type="spellStart"/>
            <w:r w:rsidRPr="005F67C4">
              <w:rPr>
                <w:rFonts w:ascii="Calibri" w:eastAsia="Times New Roman" w:hAnsi="Calibri" w:cs="Calibri"/>
                <w:color w:val="000000"/>
                <w:sz w:val="20"/>
                <w:szCs w:val="20"/>
                <w:lang w:eastAsia="en-IE"/>
              </w:rPr>
              <w:t>Rathdown</w:t>
            </w:r>
            <w:proofErr w:type="spellEnd"/>
          </w:p>
        </w:tc>
        <w:tc>
          <w:tcPr>
            <w:tcW w:w="406" w:type="pct"/>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vertAlign w:val="superscript"/>
                <w:lang w:eastAsia="en-IE"/>
              </w:rPr>
            </w:pPr>
            <w:r w:rsidRPr="005F67C4">
              <w:rPr>
                <w:rFonts w:ascii="Calibri" w:eastAsia="Times New Roman" w:hAnsi="Calibri" w:cs="Calibri"/>
                <w:color w:val="000000"/>
                <w:sz w:val="18"/>
                <w:szCs w:val="18"/>
                <w:lang w:eastAsia="en-IE"/>
              </w:rPr>
              <w:t> N/A</w:t>
            </w:r>
          </w:p>
        </w:tc>
        <w:tc>
          <w:tcPr>
            <w:tcW w:w="401"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N/A</w:t>
            </w:r>
          </w:p>
        </w:tc>
        <w:tc>
          <w:tcPr>
            <w:tcW w:w="399"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N/A</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 N/A</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N/A</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N/A </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N/A </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N/A </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N/A</w:t>
            </w:r>
          </w:p>
        </w:tc>
        <w:tc>
          <w:tcPr>
            <w:tcW w:w="429"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vertAlign w:val="superscript"/>
                <w:lang w:eastAsia="en-IE"/>
              </w:rPr>
            </w:pPr>
            <w:r w:rsidRPr="005F67C4">
              <w:rPr>
                <w:rFonts w:ascii="Calibri" w:eastAsia="Times New Roman" w:hAnsi="Calibri" w:cs="Calibri"/>
                <w:color w:val="000000"/>
                <w:sz w:val="18"/>
                <w:szCs w:val="18"/>
                <w:lang w:eastAsia="en-IE"/>
              </w:rPr>
              <w:t>N/A</w:t>
            </w:r>
          </w:p>
        </w:tc>
      </w:tr>
      <w:tr w:rsidR="00631B23" w:rsidRPr="005F67C4" w:rsidTr="00FC170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proofErr w:type="spellStart"/>
            <w:r w:rsidRPr="005F67C4">
              <w:rPr>
                <w:rFonts w:ascii="Calibri" w:eastAsia="Times New Roman" w:hAnsi="Calibri" w:cs="Calibri"/>
                <w:color w:val="000000"/>
                <w:sz w:val="20"/>
                <w:szCs w:val="20"/>
                <w:lang w:eastAsia="en-IE"/>
              </w:rPr>
              <w:t>Fingal</w:t>
            </w:r>
            <w:proofErr w:type="spellEnd"/>
            <w:r w:rsidRPr="005F67C4">
              <w:rPr>
                <w:rFonts w:ascii="Calibri" w:eastAsia="Times New Roman" w:hAnsi="Calibri" w:cs="Calibri"/>
                <w:color w:val="000000"/>
                <w:sz w:val="20"/>
                <w:szCs w:val="20"/>
                <w:lang w:eastAsia="en-IE"/>
              </w:rPr>
              <w:t xml:space="preserve"> County</w:t>
            </w:r>
          </w:p>
        </w:tc>
        <w:tc>
          <w:tcPr>
            <w:tcW w:w="406"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vertAlign w:val="superscript"/>
                <w:lang w:eastAsia="en-IE"/>
              </w:rPr>
            </w:pPr>
            <w:r w:rsidRPr="005F67C4">
              <w:rPr>
                <w:rFonts w:ascii="Calibri" w:eastAsia="Times New Roman" w:hAnsi="Calibri" w:cs="Calibri"/>
                <w:color w:val="000000"/>
                <w:sz w:val="18"/>
                <w:szCs w:val="18"/>
                <w:lang w:eastAsia="en-IE"/>
              </w:rPr>
              <w:t>N/A</w:t>
            </w:r>
          </w:p>
        </w:tc>
        <w:tc>
          <w:tcPr>
            <w:tcW w:w="401"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N/A</w:t>
            </w:r>
          </w:p>
        </w:tc>
        <w:tc>
          <w:tcPr>
            <w:tcW w:w="39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N/A</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N/A</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N/A</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N/A</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N/A</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N/A</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N/A</w:t>
            </w:r>
          </w:p>
        </w:tc>
        <w:tc>
          <w:tcPr>
            <w:tcW w:w="42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N/A</w:t>
            </w:r>
          </w:p>
        </w:tc>
      </w:tr>
      <w:tr w:rsidR="00631B23" w:rsidRPr="005F67C4" w:rsidTr="00FC170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Galway City</w:t>
            </w:r>
          </w:p>
        </w:tc>
        <w:tc>
          <w:tcPr>
            <w:tcW w:w="406" w:type="pct"/>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401"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399"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26</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52</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12</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9.3</w:t>
            </w:r>
          </w:p>
        </w:tc>
        <w:tc>
          <w:tcPr>
            <w:tcW w:w="429"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r>
      <w:tr w:rsidR="00631B23" w:rsidRPr="005F67C4" w:rsidTr="00FC170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Galway County</w:t>
            </w:r>
          </w:p>
        </w:tc>
        <w:tc>
          <w:tcPr>
            <w:tcW w:w="406"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401"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39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0.49</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6.54</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6.88</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21.36</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19</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29.37</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15.14</w:t>
            </w:r>
          </w:p>
        </w:tc>
        <w:tc>
          <w:tcPr>
            <w:tcW w:w="42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1.16</w:t>
            </w:r>
          </w:p>
        </w:tc>
      </w:tr>
      <w:tr w:rsidR="00631B23" w:rsidRPr="005F67C4" w:rsidTr="00FC170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Kerry County</w:t>
            </w:r>
          </w:p>
        </w:tc>
        <w:tc>
          <w:tcPr>
            <w:tcW w:w="406" w:type="pct"/>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0.2</w:t>
            </w:r>
          </w:p>
        </w:tc>
        <w:tc>
          <w:tcPr>
            <w:tcW w:w="401"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0.7</w:t>
            </w:r>
          </w:p>
        </w:tc>
        <w:tc>
          <w:tcPr>
            <w:tcW w:w="399"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3.5</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9.7</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12.1</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13.5</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28.7</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12.5</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16</w:t>
            </w:r>
          </w:p>
        </w:tc>
        <w:tc>
          <w:tcPr>
            <w:tcW w:w="429"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3.1</w:t>
            </w:r>
          </w:p>
        </w:tc>
      </w:tr>
      <w:tr w:rsidR="00631B23" w:rsidRPr="005F67C4" w:rsidTr="00FC170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Kildare County</w:t>
            </w:r>
          </w:p>
        </w:tc>
        <w:tc>
          <w:tcPr>
            <w:tcW w:w="406"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2.48</w:t>
            </w:r>
          </w:p>
        </w:tc>
        <w:tc>
          <w:tcPr>
            <w:tcW w:w="401"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0.83</w:t>
            </w:r>
          </w:p>
        </w:tc>
        <w:tc>
          <w:tcPr>
            <w:tcW w:w="39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1.65</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9.09</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14.05</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16.53</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18.18</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17.36</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10.74</w:t>
            </w:r>
          </w:p>
        </w:tc>
        <w:tc>
          <w:tcPr>
            <w:tcW w:w="42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9.09</w:t>
            </w:r>
          </w:p>
        </w:tc>
      </w:tr>
      <w:tr w:rsidR="00631B23" w:rsidRPr="005F67C4" w:rsidTr="00FC170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Kilkenny County</w:t>
            </w:r>
          </w:p>
        </w:tc>
        <w:tc>
          <w:tcPr>
            <w:tcW w:w="406" w:type="pct"/>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401"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399"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8</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20</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22</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24</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14</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9</w:t>
            </w:r>
          </w:p>
        </w:tc>
        <w:tc>
          <w:tcPr>
            <w:tcW w:w="429"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w:t>
            </w:r>
          </w:p>
        </w:tc>
      </w:tr>
      <w:tr w:rsidR="00631B23" w:rsidRPr="005F67C4" w:rsidTr="00FC170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Laois County</w:t>
            </w:r>
          </w:p>
        </w:tc>
        <w:tc>
          <w:tcPr>
            <w:tcW w:w="406"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401"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w:t>
            </w:r>
          </w:p>
        </w:tc>
        <w:tc>
          <w:tcPr>
            <w:tcW w:w="39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3</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13</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15</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29</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19</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15</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4</w:t>
            </w:r>
          </w:p>
        </w:tc>
        <w:tc>
          <w:tcPr>
            <w:tcW w:w="42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w:t>
            </w:r>
          </w:p>
        </w:tc>
      </w:tr>
      <w:tr w:rsidR="00631B23" w:rsidRPr="005F67C4" w:rsidTr="00FC170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Leitrim County</w:t>
            </w:r>
          </w:p>
        </w:tc>
        <w:tc>
          <w:tcPr>
            <w:tcW w:w="406" w:type="pct"/>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401"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399"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7</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15</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33</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30</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12</w:t>
            </w:r>
          </w:p>
        </w:tc>
        <w:tc>
          <w:tcPr>
            <w:tcW w:w="429"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vertAlign w:val="superscript"/>
                <w:lang w:eastAsia="en-IE"/>
              </w:rPr>
            </w:pPr>
            <w:r w:rsidRPr="005F67C4">
              <w:rPr>
                <w:rFonts w:ascii="Calibri" w:eastAsia="Times New Roman" w:hAnsi="Calibri" w:cs="Calibri"/>
                <w:color w:val="000000"/>
                <w:sz w:val="18"/>
                <w:szCs w:val="18"/>
                <w:lang w:eastAsia="en-IE"/>
              </w:rPr>
              <w:t>0</w:t>
            </w:r>
          </w:p>
        </w:tc>
      </w:tr>
      <w:tr w:rsidR="00631B23" w:rsidRPr="005F67C4" w:rsidTr="00FC170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Limerick City &amp; County</w:t>
            </w:r>
          </w:p>
        </w:tc>
        <w:tc>
          <w:tcPr>
            <w:tcW w:w="406"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401"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0.06</w:t>
            </w:r>
          </w:p>
        </w:tc>
        <w:tc>
          <w:tcPr>
            <w:tcW w:w="39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0.18</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3.03</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6.26</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17.22</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40.7</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23.36</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7.68</w:t>
            </w:r>
          </w:p>
        </w:tc>
        <w:tc>
          <w:tcPr>
            <w:tcW w:w="42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vertAlign w:val="superscript"/>
                <w:lang w:eastAsia="en-IE"/>
              </w:rPr>
            </w:pPr>
            <w:r w:rsidRPr="005F67C4">
              <w:rPr>
                <w:rFonts w:ascii="Calibri" w:eastAsia="Times New Roman" w:hAnsi="Calibri" w:cs="Calibri"/>
                <w:color w:val="000000"/>
                <w:sz w:val="18"/>
                <w:szCs w:val="18"/>
                <w:lang w:eastAsia="en-IE"/>
              </w:rPr>
              <w:t>1.49</w:t>
            </w:r>
          </w:p>
        </w:tc>
      </w:tr>
      <w:tr w:rsidR="00631B23" w:rsidRPr="005F67C4" w:rsidTr="00FC170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Longford County</w:t>
            </w:r>
          </w:p>
        </w:tc>
        <w:tc>
          <w:tcPr>
            <w:tcW w:w="406" w:type="pct"/>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401"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399"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7</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11</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24</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10</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19</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27</w:t>
            </w:r>
          </w:p>
        </w:tc>
        <w:tc>
          <w:tcPr>
            <w:tcW w:w="429"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w:t>
            </w:r>
          </w:p>
        </w:tc>
      </w:tr>
      <w:tr w:rsidR="00631B23" w:rsidRPr="005F67C4" w:rsidTr="00FC170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Louth County</w:t>
            </w:r>
          </w:p>
        </w:tc>
        <w:tc>
          <w:tcPr>
            <w:tcW w:w="406"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401"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39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5</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14</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29</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39</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11</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w:t>
            </w:r>
          </w:p>
        </w:tc>
        <w:tc>
          <w:tcPr>
            <w:tcW w:w="42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r>
      <w:tr w:rsidR="00631B23" w:rsidRPr="005F67C4" w:rsidTr="00FC170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Mayo County</w:t>
            </w:r>
          </w:p>
        </w:tc>
        <w:tc>
          <w:tcPr>
            <w:tcW w:w="406" w:type="pct"/>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2.6</w:t>
            </w:r>
          </w:p>
        </w:tc>
        <w:tc>
          <w:tcPr>
            <w:tcW w:w="401"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4.45</w:t>
            </w:r>
          </w:p>
        </w:tc>
        <w:tc>
          <w:tcPr>
            <w:tcW w:w="399"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20.83</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0.64</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3.1</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1.12</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4.81</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37.64</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22.76</w:t>
            </w:r>
          </w:p>
        </w:tc>
        <w:tc>
          <w:tcPr>
            <w:tcW w:w="429"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2.05</w:t>
            </w:r>
          </w:p>
        </w:tc>
      </w:tr>
      <w:tr w:rsidR="0014356A" w:rsidRPr="005F67C4" w:rsidTr="00FC170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14356A" w:rsidRPr="005F67C4" w:rsidRDefault="0014356A"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Meath County</w:t>
            </w:r>
          </w:p>
        </w:tc>
        <w:tc>
          <w:tcPr>
            <w:tcW w:w="406" w:type="pct"/>
            <w:vAlign w:val="center"/>
            <w:hideMark/>
          </w:tcPr>
          <w:p w:rsidR="0014356A" w:rsidRDefault="0014356A" w:rsidP="00753EA5">
            <w:pPr>
              <w:jc w:val="center"/>
              <w:cnfStyle w:val="000000100000" w:firstRow="0" w:lastRow="0" w:firstColumn="0" w:lastColumn="0" w:oddVBand="0" w:evenVBand="0" w:oddHBand="1" w:evenHBand="0" w:firstRowFirstColumn="0" w:firstRowLastColumn="0" w:lastRowFirstColumn="0" w:lastRowLastColumn="0"/>
            </w:pPr>
            <w:r w:rsidRPr="009D08A0">
              <w:rPr>
                <w:rFonts w:ascii="Calibri" w:eastAsia="Times New Roman" w:hAnsi="Calibri" w:cs="Calibri"/>
                <w:color w:val="000000"/>
                <w:sz w:val="18"/>
                <w:szCs w:val="18"/>
                <w:lang w:eastAsia="en-IE"/>
              </w:rPr>
              <w:t>N/A</w:t>
            </w:r>
          </w:p>
        </w:tc>
        <w:tc>
          <w:tcPr>
            <w:tcW w:w="401" w:type="pct"/>
            <w:vAlign w:val="center"/>
            <w:hideMark/>
          </w:tcPr>
          <w:p w:rsidR="0014356A" w:rsidRDefault="0014356A" w:rsidP="00753EA5">
            <w:pPr>
              <w:jc w:val="center"/>
              <w:cnfStyle w:val="000000100000" w:firstRow="0" w:lastRow="0" w:firstColumn="0" w:lastColumn="0" w:oddVBand="0" w:evenVBand="0" w:oddHBand="1" w:evenHBand="0" w:firstRowFirstColumn="0" w:firstRowLastColumn="0" w:lastRowFirstColumn="0" w:lastRowLastColumn="0"/>
            </w:pPr>
            <w:r w:rsidRPr="009D08A0">
              <w:rPr>
                <w:rFonts w:ascii="Calibri" w:eastAsia="Times New Roman" w:hAnsi="Calibri" w:cs="Calibri"/>
                <w:color w:val="000000"/>
                <w:sz w:val="18"/>
                <w:szCs w:val="18"/>
                <w:lang w:eastAsia="en-IE"/>
              </w:rPr>
              <w:t>N/A</w:t>
            </w:r>
          </w:p>
        </w:tc>
        <w:tc>
          <w:tcPr>
            <w:tcW w:w="399" w:type="pct"/>
            <w:vAlign w:val="center"/>
            <w:hideMark/>
          </w:tcPr>
          <w:p w:rsidR="0014356A" w:rsidRDefault="0014356A" w:rsidP="00753EA5">
            <w:pPr>
              <w:jc w:val="center"/>
              <w:cnfStyle w:val="000000100000" w:firstRow="0" w:lastRow="0" w:firstColumn="0" w:lastColumn="0" w:oddVBand="0" w:evenVBand="0" w:oddHBand="1" w:evenHBand="0" w:firstRowFirstColumn="0" w:firstRowLastColumn="0" w:lastRowFirstColumn="0" w:lastRowLastColumn="0"/>
            </w:pPr>
            <w:r w:rsidRPr="009D08A0">
              <w:rPr>
                <w:rFonts w:ascii="Calibri" w:eastAsia="Times New Roman" w:hAnsi="Calibri" w:cs="Calibri"/>
                <w:color w:val="000000"/>
                <w:sz w:val="18"/>
                <w:szCs w:val="18"/>
                <w:lang w:eastAsia="en-IE"/>
              </w:rPr>
              <w:t>N/A</w:t>
            </w:r>
          </w:p>
        </w:tc>
        <w:tc>
          <w:tcPr>
            <w:tcW w:w="365" w:type="pct"/>
            <w:vAlign w:val="center"/>
            <w:hideMark/>
          </w:tcPr>
          <w:p w:rsidR="0014356A" w:rsidRDefault="0014356A" w:rsidP="00753EA5">
            <w:pPr>
              <w:jc w:val="center"/>
              <w:cnfStyle w:val="000000100000" w:firstRow="0" w:lastRow="0" w:firstColumn="0" w:lastColumn="0" w:oddVBand="0" w:evenVBand="0" w:oddHBand="1" w:evenHBand="0" w:firstRowFirstColumn="0" w:firstRowLastColumn="0" w:lastRowFirstColumn="0" w:lastRowLastColumn="0"/>
            </w:pPr>
            <w:r w:rsidRPr="009D08A0">
              <w:rPr>
                <w:rFonts w:ascii="Calibri" w:eastAsia="Times New Roman" w:hAnsi="Calibri" w:cs="Calibri"/>
                <w:color w:val="000000"/>
                <w:sz w:val="18"/>
                <w:szCs w:val="18"/>
                <w:lang w:eastAsia="en-IE"/>
              </w:rPr>
              <w:t>N/A</w:t>
            </w:r>
          </w:p>
        </w:tc>
        <w:tc>
          <w:tcPr>
            <w:tcW w:w="365" w:type="pct"/>
            <w:vAlign w:val="center"/>
            <w:hideMark/>
          </w:tcPr>
          <w:p w:rsidR="0014356A" w:rsidRDefault="0014356A" w:rsidP="00753EA5">
            <w:pPr>
              <w:jc w:val="center"/>
              <w:cnfStyle w:val="000000100000" w:firstRow="0" w:lastRow="0" w:firstColumn="0" w:lastColumn="0" w:oddVBand="0" w:evenVBand="0" w:oddHBand="1" w:evenHBand="0" w:firstRowFirstColumn="0" w:firstRowLastColumn="0" w:lastRowFirstColumn="0" w:lastRowLastColumn="0"/>
            </w:pPr>
            <w:r w:rsidRPr="009D08A0">
              <w:rPr>
                <w:rFonts w:ascii="Calibri" w:eastAsia="Times New Roman" w:hAnsi="Calibri" w:cs="Calibri"/>
                <w:color w:val="000000"/>
                <w:sz w:val="18"/>
                <w:szCs w:val="18"/>
                <w:lang w:eastAsia="en-IE"/>
              </w:rPr>
              <w:t>N/A</w:t>
            </w:r>
          </w:p>
        </w:tc>
        <w:tc>
          <w:tcPr>
            <w:tcW w:w="365" w:type="pct"/>
            <w:vAlign w:val="center"/>
            <w:hideMark/>
          </w:tcPr>
          <w:p w:rsidR="0014356A" w:rsidRDefault="0014356A" w:rsidP="00753EA5">
            <w:pPr>
              <w:jc w:val="center"/>
              <w:cnfStyle w:val="000000100000" w:firstRow="0" w:lastRow="0" w:firstColumn="0" w:lastColumn="0" w:oddVBand="0" w:evenVBand="0" w:oddHBand="1" w:evenHBand="0" w:firstRowFirstColumn="0" w:firstRowLastColumn="0" w:lastRowFirstColumn="0" w:lastRowLastColumn="0"/>
            </w:pPr>
            <w:r w:rsidRPr="009D08A0">
              <w:rPr>
                <w:rFonts w:ascii="Calibri" w:eastAsia="Times New Roman" w:hAnsi="Calibri" w:cs="Calibri"/>
                <w:color w:val="000000"/>
                <w:sz w:val="18"/>
                <w:szCs w:val="18"/>
                <w:lang w:eastAsia="en-IE"/>
              </w:rPr>
              <w:t>N/A</w:t>
            </w:r>
          </w:p>
        </w:tc>
        <w:tc>
          <w:tcPr>
            <w:tcW w:w="365" w:type="pct"/>
            <w:vAlign w:val="center"/>
            <w:hideMark/>
          </w:tcPr>
          <w:p w:rsidR="0014356A" w:rsidRDefault="0014356A" w:rsidP="00753EA5">
            <w:pPr>
              <w:jc w:val="center"/>
              <w:cnfStyle w:val="000000100000" w:firstRow="0" w:lastRow="0" w:firstColumn="0" w:lastColumn="0" w:oddVBand="0" w:evenVBand="0" w:oddHBand="1" w:evenHBand="0" w:firstRowFirstColumn="0" w:firstRowLastColumn="0" w:lastRowFirstColumn="0" w:lastRowLastColumn="0"/>
            </w:pPr>
            <w:r w:rsidRPr="009D08A0">
              <w:rPr>
                <w:rFonts w:ascii="Calibri" w:eastAsia="Times New Roman" w:hAnsi="Calibri" w:cs="Calibri"/>
                <w:color w:val="000000"/>
                <w:sz w:val="18"/>
                <w:szCs w:val="18"/>
                <w:lang w:eastAsia="en-IE"/>
              </w:rPr>
              <w:t>N/A</w:t>
            </w:r>
          </w:p>
        </w:tc>
        <w:tc>
          <w:tcPr>
            <w:tcW w:w="365" w:type="pct"/>
            <w:vAlign w:val="center"/>
            <w:hideMark/>
          </w:tcPr>
          <w:p w:rsidR="0014356A" w:rsidRDefault="0014356A" w:rsidP="00753EA5">
            <w:pPr>
              <w:jc w:val="center"/>
              <w:cnfStyle w:val="000000100000" w:firstRow="0" w:lastRow="0" w:firstColumn="0" w:lastColumn="0" w:oddVBand="0" w:evenVBand="0" w:oddHBand="1" w:evenHBand="0" w:firstRowFirstColumn="0" w:firstRowLastColumn="0" w:lastRowFirstColumn="0" w:lastRowLastColumn="0"/>
            </w:pPr>
            <w:r w:rsidRPr="009D08A0">
              <w:rPr>
                <w:rFonts w:ascii="Calibri" w:eastAsia="Times New Roman" w:hAnsi="Calibri" w:cs="Calibri"/>
                <w:color w:val="000000"/>
                <w:sz w:val="18"/>
                <w:szCs w:val="18"/>
                <w:lang w:eastAsia="en-IE"/>
              </w:rPr>
              <w:t>N/A</w:t>
            </w:r>
          </w:p>
        </w:tc>
        <w:tc>
          <w:tcPr>
            <w:tcW w:w="365" w:type="pct"/>
            <w:vAlign w:val="center"/>
            <w:hideMark/>
          </w:tcPr>
          <w:p w:rsidR="0014356A" w:rsidRDefault="0014356A" w:rsidP="00753EA5">
            <w:pPr>
              <w:jc w:val="center"/>
              <w:cnfStyle w:val="000000100000" w:firstRow="0" w:lastRow="0" w:firstColumn="0" w:lastColumn="0" w:oddVBand="0" w:evenVBand="0" w:oddHBand="1" w:evenHBand="0" w:firstRowFirstColumn="0" w:firstRowLastColumn="0" w:lastRowFirstColumn="0" w:lastRowLastColumn="0"/>
            </w:pPr>
            <w:r w:rsidRPr="009D08A0">
              <w:rPr>
                <w:rFonts w:ascii="Calibri" w:eastAsia="Times New Roman" w:hAnsi="Calibri" w:cs="Calibri"/>
                <w:color w:val="000000"/>
                <w:sz w:val="18"/>
                <w:szCs w:val="18"/>
                <w:lang w:eastAsia="en-IE"/>
              </w:rPr>
              <w:t>N/A</w:t>
            </w:r>
          </w:p>
        </w:tc>
        <w:tc>
          <w:tcPr>
            <w:tcW w:w="429" w:type="pct"/>
            <w:vAlign w:val="center"/>
            <w:hideMark/>
          </w:tcPr>
          <w:p w:rsidR="0014356A" w:rsidRDefault="0014356A" w:rsidP="00753EA5">
            <w:pPr>
              <w:jc w:val="center"/>
              <w:cnfStyle w:val="000000100000" w:firstRow="0" w:lastRow="0" w:firstColumn="0" w:lastColumn="0" w:oddVBand="0" w:evenVBand="0" w:oddHBand="1" w:evenHBand="0" w:firstRowFirstColumn="0" w:firstRowLastColumn="0" w:lastRowFirstColumn="0" w:lastRowLastColumn="0"/>
            </w:pPr>
            <w:r w:rsidRPr="009D08A0">
              <w:rPr>
                <w:rFonts w:ascii="Calibri" w:eastAsia="Times New Roman" w:hAnsi="Calibri" w:cs="Calibri"/>
                <w:color w:val="000000"/>
                <w:sz w:val="18"/>
                <w:szCs w:val="18"/>
                <w:lang w:eastAsia="en-IE"/>
              </w:rPr>
              <w:t>N/A</w:t>
            </w:r>
          </w:p>
        </w:tc>
      </w:tr>
      <w:tr w:rsidR="00631B23" w:rsidRPr="005F67C4" w:rsidTr="00FC170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Monaghan County</w:t>
            </w:r>
          </w:p>
        </w:tc>
        <w:tc>
          <w:tcPr>
            <w:tcW w:w="406" w:type="pct"/>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401"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399"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8</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5</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28</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31</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23</w:t>
            </w:r>
          </w:p>
        </w:tc>
        <w:tc>
          <w:tcPr>
            <w:tcW w:w="429"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4</w:t>
            </w:r>
          </w:p>
        </w:tc>
      </w:tr>
      <w:tr w:rsidR="00631B23" w:rsidRPr="005F67C4" w:rsidTr="00FC170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Offaly County</w:t>
            </w:r>
          </w:p>
        </w:tc>
        <w:tc>
          <w:tcPr>
            <w:tcW w:w="406"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0.01</w:t>
            </w:r>
          </w:p>
        </w:tc>
        <w:tc>
          <w:tcPr>
            <w:tcW w:w="401"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1.28</w:t>
            </w:r>
          </w:p>
        </w:tc>
        <w:tc>
          <w:tcPr>
            <w:tcW w:w="39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5.65</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33.3</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11.17</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14.48</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11.51</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5.71</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16.43</w:t>
            </w:r>
          </w:p>
        </w:tc>
        <w:tc>
          <w:tcPr>
            <w:tcW w:w="42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0.46</w:t>
            </w:r>
          </w:p>
        </w:tc>
      </w:tr>
      <w:tr w:rsidR="00631B23" w:rsidRPr="005F67C4" w:rsidTr="00FC170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Roscommon County</w:t>
            </w:r>
          </w:p>
        </w:tc>
        <w:tc>
          <w:tcPr>
            <w:tcW w:w="406" w:type="pct"/>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401"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399"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429"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r>
      <w:tr w:rsidR="00631B23" w:rsidRPr="005F67C4" w:rsidTr="00FC170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Sligo County</w:t>
            </w:r>
          </w:p>
        </w:tc>
        <w:tc>
          <w:tcPr>
            <w:tcW w:w="406"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401"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39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11</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10</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13</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15</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14</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30</w:t>
            </w:r>
          </w:p>
        </w:tc>
        <w:tc>
          <w:tcPr>
            <w:tcW w:w="42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5</w:t>
            </w:r>
          </w:p>
        </w:tc>
      </w:tr>
      <w:tr w:rsidR="00631B23" w:rsidRPr="005F67C4" w:rsidTr="00FC170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South Dublin County</w:t>
            </w:r>
          </w:p>
        </w:tc>
        <w:tc>
          <w:tcPr>
            <w:tcW w:w="406" w:type="pct"/>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vertAlign w:val="superscript"/>
                <w:lang w:eastAsia="en-IE"/>
              </w:rPr>
            </w:pPr>
            <w:r w:rsidRPr="005F67C4">
              <w:rPr>
                <w:rFonts w:ascii="Calibri" w:eastAsia="Times New Roman" w:hAnsi="Calibri" w:cs="Calibri"/>
                <w:color w:val="000000"/>
                <w:sz w:val="18"/>
                <w:szCs w:val="18"/>
                <w:lang w:eastAsia="en-IE"/>
              </w:rPr>
              <w:t>N/A</w:t>
            </w:r>
          </w:p>
        </w:tc>
        <w:tc>
          <w:tcPr>
            <w:tcW w:w="401"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N/A</w:t>
            </w:r>
          </w:p>
        </w:tc>
        <w:tc>
          <w:tcPr>
            <w:tcW w:w="399"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N/A</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N/A</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N/A</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N/A</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N/A</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N/A</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N/A</w:t>
            </w:r>
          </w:p>
        </w:tc>
        <w:tc>
          <w:tcPr>
            <w:tcW w:w="429"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vertAlign w:val="superscript"/>
                <w:lang w:eastAsia="en-IE"/>
              </w:rPr>
            </w:pPr>
            <w:r w:rsidRPr="005F67C4">
              <w:rPr>
                <w:rFonts w:ascii="Calibri" w:eastAsia="Times New Roman" w:hAnsi="Calibri" w:cs="Calibri"/>
                <w:color w:val="000000"/>
                <w:sz w:val="18"/>
                <w:szCs w:val="18"/>
                <w:lang w:eastAsia="en-IE"/>
              </w:rPr>
              <w:t>N/A</w:t>
            </w:r>
          </w:p>
        </w:tc>
      </w:tr>
      <w:tr w:rsidR="00631B23" w:rsidRPr="005F67C4" w:rsidTr="00FC170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Tipperary County</w:t>
            </w:r>
          </w:p>
        </w:tc>
        <w:tc>
          <w:tcPr>
            <w:tcW w:w="406"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401"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w:t>
            </w:r>
          </w:p>
        </w:tc>
        <w:tc>
          <w:tcPr>
            <w:tcW w:w="39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3</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12</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10</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17</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26</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17</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12</w:t>
            </w:r>
          </w:p>
        </w:tc>
        <w:tc>
          <w:tcPr>
            <w:tcW w:w="42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w:t>
            </w:r>
          </w:p>
        </w:tc>
      </w:tr>
      <w:tr w:rsidR="00631B23" w:rsidRPr="005F67C4" w:rsidTr="00FC170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Waterford City &amp; County</w:t>
            </w:r>
          </w:p>
        </w:tc>
        <w:tc>
          <w:tcPr>
            <w:tcW w:w="406" w:type="pct"/>
            <w:hideMark/>
          </w:tcPr>
          <w:p w:rsidR="00631B23" w:rsidRPr="005F67C4" w:rsidRDefault="00713C3E"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0</w:t>
            </w:r>
          </w:p>
        </w:tc>
        <w:tc>
          <w:tcPr>
            <w:tcW w:w="401" w:type="pct"/>
            <w:noWrap/>
            <w:hideMark/>
          </w:tcPr>
          <w:p w:rsidR="00631B23" w:rsidRPr="005F67C4" w:rsidRDefault="00713C3E"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0</w:t>
            </w:r>
          </w:p>
        </w:tc>
        <w:tc>
          <w:tcPr>
            <w:tcW w:w="399" w:type="pct"/>
            <w:noWrap/>
            <w:hideMark/>
          </w:tcPr>
          <w:p w:rsidR="00631B23" w:rsidRPr="005F67C4" w:rsidRDefault="00713C3E"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1</w:t>
            </w:r>
          </w:p>
        </w:tc>
        <w:tc>
          <w:tcPr>
            <w:tcW w:w="365" w:type="pct"/>
            <w:noWrap/>
            <w:hideMark/>
          </w:tcPr>
          <w:p w:rsidR="00631B23" w:rsidRPr="005F67C4" w:rsidRDefault="00713C3E"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3</w:t>
            </w:r>
          </w:p>
        </w:tc>
        <w:tc>
          <w:tcPr>
            <w:tcW w:w="365" w:type="pct"/>
            <w:noWrap/>
            <w:hideMark/>
          </w:tcPr>
          <w:p w:rsidR="00631B23" w:rsidRPr="005F67C4" w:rsidRDefault="00713C3E"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4</w:t>
            </w:r>
          </w:p>
        </w:tc>
        <w:tc>
          <w:tcPr>
            <w:tcW w:w="365" w:type="pct"/>
            <w:noWrap/>
            <w:hideMark/>
          </w:tcPr>
          <w:p w:rsidR="00631B23" w:rsidRPr="005F67C4" w:rsidRDefault="00713C3E"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19</w:t>
            </w:r>
          </w:p>
        </w:tc>
        <w:tc>
          <w:tcPr>
            <w:tcW w:w="365" w:type="pct"/>
            <w:noWrap/>
            <w:hideMark/>
          </w:tcPr>
          <w:p w:rsidR="00631B23" w:rsidRPr="005F67C4" w:rsidRDefault="00713C3E"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44</w:t>
            </w:r>
          </w:p>
        </w:tc>
        <w:tc>
          <w:tcPr>
            <w:tcW w:w="365" w:type="pct"/>
            <w:noWrap/>
            <w:hideMark/>
          </w:tcPr>
          <w:p w:rsidR="00631B23" w:rsidRPr="005F67C4" w:rsidRDefault="00713C3E"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21</w:t>
            </w:r>
          </w:p>
        </w:tc>
        <w:tc>
          <w:tcPr>
            <w:tcW w:w="365" w:type="pct"/>
            <w:noWrap/>
            <w:hideMark/>
          </w:tcPr>
          <w:p w:rsidR="00631B23" w:rsidRPr="005F67C4" w:rsidRDefault="00713C3E"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6</w:t>
            </w:r>
          </w:p>
        </w:tc>
        <w:tc>
          <w:tcPr>
            <w:tcW w:w="429" w:type="pct"/>
            <w:noWrap/>
            <w:hideMark/>
          </w:tcPr>
          <w:p w:rsidR="00631B23" w:rsidRPr="005F67C4" w:rsidRDefault="00713C3E"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1</w:t>
            </w:r>
          </w:p>
        </w:tc>
      </w:tr>
      <w:tr w:rsidR="00631B23" w:rsidRPr="005F67C4" w:rsidTr="00FC170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Westmeath County</w:t>
            </w:r>
          </w:p>
        </w:tc>
        <w:tc>
          <w:tcPr>
            <w:tcW w:w="406"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401"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39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4</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11</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15</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34</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33</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w:t>
            </w:r>
          </w:p>
        </w:tc>
        <w:tc>
          <w:tcPr>
            <w:tcW w:w="42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r>
      <w:tr w:rsidR="00631B23" w:rsidRPr="005F67C4" w:rsidTr="00FC170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Wexford County</w:t>
            </w:r>
          </w:p>
        </w:tc>
        <w:tc>
          <w:tcPr>
            <w:tcW w:w="406" w:type="pct"/>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401"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399"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4</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20</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11</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13</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16</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12</w:t>
            </w:r>
          </w:p>
        </w:tc>
        <w:tc>
          <w:tcPr>
            <w:tcW w:w="365"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15</w:t>
            </w:r>
          </w:p>
        </w:tc>
        <w:tc>
          <w:tcPr>
            <w:tcW w:w="429" w:type="pct"/>
            <w:noWrap/>
            <w:hideMark/>
          </w:tcPr>
          <w:p w:rsidR="00631B23" w:rsidRPr="005F67C4" w:rsidRDefault="00631B23" w:rsidP="005F67C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8</w:t>
            </w:r>
          </w:p>
        </w:tc>
      </w:tr>
      <w:tr w:rsidR="00631B23" w:rsidRPr="005F67C4" w:rsidTr="00FC170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6" w:type="pct"/>
            <w:noWrap/>
            <w:hideMark/>
          </w:tcPr>
          <w:p w:rsidR="00631B23" w:rsidRPr="005F67C4" w:rsidRDefault="00631B23" w:rsidP="005F67C4">
            <w:pPr>
              <w:rPr>
                <w:rFonts w:ascii="Calibri" w:eastAsia="Times New Roman" w:hAnsi="Calibri" w:cs="Calibri"/>
                <w:color w:val="000000"/>
                <w:sz w:val="20"/>
                <w:szCs w:val="20"/>
                <w:lang w:eastAsia="en-IE"/>
              </w:rPr>
            </w:pPr>
            <w:r w:rsidRPr="005F67C4">
              <w:rPr>
                <w:rFonts w:ascii="Calibri" w:eastAsia="Times New Roman" w:hAnsi="Calibri" w:cs="Calibri"/>
                <w:color w:val="000000"/>
                <w:sz w:val="20"/>
                <w:szCs w:val="20"/>
                <w:lang w:eastAsia="en-IE"/>
              </w:rPr>
              <w:t>Wicklow County</w:t>
            </w:r>
          </w:p>
        </w:tc>
        <w:tc>
          <w:tcPr>
            <w:tcW w:w="406"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c>
          <w:tcPr>
            <w:tcW w:w="401"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0.86</w:t>
            </w:r>
          </w:p>
        </w:tc>
        <w:tc>
          <w:tcPr>
            <w:tcW w:w="39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1.1</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4.67</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4.49</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6.74</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51.13</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25.62</w:t>
            </w:r>
          </w:p>
        </w:tc>
        <w:tc>
          <w:tcPr>
            <w:tcW w:w="365"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4.49</w:t>
            </w:r>
          </w:p>
        </w:tc>
        <w:tc>
          <w:tcPr>
            <w:tcW w:w="429" w:type="pct"/>
            <w:hideMark/>
          </w:tcPr>
          <w:p w:rsidR="00631B23" w:rsidRPr="005F67C4" w:rsidRDefault="00631B23" w:rsidP="005F67C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5F67C4">
              <w:rPr>
                <w:rFonts w:ascii="Calibri" w:eastAsia="Times New Roman" w:hAnsi="Calibri" w:cs="Calibri"/>
                <w:color w:val="000000"/>
                <w:sz w:val="18"/>
                <w:szCs w:val="18"/>
                <w:lang w:eastAsia="en-IE"/>
              </w:rPr>
              <w:t>0</w:t>
            </w:r>
          </w:p>
        </w:tc>
      </w:tr>
    </w:tbl>
    <w:p w:rsidR="007B6923" w:rsidRDefault="007B6923" w:rsidP="00201EC9">
      <w:pPr>
        <w:rPr>
          <w:rFonts w:cstheme="minorHAnsi"/>
          <w:b/>
        </w:rPr>
      </w:pPr>
    </w:p>
    <w:p w:rsidR="006E71D8" w:rsidRDefault="006E71D8" w:rsidP="00201EC9">
      <w:pPr>
        <w:rPr>
          <w:rFonts w:cstheme="minorHAnsi"/>
          <w:b/>
        </w:rPr>
      </w:pPr>
    </w:p>
    <w:p w:rsidR="00130886" w:rsidRDefault="00130886" w:rsidP="00201EC9">
      <w:pPr>
        <w:rPr>
          <w:rFonts w:cstheme="minorHAnsi"/>
          <w:b/>
        </w:rPr>
      </w:pPr>
    </w:p>
    <w:tbl>
      <w:tblPr>
        <w:tblW w:w="5964" w:type="dxa"/>
        <w:tblInd w:w="98" w:type="dxa"/>
        <w:tblLook w:val="04A0" w:firstRow="1" w:lastRow="0" w:firstColumn="1" w:lastColumn="0" w:noHBand="0" w:noVBand="1"/>
      </w:tblPr>
      <w:tblGrid>
        <w:gridCol w:w="2460"/>
        <w:gridCol w:w="960"/>
        <w:gridCol w:w="2544"/>
      </w:tblGrid>
      <w:tr w:rsidR="00097BDF" w:rsidRPr="00097BDF" w:rsidTr="006E71D8">
        <w:trPr>
          <w:trHeight w:val="315"/>
        </w:trPr>
        <w:tc>
          <w:tcPr>
            <w:tcW w:w="596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lastRenderedPageBreak/>
              <w:t>Ratings in Pavement Surface Condition Index - Local Primary</w:t>
            </w:r>
          </w:p>
        </w:tc>
      </w:tr>
      <w:tr w:rsidR="00097BDF" w:rsidRPr="00097BDF" w:rsidTr="006E71D8">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Cat 1</w:t>
            </w:r>
          </w:p>
        </w:tc>
        <w:tc>
          <w:tcPr>
            <w:tcW w:w="2544" w:type="dxa"/>
            <w:tcBorders>
              <w:top w:val="single" w:sz="4" w:space="0" w:color="auto"/>
              <w:left w:val="nil"/>
              <w:bottom w:val="single" w:sz="8" w:space="0" w:color="auto"/>
              <w:right w:val="single" w:sz="8" w:space="0" w:color="auto"/>
            </w:tcBorders>
            <w:shd w:val="clear" w:color="auto" w:fill="B6DDE8" w:themeFill="accent5" w:themeFillTint="66"/>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2014</w:t>
            </w:r>
          </w:p>
        </w:tc>
      </w:tr>
      <w:tr w:rsidR="00097BDF"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N</w:t>
            </w:r>
          </w:p>
        </w:tc>
        <w:tc>
          <w:tcPr>
            <w:tcW w:w="960" w:type="dxa"/>
            <w:tcBorders>
              <w:top w:val="nil"/>
              <w:left w:val="nil"/>
              <w:bottom w:val="single" w:sz="8" w:space="0" w:color="auto"/>
              <w:right w:val="nil"/>
            </w:tcBorders>
            <w:shd w:val="clear" w:color="auto" w:fill="auto"/>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Valid</w:t>
            </w:r>
          </w:p>
        </w:tc>
        <w:tc>
          <w:tcPr>
            <w:tcW w:w="2544" w:type="dxa"/>
            <w:tcBorders>
              <w:top w:val="nil"/>
              <w:left w:val="single" w:sz="8" w:space="0" w:color="auto"/>
              <w:bottom w:val="single" w:sz="8" w:space="0" w:color="auto"/>
              <w:right w:val="single" w:sz="8" w:space="0" w:color="auto"/>
            </w:tcBorders>
            <w:shd w:val="clear" w:color="auto" w:fill="auto"/>
            <w:vAlign w:val="center"/>
            <w:hideMark/>
          </w:tcPr>
          <w:p w:rsidR="00097BDF" w:rsidRPr="00097BDF" w:rsidRDefault="0014356A"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26</w:t>
            </w:r>
          </w:p>
        </w:tc>
      </w:tr>
      <w:tr w:rsidR="00097BDF"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 </w:t>
            </w:r>
          </w:p>
        </w:tc>
        <w:tc>
          <w:tcPr>
            <w:tcW w:w="960" w:type="dxa"/>
            <w:tcBorders>
              <w:top w:val="nil"/>
              <w:left w:val="nil"/>
              <w:bottom w:val="single" w:sz="8" w:space="0" w:color="auto"/>
              <w:right w:val="nil"/>
            </w:tcBorders>
            <w:shd w:val="clear" w:color="auto" w:fill="auto"/>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Missing</w:t>
            </w:r>
          </w:p>
        </w:tc>
        <w:tc>
          <w:tcPr>
            <w:tcW w:w="2544" w:type="dxa"/>
            <w:tcBorders>
              <w:top w:val="nil"/>
              <w:left w:val="single" w:sz="8" w:space="0" w:color="auto"/>
              <w:bottom w:val="single" w:sz="8" w:space="0" w:color="auto"/>
              <w:right w:val="single" w:sz="8" w:space="0" w:color="auto"/>
            </w:tcBorders>
            <w:shd w:val="clear" w:color="auto" w:fill="auto"/>
            <w:vAlign w:val="center"/>
            <w:hideMark/>
          </w:tcPr>
          <w:p w:rsidR="00097BDF" w:rsidRPr="00097BDF" w:rsidRDefault="0014356A"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5</w:t>
            </w:r>
          </w:p>
        </w:tc>
      </w:tr>
      <w:tr w:rsidR="00097BDF"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Average</w:t>
            </w:r>
          </w:p>
        </w:tc>
        <w:tc>
          <w:tcPr>
            <w:tcW w:w="960" w:type="dxa"/>
            <w:tcBorders>
              <w:top w:val="nil"/>
              <w:left w:val="nil"/>
              <w:bottom w:val="single" w:sz="8" w:space="0" w:color="auto"/>
              <w:right w:val="nil"/>
            </w:tcBorders>
            <w:shd w:val="clear" w:color="auto" w:fill="auto"/>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Median</w:t>
            </w:r>
          </w:p>
        </w:tc>
        <w:tc>
          <w:tcPr>
            <w:tcW w:w="2544" w:type="dxa"/>
            <w:tcBorders>
              <w:top w:val="nil"/>
              <w:left w:val="single" w:sz="8" w:space="0" w:color="auto"/>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0.00</w:t>
            </w:r>
          </w:p>
        </w:tc>
      </w:tr>
      <w:tr w:rsidR="00097BDF"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 </w:t>
            </w:r>
          </w:p>
        </w:tc>
        <w:tc>
          <w:tcPr>
            <w:tcW w:w="960" w:type="dxa"/>
            <w:tcBorders>
              <w:top w:val="nil"/>
              <w:left w:val="nil"/>
              <w:bottom w:val="single" w:sz="8" w:space="0" w:color="auto"/>
              <w:right w:val="nil"/>
            </w:tcBorders>
            <w:shd w:val="clear" w:color="auto" w:fill="auto"/>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Mean</w:t>
            </w:r>
          </w:p>
        </w:tc>
        <w:tc>
          <w:tcPr>
            <w:tcW w:w="2544" w:type="dxa"/>
            <w:tcBorders>
              <w:top w:val="nil"/>
              <w:left w:val="single" w:sz="8" w:space="0" w:color="auto"/>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0.</w:t>
            </w:r>
            <w:r w:rsidR="00713C3E">
              <w:rPr>
                <w:rFonts w:ascii="Calibri" w:eastAsia="Times New Roman" w:hAnsi="Calibri" w:cs="Calibri"/>
                <w:color w:val="000000"/>
                <w:lang w:eastAsia="en-IE"/>
              </w:rPr>
              <w:t>2</w:t>
            </w:r>
            <w:r w:rsidR="0014356A">
              <w:rPr>
                <w:rFonts w:ascii="Calibri" w:eastAsia="Times New Roman" w:hAnsi="Calibri" w:cs="Calibri"/>
                <w:color w:val="000000"/>
                <w:lang w:eastAsia="en-IE"/>
              </w:rPr>
              <w:t>3</w:t>
            </w:r>
          </w:p>
        </w:tc>
      </w:tr>
      <w:tr w:rsidR="00097BDF" w:rsidRPr="00097BDF" w:rsidTr="006E71D8">
        <w:trPr>
          <w:trHeight w:val="315"/>
        </w:trPr>
        <w:tc>
          <w:tcPr>
            <w:tcW w:w="3420" w:type="dxa"/>
            <w:gridSpan w:val="2"/>
            <w:tcBorders>
              <w:top w:val="single" w:sz="8" w:space="0" w:color="auto"/>
              <w:left w:val="single" w:sz="8" w:space="0" w:color="auto"/>
              <w:bottom w:val="single" w:sz="8" w:space="0" w:color="auto"/>
              <w:right w:val="nil"/>
            </w:tcBorders>
            <w:shd w:val="clear" w:color="auto" w:fill="B6DDE8" w:themeFill="accent5" w:themeFillTint="66"/>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Cat 2</w:t>
            </w:r>
          </w:p>
        </w:tc>
        <w:tc>
          <w:tcPr>
            <w:tcW w:w="2544" w:type="dxa"/>
            <w:tcBorders>
              <w:top w:val="nil"/>
              <w:left w:val="single" w:sz="8" w:space="0" w:color="auto"/>
              <w:bottom w:val="single" w:sz="8" w:space="0" w:color="auto"/>
              <w:right w:val="single" w:sz="8" w:space="0" w:color="auto"/>
            </w:tcBorders>
            <w:shd w:val="clear" w:color="auto" w:fill="B6DDE8" w:themeFill="accent5" w:themeFillTint="66"/>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2014</w:t>
            </w:r>
          </w:p>
        </w:tc>
      </w:tr>
      <w:tr w:rsidR="0014356A"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N</w:t>
            </w:r>
          </w:p>
        </w:tc>
        <w:tc>
          <w:tcPr>
            <w:tcW w:w="960" w:type="dxa"/>
            <w:tcBorders>
              <w:top w:val="nil"/>
              <w:left w:val="nil"/>
              <w:bottom w:val="single" w:sz="8" w:space="0" w:color="auto"/>
              <w:right w:val="nil"/>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Valid</w:t>
            </w:r>
          </w:p>
        </w:tc>
        <w:tc>
          <w:tcPr>
            <w:tcW w:w="2544" w:type="dxa"/>
            <w:tcBorders>
              <w:top w:val="nil"/>
              <w:left w:val="single" w:sz="8" w:space="0" w:color="auto"/>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26</w:t>
            </w:r>
          </w:p>
        </w:tc>
      </w:tr>
      <w:tr w:rsidR="0014356A"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 </w:t>
            </w:r>
          </w:p>
        </w:tc>
        <w:tc>
          <w:tcPr>
            <w:tcW w:w="960" w:type="dxa"/>
            <w:tcBorders>
              <w:top w:val="nil"/>
              <w:left w:val="nil"/>
              <w:bottom w:val="single" w:sz="8" w:space="0" w:color="auto"/>
              <w:right w:val="nil"/>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Missing</w:t>
            </w:r>
          </w:p>
        </w:tc>
        <w:tc>
          <w:tcPr>
            <w:tcW w:w="2544" w:type="dxa"/>
            <w:tcBorders>
              <w:top w:val="nil"/>
              <w:left w:val="single" w:sz="8" w:space="0" w:color="auto"/>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5</w:t>
            </w:r>
          </w:p>
        </w:tc>
      </w:tr>
      <w:tr w:rsidR="00097BDF"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Median</w:t>
            </w:r>
          </w:p>
        </w:tc>
        <w:tc>
          <w:tcPr>
            <w:tcW w:w="2544" w:type="dxa"/>
            <w:tcBorders>
              <w:top w:val="nil"/>
              <w:left w:val="nil"/>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0.00</w:t>
            </w:r>
          </w:p>
        </w:tc>
      </w:tr>
      <w:tr w:rsidR="00097BDF"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Mean</w:t>
            </w:r>
          </w:p>
        </w:tc>
        <w:tc>
          <w:tcPr>
            <w:tcW w:w="2544" w:type="dxa"/>
            <w:tcBorders>
              <w:top w:val="nil"/>
              <w:left w:val="nil"/>
              <w:bottom w:val="single" w:sz="8" w:space="0" w:color="auto"/>
              <w:right w:val="single" w:sz="8" w:space="0" w:color="auto"/>
            </w:tcBorders>
            <w:shd w:val="clear" w:color="auto" w:fill="auto"/>
            <w:vAlign w:val="center"/>
            <w:hideMark/>
          </w:tcPr>
          <w:p w:rsidR="00097BDF" w:rsidRPr="00097BDF" w:rsidRDefault="00713C3E"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0.4</w:t>
            </w:r>
            <w:r w:rsidR="0014356A">
              <w:rPr>
                <w:rFonts w:ascii="Calibri" w:eastAsia="Times New Roman" w:hAnsi="Calibri" w:cs="Calibri"/>
                <w:color w:val="000000"/>
                <w:lang w:eastAsia="en-IE"/>
              </w:rPr>
              <w:t>6</w:t>
            </w:r>
          </w:p>
        </w:tc>
      </w:tr>
      <w:tr w:rsidR="00097BDF" w:rsidRPr="00097BDF" w:rsidTr="006E71D8">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Cat 3</w:t>
            </w:r>
          </w:p>
        </w:tc>
        <w:tc>
          <w:tcPr>
            <w:tcW w:w="2544" w:type="dxa"/>
            <w:tcBorders>
              <w:top w:val="nil"/>
              <w:left w:val="nil"/>
              <w:bottom w:val="single" w:sz="8" w:space="0" w:color="auto"/>
              <w:right w:val="single" w:sz="8" w:space="0" w:color="auto"/>
            </w:tcBorders>
            <w:shd w:val="clear" w:color="auto" w:fill="B6DDE8" w:themeFill="accent5" w:themeFillTint="66"/>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2014</w:t>
            </w:r>
          </w:p>
        </w:tc>
      </w:tr>
      <w:tr w:rsidR="0014356A"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Valid</w:t>
            </w:r>
          </w:p>
        </w:tc>
        <w:tc>
          <w:tcPr>
            <w:tcW w:w="2544"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26</w:t>
            </w:r>
          </w:p>
        </w:tc>
      </w:tr>
      <w:tr w:rsidR="0014356A"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Missing</w:t>
            </w:r>
          </w:p>
        </w:tc>
        <w:tc>
          <w:tcPr>
            <w:tcW w:w="2544"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5</w:t>
            </w:r>
          </w:p>
        </w:tc>
      </w:tr>
      <w:tr w:rsidR="00097BDF"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Median</w:t>
            </w:r>
          </w:p>
        </w:tc>
        <w:tc>
          <w:tcPr>
            <w:tcW w:w="2544" w:type="dxa"/>
            <w:tcBorders>
              <w:top w:val="nil"/>
              <w:left w:val="nil"/>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1.0</w:t>
            </w:r>
            <w:r w:rsidR="0014356A">
              <w:rPr>
                <w:rFonts w:ascii="Calibri" w:eastAsia="Times New Roman" w:hAnsi="Calibri" w:cs="Calibri"/>
                <w:b/>
                <w:bCs/>
                <w:color w:val="000000"/>
                <w:lang w:eastAsia="en-IE"/>
              </w:rPr>
              <w:t>5</w:t>
            </w:r>
          </w:p>
        </w:tc>
      </w:tr>
      <w:tr w:rsidR="00097BDF"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Mean</w:t>
            </w:r>
          </w:p>
        </w:tc>
        <w:tc>
          <w:tcPr>
            <w:tcW w:w="2544" w:type="dxa"/>
            <w:tcBorders>
              <w:top w:val="nil"/>
              <w:left w:val="nil"/>
              <w:bottom w:val="single" w:sz="8" w:space="0" w:color="auto"/>
              <w:right w:val="single" w:sz="8" w:space="0" w:color="auto"/>
            </w:tcBorders>
            <w:shd w:val="clear" w:color="auto" w:fill="auto"/>
            <w:vAlign w:val="center"/>
            <w:hideMark/>
          </w:tcPr>
          <w:p w:rsidR="00097BDF" w:rsidRPr="00097BDF" w:rsidRDefault="00713C3E"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2.</w:t>
            </w:r>
            <w:r w:rsidR="0014356A">
              <w:rPr>
                <w:rFonts w:ascii="Calibri" w:eastAsia="Times New Roman" w:hAnsi="Calibri" w:cs="Calibri"/>
                <w:color w:val="000000"/>
                <w:lang w:eastAsia="en-IE"/>
              </w:rPr>
              <w:t>23</w:t>
            </w:r>
          </w:p>
        </w:tc>
      </w:tr>
      <w:tr w:rsidR="00097BDF" w:rsidRPr="00097BDF" w:rsidTr="006E71D8">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Cat 4</w:t>
            </w:r>
          </w:p>
        </w:tc>
        <w:tc>
          <w:tcPr>
            <w:tcW w:w="2544" w:type="dxa"/>
            <w:tcBorders>
              <w:top w:val="nil"/>
              <w:left w:val="nil"/>
              <w:bottom w:val="single" w:sz="8" w:space="0" w:color="auto"/>
              <w:right w:val="single" w:sz="8" w:space="0" w:color="auto"/>
            </w:tcBorders>
            <w:shd w:val="clear" w:color="auto" w:fill="B6DDE8" w:themeFill="accent5" w:themeFillTint="66"/>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2014</w:t>
            </w:r>
          </w:p>
        </w:tc>
      </w:tr>
      <w:tr w:rsidR="0014356A"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Valid</w:t>
            </w:r>
          </w:p>
        </w:tc>
        <w:tc>
          <w:tcPr>
            <w:tcW w:w="2544"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26</w:t>
            </w:r>
          </w:p>
        </w:tc>
      </w:tr>
      <w:tr w:rsidR="0014356A"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Missing</w:t>
            </w:r>
          </w:p>
        </w:tc>
        <w:tc>
          <w:tcPr>
            <w:tcW w:w="2544"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5</w:t>
            </w:r>
          </w:p>
        </w:tc>
      </w:tr>
      <w:tr w:rsidR="00097BDF"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Median</w:t>
            </w:r>
          </w:p>
        </w:tc>
        <w:tc>
          <w:tcPr>
            <w:tcW w:w="2544" w:type="dxa"/>
            <w:tcBorders>
              <w:top w:val="nil"/>
              <w:left w:val="nil"/>
              <w:bottom w:val="single" w:sz="8" w:space="0" w:color="auto"/>
              <w:right w:val="single" w:sz="8" w:space="0" w:color="auto"/>
            </w:tcBorders>
            <w:shd w:val="clear" w:color="auto" w:fill="auto"/>
            <w:vAlign w:val="center"/>
            <w:hideMark/>
          </w:tcPr>
          <w:p w:rsidR="00097BDF" w:rsidRPr="00097BDF" w:rsidRDefault="0014356A" w:rsidP="0082378C">
            <w:pPr>
              <w:spacing w:after="0" w:line="240" w:lineRule="auto"/>
              <w:rPr>
                <w:rFonts w:ascii="Calibri" w:eastAsia="Times New Roman" w:hAnsi="Calibri" w:cs="Calibri"/>
                <w:b/>
                <w:bCs/>
                <w:color w:val="000000"/>
                <w:lang w:eastAsia="en-IE"/>
              </w:rPr>
            </w:pPr>
            <w:r>
              <w:rPr>
                <w:rFonts w:ascii="Calibri" w:eastAsia="Times New Roman" w:hAnsi="Calibri" w:cs="Calibri"/>
                <w:b/>
                <w:bCs/>
                <w:color w:val="000000"/>
                <w:lang w:eastAsia="en-IE"/>
              </w:rPr>
              <w:t>7.10</w:t>
            </w:r>
          </w:p>
        </w:tc>
      </w:tr>
      <w:tr w:rsidR="00097BDF"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Mean</w:t>
            </w:r>
          </w:p>
        </w:tc>
        <w:tc>
          <w:tcPr>
            <w:tcW w:w="2544" w:type="dxa"/>
            <w:tcBorders>
              <w:top w:val="nil"/>
              <w:left w:val="nil"/>
              <w:bottom w:val="single" w:sz="8" w:space="0" w:color="auto"/>
              <w:right w:val="single" w:sz="8" w:space="0" w:color="auto"/>
            </w:tcBorders>
            <w:shd w:val="clear" w:color="auto" w:fill="auto"/>
            <w:vAlign w:val="center"/>
            <w:hideMark/>
          </w:tcPr>
          <w:p w:rsidR="00097BDF" w:rsidRPr="00097BDF" w:rsidRDefault="00713C3E"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7.</w:t>
            </w:r>
            <w:r w:rsidR="0014356A">
              <w:rPr>
                <w:rFonts w:ascii="Calibri" w:eastAsia="Times New Roman" w:hAnsi="Calibri" w:cs="Calibri"/>
                <w:color w:val="000000"/>
                <w:lang w:eastAsia="en-IE"/>
              </w:rPr>
              <w:t>88</w:t>
            </w:r>
          </w:p>
        </w:tc>
      </w:tr>
      <w:tr w:rsidR="00097BDF" w:rsidRPr="00097BDF" w:rsidTr="006E71D8">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Cat 5</w:t>
            </w:r>
          </w:p>
        </w:tc>
        <w:tc>
          <w:tcPr>
            <w:tcW w:w="2544" w:type="dxa"/>
            <w:tcBorders>
              <w:top w:val="nil"/>
              <w:left w:val="nil"/>
              <w:bottom w:val="single" w:sz="8" w:space="0" w:color="auto"/>
              <w:right w:val="single" w:sz="8" w:space="0" w:color="auto"/>
            </w:tcBorders>
            <w:shd w:val="clear" w:color="auto" w:fill="B6DDE8" w:themeFill="accent5" w:themeFillTint="66"/>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2014</w:t>
            </w:r>
          </w:p>
        </w:tc>
      </w:tr>
      <w:tr w:rsidR="0014356A"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Valid</w:t>
            </w:r>
          </w:p>
        </w:tc>
        <w:tc>
          <w:tcPr>
            <w:tcW w:w="2544"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26</w:t>
            </w:r>
          </w:p>
        </w:tc>
      </w:tr>
      <w:tr w:rsidR="0014356A"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Missing</w:t>
            </w:r>
          </w:p>
        </w:tc>
        <w:tc>
          <w:tcPr>
            <w:tcW w:w="2544"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5</w:t>
            </w:r>
          </w:p>
        </w:tc>
      </w:tr>
      <w:tr w:rsidR="00097BDF"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Median</w:t>
            </w:r>
          </w:p>
        </w:tc>
        <w:tc>
          <w:tcPr>
            <w:tcW w:w="2544" w:type="dxa"/>
            <w:tcBorders>
              <w:top w:val="nil"/>
              <w:left w:val="nil"/>
              <w:bottom w:val="single" w:sz="8" w:space="0" w:color="auto"/>
              <w:right w:val="single" w:sz="8" w:space="0" w:color="auto"/>
            </w:tcBorders>
            <w:shd w:val="clear" w:color="auto" w:fill="auto"/>
            <w:vAlign w:val="center"/>
            <w:hideMark/>
          </w:tcPr>
          <w:p w:rsidR="00097BDF" w:rsidRPr="00097BDF" w:rsidRDefault="0014356A" w:rsidP="0082378C">
            <w:pPr>
              <w:spacing w:after="0" w:line="240" w:lineRule="auto"/>
              <w:rPr>
                <w:rFonts w:ascii="Calibri" w:eastAsia="Times New Roman" w:hAnsi="Calibri" w:cs="Calibri"/>
                <w:b/>
                <w:bCs/>
                <w:color w:val="000000"/>
                <w:lang w:eastAsia="en-IE"/>
              </w:rPr>
            </w:pPr>
            <w:r>
              <w:rPr>
                <w:rFonts w:ascii="Calibri" w:eastAsia="Times New Roman" w:hAnsi="Calibri" w:cs="Calibri"/>
                <w:b/>
                <w:bCs/>
                <w:color w:val="000000"/>
                <w:lang w:eastAsia="en-IE"/>
              </w:rPr>
              <w:t>10.00</w:t>
            </w:r>
          </w:p>
        </w:tc>
      </w:tr>
      <w:tr w:rsidR="00097BDF"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Mean</w:t>
            </w:r>
          </w:p>
        </w:tc>
        <w:tc>
          <w:tcPr>
            <w:tcW w:w="2544" w:type="dxa"/>
            <w:tcBorders>
              <w:top w:val="nil"/>
              <w:left w:val="nil"/>
              <w:bottom w:val="single" w:sz="8" w:space="0" w:color="auto"/>
              <w:right w:val="single" w:sz="8" w:space="0" w:color="auto"/>
            </w:tcBorders>
            <w:shd w:val="clear" w:color="auto" w:fill="auto"/>
            <w:vAlign w:val="center"/>
            <w:hideMark/>
          </w:tcPr>
          <w:p w:rsidR="00097BDF" w:rsidRPr="00097BDF" w:rsidRDefault="0014356A"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9.78</w:t>
            </w:r>
          </w:p>
        </w:tc>
      </w:tr>
      <w:tr w:rsidR="00097BDF" w:rsidRPr="00097BDF" w:rsidTr="006E71D8">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Cat 6</w:t>
            </w:r>
          </w:p>
        </w:tc>
        <w:tc>
          <w:tcPr>
            <w:tcW w:w="2544" w:type="dxa"/>
            <w:tcBorders>
              <w:top w:val="single" w:sz="4" w:space="0" w:color="auto"/>
              <w:left w:val="nil"/>
              <w:bottom w:val="single" w:sz="8" w:space="0" w:color="auto"/>
              <w:right w:val="single" w:sz="8" w:space="0" w:color="auto"/>
            </w:tcBorders>
            <w:shd w:val="clear" w:color="auto" w:fill="B6DDE8" w:themeFill="accent5" w:themeFillTint="66"/>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2014</w:t>
            </w:r>
          </w:p>
        </w:tc>
      </w:tr>
      <w:tr w:rsidR="0014356A"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Valid</w:t>
            </w:r>
          </w:p>
        </w:tc>
        <w:tc>
          <w:tcPr>
            <w:tcW w:w="2544"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26</w:t>
            </w:r>
          </w:p>
        </w:tc>
      </w:tr>
      <w:tr w:rsidR="0014356A"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Missing</w:t>
            </w:r>
          </w:p>
        </w:tc>
        <w:tc>
          <w:tcPr>
            <w:tcW w:w="2544"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5</w:t>
            </w:r>
          </w:p>
        </w:tc>
      </w:tr>
      <w:tr w:rsidR="00097BDF"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Median</w:t>
            </w:r>
          </w:p>
        </w:tc>
        <w:tc>
          <w:tcPr>
            <w:tcW w:w="2544" w:type="dxa"/>
            <w:tcBorders>
              <w:top w:val="nil"/>
              <w:left w:val="nil"/>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1</w:t>
            </w:r>
            <w:r w:rsidR="000060D8">
              <w:rPr>
                <w:rFonts w:ascii="Calibri" w:eastAsia="Times New Roman" w:hAnsi="Calibri" w:cs="Calibri"/>
                <w:b/>
                <w:bCs/>
                <w:color w:val="000000"/>
                <w:lang w:eastAsia="en-IE"/>
              </w:rPr>
              <w:t>7.</w:t>
            </w:r>
            <w:r w:rsidR="0014356A">
              <w:rPr>
                <w:rFonts w:ascii="Calibri" w:eastAsia="Times New Roman" w:hAnsi="Calibri" w:cs="Calibri"/>
                <w:b/>
                <w:bCs/>
                <w:color w:val="000000"/>
                <w:lang w:eastAsia="en-IE"/>
              </w:rPr>
              <w:t>11</w:t>
            </w:r>
          </w:p>
        </w:tc>
      </w:tr>
      <w:tr w:rsidR="00097BDF"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Mean</w:t>
            </w:r>
          </w:p>
        </w:tc>
        <w:tc>
          <w:tcPr>
            <w:tcW w:w="2544" w:type="dxa"/>
            <w:tcBorders>
              <w:top w:val="nil"/>
              <w:left w:val="nil"/>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1</w:t>
            </w:r>
            <w:r w:rsidR="0014356A">
              <w:rPr>
                <w:rFonts w:ascii="Calibri" w:eastAsia="Times New Roman" w:hAnsi="Calibri" w:cs="Calibri"/>
                <w:color w:val="000000"/>
                <w:lang w:eastAsia="en-IE"/>
              </w:rPr>
              <w:t>9.43</w:t>
            </w:r>
          </w:p>
        </w:tc>
      </w:tr>
      <w:tr w:rsidR="00097BDF" w:rsidRPr="00097BDF" w:rsidTr="006E71D8">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Cat 7</w:t>
            </w:r>
          </w:p>
        </w:tc>
        <w:tc>
          <w:tcPr>
            <w:tcW w:w="2544" w:type="dxa"/>
            <w:tcBorders>
              <w:top w:val="nil"/>
              <w:left w:val="nil"/>
              <w:bottom w:val="single" w:sz="8" w:space="0" w:color="auto"/>
              <w:right w:val="single" w:sz="8" w:space="0" w:color="auto"/>
            </w:tcBorders>
            <w:shd w:val="clear" w:color="auto" w:fill="B6DDE8" w:themeFill="accent5" w:themeFillTint="66"/>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2014</w:t>
            </w:r>
          </w:p>
        </w:tc>
      </w:tr>
      <w:tr w:rsidR="0014356A"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Valid</w:t>
            </w:r>
          </w:p>
        </w:tc>
        <w:tc>
          <w:tcPr>
            <w:tcW w:w="2544"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26</w:t>
            </w:r>
          </w:p>
        </w:tc>
      </w:tr>
      <w:tr w:rsidR="0014356A"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Missing</w:t>
            </w:r>
          </w:p>
        </w:tc>
        <w:tc>
          <w:tcPr>
            <w:tcW w:w="2544"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5</w:t>
            </w:r>
          </w:p>
        </w:tc>
      </w:tr>
      <w:tr w:rsidR="00097BDF"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Median</w:t>
            </w:r>
          </w:p>
        </w:tc>
        <w:tc>
          <w:tcPr>
            <w:tcW w:w="2544" w:type="dxa"/>
            <w:tcBorders>
              <w:top w:val="nil"/>
              <w:left w:val="nil"/>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2</w:t>
            </w:r>
            <w:r w:rsidR="0014356A">
              <w:rPr>
                <w:rFonts w:ascii="Calibri" w:eastAsia="Times New Roman" w:hAnsi="Calibri" w:cs="Calibri"/>
                <w:b/>
                <w:bCs/>
                <w:color w:val="000000"/>
                <w:lang w:eastAsia="en-IE"/>
              </w:rPr>
              <w:t>3.60</w:t>
            </w:r>
          </w:p>
        </w:tc>
      </w:tr>
      <w:tr w:rsidR="00097BDF"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Mean</w:t>
            </w:r>
          </w:p>
        </w:tc>
        <w:tc>
          <w:tcPr>
            <w:tcW w:w="2544" w:type="dxa"/>
            <w:tcBorders>
              <w:top w:val="nil"/>
              <w:left w:val="nil"/>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2</w:t>
            </w:r>
            <w:r w:rsidR="0014356A">
              <w:rPr>
                <w:rFonts w:ascii="Calibri" w:eastAsia="Times New Roman" w:hAnsi="Calibri" w:cs="Calibri"/>
                <w:color w:val="000000"/>
                <w:lang w:eastAsia="en-IE"/>
              </w:rPr>
              <w:t>4.01</w:t>
            </w:r>
          </w:p>
        </w:tc>
      </w:tr>
      <w:tr w:rsidR="00097BDF" w:rsidRPr="00097BDF" w:rsidTr="006E71D8">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Cat 8</w:t>
            </w:r>
          </w:p>
        </w:tc>
        <w:tc>
          <w:tcPr>
            <w:tcW w:w="2544" w:type="dxa"/>
            <w:tcBorders>
              <w:top w:val="single" w:sz="4" w:space="0" w:color="auto"/>
              <w:left w:val="nil"/>
              <w:bottom w:val="single" w:sz="8" w:space="0" w:color="auto"/>
              <w:right w:val="single" w:sz="8" w:space="0" w:color="auto"/>
            </w:tcBorders>
            <w:shd w:val="clear" w:color="auto" w:fill="B6DDE8" w:themeFill="accent5" w:themeFillTint="66"/>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2014</w:t>
            </w:r>
          </w:p>
        </w:tc>
      </w:tr>
      <w:tr w:rsidR="0014356A"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Valid</w:t>
            </w:r>
          </w:p>
        </w:tc>
        <w:tc>
          <w:tcPr>
            <w:tcW w:w="2544"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26</w:t>
            </w:r>
          </w:p>
        </w:tc>
      </w:tr>
      <w:tr w:rsidR="0014356A"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Missing</w:t>
            </w:r>
          </w:p>
        </w:tc>
        <w:tc>
          <w:tcPr>
            <w:tcW w:w="2544"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5</w:t>
            </w:r>
          </w:p>
        </w:tc>
      </w:tr>
      <w:tr w:rsidR="00097BDF"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Median</w:t>
            </w:r>
          </w:p>
        </w:tc>
        <w:tc>
          <w:tcPr>
            <w:tcW w:w="2544" w:type="dxa"/>
            <w:tcBorders>
              <w:top w:val="nil"/>
              <w:left w:val="nil"/>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1</w:t>
            </w:r>
            <w:r w:rsidR="0014356A">
              <w:rPr>
                <w:rFonts w:ascii="Calibri" w:eastAsia="Times New Roman" w:hAnsi="Calibri" w:cs="Calibri"/>
                <w:b/>
                <w:bCs/>
                <w:color w:val="000000"/>
                <w:lang w:eastAsia="en-IE"/>
              </w:rPr>
              <w:t>6.00</w:t>
            </w:r>
          </w:p>
        </w:tc>
      </w:tr>
      <w:tr w:rsidR="00097BDF"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Mean</w:t>
            </w:r>
          </w:p>
        </w:tc>
        <w:tc>
          <w:tcPr>
            <w:tcW w:w="2544" w:type="dxa"/>
            <w:tcBorders>
              <w:top w:val="nil"/>
              <w:left w:val="nil"/>
              <w:bottom w:val="single" w:sz="8" w:space="0" w:color="auto"/>
              <w:right w:val="single" w:sz="8" w:space="0" w:color="auto"/>
            </w:tcBorders>
            <w:shd w:val="clear" w:color="auto" w:fill="auto"/>
            <w:vAlign w:val="center"/>
            <w:hideMark/>
          </w:tcPr>
          <w:p w:rsidR="00097BDF" w:rsidRPr="00097BDF" w:rsidRDefault="000060D8"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1</w:t>
            </w:r>
            <w:r w:rsidR="0014356A">
              <w:rPr>
                <w:rFonts w:ascii="Calibri" w:eastAsia="Times New Roman" w:hAnsi="Calibri" w:cs="Calibri"/>
                <w:color w:val="000000"/>
                <w:lang w:eastAsia="en-IE"/>
              </w:rPr>
              <w:t>7.46</w:t>
            </w:r>
          </w:p>
        </w:tc>
      </w:tr>
      <w:tr w:rsidR="00097BDF" w:rsidRPr="00097BDF" w:rsidTr="006E71D8">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lastRenderedPageBreak/>
              <w:t>Cat 9</w:t>
            </w:r>
          </w:p>
        </w:tc>
        <w:tc>
          <w:tcPr>
            <w:tcW w:w="2544" w:type="dxa"/>
            <w:tcBorders>
              <w:top w:val="single" w:sz="4" w:space="0" w:color="auto"/>
              <w:left w:val="nil"/>
              <w:bottom w:val="single" w:sz="8" w:space="0" w:color="auto"/>
              <w:right w:val="single" w:sz="8" w:space="0" w:color="auto"/>
            </w:tcBorders>
            <w:shd w:val="clear" w:color="auto" w:fill="B6DDE8" w:themeFill="accent5" w:themeFillTint="66"/>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2014</w:t>
            </w:r>
          </w:p>
        </w:tc>
      </w:tr>
      <w:tr w:rsidR="0014356A"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Valid</w:t>
            </w:r>
          </w:p>
        </w:tc>
        <w:tc>
          <w:tcPr>
            <w:tcW w:w="2544"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26</w:t>
            </w:r>
          </w:p>
        </w:tc>
      </w:tr>
      <w:tr w:rsidR="0014356A"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Missing</w:t>
            </w:r>
          </w:p>
        </w:tc>
        <w:tc>
          <w:tcPr>
            <w:tcW w:w="2544"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5</w:t>
            </w:r>
          </w:p>
        </w:tc>
      </w:tr>
      <w:tr w:rsidR="00097BDF"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Median</w:t>
            </w:r>
          </w:p>
        </w:tc>
        <w:tc>
          <w:tcPr>
            <w:tcW w:w="2544" w:type="dxa"/>
            <w:tcBorders>
              <w:top w:val="nil"/>
              <w:left w:val="nil"/>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1</w:t>
            </w:r>
            <w:r w:rsidR="0014356A">
              <w:rPr>
                <w:rFonts w:ascii="Calibri" w:eastAsia="Times New Roman" w:hAnsi="Calibri" w:cs="Calibri"/>
                <w:b/>
                <w:bCs/>
                <w:color w:val="000000"/>
                <w:lang w:eastAsia="en-IE"/>
              </w:rPr>
              <w:t>1.50</w:t>
            </w:r>
          </w:p>
        </w:tc>
      </w:tr>
      <w:tr w:rsidR="00097BDF"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Mean</w:t>
            </w:r>
          </w:p>
        </w:tc>
        <w:tc>
          <w:tcPr>
            <w:tcW w:w="2544" w:type="dxa"/>
            <w:tcBorders>
              <w:top w:val="nil"/>
              <w:left w:val="nil"/>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1</w:t>
            </w:r>
            <w:r w:rsidR="0014356A">
              <w:rPr>
                <w:rFonts w:ascii="Calibri" w:eastAsia="Times New Roman" w:hAnsi="Calibri" w:cs="Calibri"/>
                <w:color w:val="000000"/>
                <w:lang w:eastAsia="en-IE"/>
              </w:rPr>
              <w:t>2.16</w:t>
            </w:r>
          </w:p>
        </w:tc>
      </w:tr>
      <w:tr w:rsidR="00097BDF" w:rsidRPr="00097BDF" w:rsidTr="006E71D8">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Cat 10</w:t>
            </w:r>
          </w:p>
        </w:tc>
        <w:tc>
          <w:tcPr>
            <w:tcW w:w="2544" w:type="dxa"/>
            <w:tcBorders>
              <w:top w:val="nil"/>
              <w:left w:val="nil"/>
              <w:bottom w:val="single" w:sz="8" w:space="0" w:color="auto"/>
              <w:right w:val="single" w:sz="8" w:space="0" w:color="auto"/>
            </w:tcBorders>
            <w:shd w:val="clear" w:color="auto" w:fill="B6DDE8" w:themeFill="accent5" w:themeFillTint="66"/>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2014</w:t>
            </w:r>
          </w:p>
        </w:tc>
      </w:tr>
      <w:tr w:rsidR="0014356A"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Valid</w:t>
            </w:r>
          </w:p>
        </w:tc>
        <w:tc>
          <w:tcPr>
            <w:tcW w:w="2544"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26</w:t>
            </w:r>
          </w:p>
        </w:tc>
      </w:tr>
      <w:tr w:rsidR="0014356A"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Missing</w:t>
            </w:r>
          </w:p>
        </w:tc>
        <w:tc>
          <w:tcPr>
            <w:tcW w:w="2544" w:type="dxa"/>
            <w:tcBorders>
              <w:top w:val="nil"/>
              <w:left w:val="nil"/>
              <w:bottom w:val="single" w:sz="8" w:space="0" w:color="auto"/>
              <w:right w:val="single" w:sz="8" w:space="0" w:color="auto"/>
            </w:tcBorders>
            <w:shd w:val="clear" w:color="auto" w:fill="auto"/>
            <w:vAlign w:val="center"/>
            <w:hideMark/>
          </w:tcPr>
          <w:p w:rsidR="0014356A" w:rsidRPr="00097BDF" w:rsidRDefault="0014356A"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5</w:t>
            </w:r>
          </w:p>
        </w:tc>
      </w:tr>
      <w:tr w:rsidR="00097BDF"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Median</w:t>
            </w:r>
          </w:p>
        </w:tc>
        <w:tc>
          <w:tcPr>
            <w:tcW w:w="2544" w:type="dxa"/>
            <w:tcBorders>
              <w:top w:val="nil"/>
              <w:left w:val="nil"/>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b/>
                <w:bCs/>
                <w:color w:val="000000"/>
                <w:lang w:eastAsia="en-IE"/>
              </w:rPr>
            </w:pPr>
            <w:r w:rsidRPr="00097BDF">
              <w:rPr>
                <w:rFonts w:ascii="Calibri" w:eastAsia="Times New Roman" w:hAnsi="Calibri" w:cs="Calibri"/>
                <w:b/>
                <w:bCs/>
                <w:color w:val="000000"/>
                <w:lang w:eastAsia="en-IE"/>
              </w:rPr>
              <w:t>1.</w:t>
            </w:r>
            <w:r w:rsidR="0014356A">
              <w:rPr>
                <w:rFonts w:ascii="Calibri" w:eastAsia="Times New Roman" w:hAnsi="Calibri" w:cs="Calibri"/>
                <w:b/>
                <w:bCs/>
                <w:color w:val="000000"/>
                <w:lang w:eastAsia="en-IE"/>
              </w:rPr>
              <w:t>30</w:t>
            </w:r>
          </w:p>
        </w:tc>
      </w:tr>
      <w:tr w:rsidR="00097BDF" w:rsidRPr="00097BDF"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Mean</w:t>
            </w:r>
          </w:p>
        </w:tc>
        <w:tc>
          <w:tcPr>
            <w:tcW w:w="2544" w:type="dxa"/>
            <w:tcBorders>
              <w:top w:val="nil"/>
              <w:left w:val="nil"/>
              <w:bottom w:val="single" w:sz="8" w:space="0" w:color="auto"/>
              <w:right w:val="single" w:sz="8" w:space="0" w:color="auto"/>
            </w:tcBorders>
            <w:shd w:val="clear" w:color="auto" w:fill="auto"/>
            <w:vAlign w:val="center"/>
            <w:hideMark/>
          </w:tcPr>
          <w:p w:rsidR="00097BDF" w:rsidRPr="00097BDF" w:rsidRDefault="00097BDF" w:rsidP="0082378C">
            <w:pPr>
              <w:spacing w:after="0" w:line="240" w:lineRule="auto"/>
              <w:rPr>
                <w:rFonts w:ascii="Calibri" w:eastAsia="Times New Roman" w:hAnsi="Calibri" w:cs="Calibri"/>
                <w:color w:val="000000"/>
                <w:lang w:eastAsia="en-IE"/>
              </w:rPr>
            </w:pPr>
            <w:r w:rsidRPr="00097BDF">
              <w:rPr>
                <w:rFonts w:ascii="Calibri" w:eastAsia="Times New Roman" w:hAnsi="Calibri" w:cs="Calibri"/>
                <w:color w:val="000000"/>
                <w:lang w:eastAsia="en-IE"/>
              </w:rPr>
              <w:t>2.</w:t>
            </w:r>
            <w:r w:rsidR="0014356A">
              <w:rPr>
                <w:rFonts w:ascii="Calibri" w:eastAsia="Times New Roman" w:hAnsi="Calibri" w:cs="Calibri"/>
                <w:color w:val="000000"/>
                <w:lang w:eastAsia="en-IE"/>
              </w:rPr>
              <w:t>38</w:t>
            </w:r>
          </w:p>
        </w:tc>
      </w:tr>
    </w:tbl>
    <w:p w:rsidR="005F67C4" w:rsidRDefault="005F67C4" w:rsidP="00201EC9">
      <w:pPr>
        <w:rPr>
          <w:rFonts w:cstheme="minorHAnsi"/>
          <w:b/>
        </w:rPr>
      </w:pPr>
    </w:p>
    <w:p w:rsidR="00097BDF" w:rsidRDefault="00097BDF" w:rsidP="00201EC9">
      <w:pPr>
        <w:rPr>
          <w:rFonts w:cstheme="minorHAnsi"/>
          <w:b/>
        </w:rPr>
      </w:pPr>
    </w:p>
    <w:p w:rsidR="00097BDF" w:rsidRPr="00B97E75" w:rsidRDefault="00097BDF" w:rsidP="00201EC9">
      <w:pPr>
        <w:rPr>
          <w:rFonts w:cstheme="minorHAnsi"/>
          <w:b/>
        </w:rPr>
      </w:pPr>
    </w:p>
    <w:p w:rsidR="00E214E3" w:rsidRDefault="00E214E3" w:rsidP="00201EC9">
      <w:pPr>
        <w:rPr>
          <w:rFonts w:cstheme="minorHAnsi"/>
          <w:b/>
        </w:rPr>
      </w:pPr>
    </w:p>
    <w:p w:rsidR="00E214E3" w:rsidRDefault="00E214E3" w:rsidP="00201EC9">
      <w:pPr>
        <w:rPr>
          <w:rFonts w:cstheme="minorHAnsi"/>
          <w:b/>
        </w:rPr>
      </w:pPr>
    </w:p>
    <w:p w:rsidR="00E214E3" w:rsidRDefault="00E214E3" w:rsidP="00201EC9">
      <w:pPr>
        <w:rPr>
          <w:rFonts w:cstheme="minorHAnsi"/>
          <w:b/>
        </w:rPr>
      </w:pPr>
    </w:p>
    <w:p w:rsidR="00E214E3" w:rsidRDefault="00E214E3" w:rsidP="00201EC9">
      <w:pPr>
        <w:rPr>
          <w:rFonts w:cstheme="minorHAnsi"/>
          <w:b/>
        </w:rPr>
      </w:pPr>
    </w:p>
    <w:p w:rsidR="00E214E3" w:rsidRDefault="00E214E3" w:rsidP="00201EC9">
      <w:pPr>
        <w:rPr>
          <w:rFonts w:cstheme="minorHAnsi"/>
          <w:b/>
        </w:rPr>
      </w:pPr>
    </w:p>
    <w:p w:rsidR="00E214E3" w:rsidRDefault="00E214E3" w:rsidP="00201EC9">
      <w:pPr>
        <w:rPr>
          <w:rFonts w:cstheme="minorHAnsi"/>
          <w:b/>
        </w:rPr>
      </w:pPr>
    </w:p>
    <w:p w:rsidR="00E214E3" w:rsidRDefault="00E214E3" w:rsidP="00201EC9">
      <w:pPr>
        <w:rPr>
          <w:rFonts w:cstheme="minorHAnsi"/>
          <w:b/>
        </w:rPr>
      </w:pPr>
    </w:p>
    <w:p w:rsidR="00E214E3" w:rsidRDefault="00E214E3" w:rsidP="00201EC9">
      <w:pPr>
        <w:rPr>
          <w:rFonts w:cstheme="minorHAnsi"/>
          <w:b/>
        </w:rPr>
      </w:pPr>
    </w:p>
    <w:p w:rsidR="00FE2DEE" w:rsidRDefault="00FE2DEE" w:rsidP="00E214E3">
      <w:pPr>
        <w:rPr>
          <w:rFonts w:cstheme="minorHAnsi"/>
          <w:b/>
        </w:rPr>
      </w:pPr>
    </w:p>
    <w:p w:rsidR="004C099D" w:rsidRDefault="004C099D" w:rsidP="00E214E3">
      <w:pPr>
        <w:rPr>
          <w:rFonts w:cstheme="minorHAnsi"/>
          <w:b/>
        </w:rPr>
      </w:pPr>
    </w:p>
    <w:p w:rsidR="004C099D" w:rsidRDefault="004C099D" w:rsidP="00E214E3">
      <w:pPr>
        <w:rPr>
          <w:rFonts w:cstheme="minorHAnsi"/>
          <w:b/>
        </w:rPr>
      </w:pPr>
    </w:p>
    <w:p w:rsidR="004C099D" w:rsidRDefault="004C099D" w:rsidP="00E214E3">
      <w:pPr>
        <w:rPr>
          <w:rFonts w:cstheme="minorHAnsi"/>
          <w:b/>
        </w:rPr>
      </w:pPr>
    </w:p>
    <w:p w:rsidR="004C099D" w:rsidRDefault="004C099D" w:rsidP="00E214E3">
      <w:pPr>
        <w:rPr>
          <w:rFonts w:cstheme="minorHAnsi"/>
          <w:b/>
        </w:rPr>
      </w:pPr>
    </w:p>
    <w:p w:rsidR="007B6923" w:rsidRDefault="007B6923" w:rsidP="00E214E3">
      <w:pPr>
        <w:rPr>
          <w:rFonts w:cstheme="minorHAnsi"/>
          <w:b/>
        </w:rPr>
      </w:pPr>
    </w:p>
    <w:p w:rsidR="006E71D8" w:rsidRDefault="006E71D8" w:rsidP="00E214E3">
      <w:pPr>
        <w:rPr>
          <w:rFonts w:cstheme="minorHAnsi"/>
          <w:b/>
        </w:rPr>
      </w:pPr>
    </w:p>
    <w:p w:rsidR="006E71D8" w:rsidRDefault="006E71D8" w:rsidP="00E214E3">
      <w:pPr>
        <w:rPr>
          <w:rFonts w:cstheme="minorHAnsi"/>
          <w:b/>
        </w:rPr>
      </w:pPr>
    </w:p>
    <w:p w:rsidR="006E71D8" w:rsidRDefault="006E71D8" w:rsidP="00E214E3">
      <w:pPr>
        <w:rPr>
          <w:rFonts w:cstheme="minorHAnsi"/>
          <w:b/>
        </w:rPr>
      </w:pPr>
    </w:p>
    <w:p w:rsidR="006E71D8" w:rsidRDefault="006E71D8" w:rsidP="00E214E3">
      <w:pPr>
        <w:rPr>
          <w:rFonts w:cstheme="minorHAnsi"/>
          <w:b/>
        </w:rPr>
      </w:pPr>
    </w:p>
    <w:p w:rsidR="00E214E3" w:rsidRDefault="004C099D" w:rsidP="00E214E3">
      <w:pPr>
        <w:rPr>
          <w:rFonts w:ascii="Calibri" w:eastAsia="Times New Roman" w:hAnsi="Calibri" w:cs="Calibri"/>
          <w:color w:val="000000"/>
          <w:lang w:eastAsia="en-IE"/>
        </w:rPr>
      </w:pPr>
      <w:r>
        <w:rPr>
          <w:rFonts w:cstheme="minorHAnsi"/>
          <w:b/>
        </w:rPr>
        <w:lastRenderedPageBreak/>
        <w:t xml:space="preserve">Table </w:t>
      </w:r>
      <w:r w:rsidR="00B70292">
        <w:rPr>
          <w:rFonts w:cstheme="minorHAnsi"/>
          <w:b/>
        </w:rPr>
        <w:t>8</w:t>
      </w:r>
      <w:r w:rsidR="00201EC9" w:rsidRPr="00E214E3">
        <w:rPr>
          <w:rFonts w:cstheme="minorHAnsi"/>
          <w:b/>
        </w:rPr>
        <w:t xml:space="preserve">: </w:t>
      </w:r>
      <w:r w:rsidR="00E214E3" w:rsidRPr="00E214E3">
        <w:rPr>
          <w:rFonts w:ascii="Calibri" w:eastAsia="Times New Roman" w:hAnsi="Calibri" w:cs="Calibri"/>
          <w:color w:val="000000"/>
          <w:lang w:eastAsia="en-IE"/>
        </w:rPr>
        <w:t>Ratings in Pavement Surface Condition Index -</w:t>
      </w:r>
      <w:r w:rsidR="000953A0">
        <w:rPr>
          <w:rFonts w:ascii="Calibri" w:eastAsia="Times New Roman" w:hAnsi="Calibri" w:cs="Calibri"/>
          <w:color w:val="000000"/>
          <w:lang w:eastAsia="en-IE"/>
        </w:rPr>
        <w:t xml:space="preserve"> </w:t>
      </w:r>
      <w:r w:rsidR="00E214E3" w:rsidRPr="00E214E3">
        <w:rPr>
          <w:rFonts w:ascii="Calibri" w:eastAsia="Times New Roman" w:hAnsi="Calibri" w:cs="Calibri"/>
          <w:color w:val="000000"/>
          <w:lang w:eastAsia="en-IE"/>
        </w:rPr>
        <w:t>Local Secondary</w:t>
      </w:r>
      <w:r w:rsidR="000F78DF">
        <w:rPr>
          <w:rFonts w:ascii="Calibri" w:eastAsia="Times New Roman" w:hAnsi="Calibri" w:cs="Calibri"/>
          <w:color w:val="000000"/>
          <w:lang w:eastAsia="en-IE"/>
        </w:rPr>
        <w:t xml:space="preserve"> </w:t>
      </w:r>
      <w:r w:rsidR="000F78DF">
        <w:rPr>
          <w:rFonts w:cstheme="minorHAnsi"/>
        </w:rPr>
        <w:t>as at 31/12/2014</w:t>
      </w:r>
    </w:p>
    <w:tbl>
      <w:tblPr>
        <w:tblStyle w:val="LightGrid-Accent5"/>
        <w:tblW w:w="5307" w:type="pct"/>
        <w:tblLook w:val="04A0" w:firstRow="1" w:lastRow="0" w:firstColumn="1" w:lastColumn="0" w:noHBand="0" w:noVBand="1"/>
      </w:tblPr>
      <w:tblGrid>
        <w:gridCol w:w="2324"/>
        <w:gridCol w:w="10"/>
        <w:gridCol w:w="773"/>
        <w:gridCol w:w="783"/>
        <w:gridCol w:w="722"/>
        <w:gridCol w:w="724"/>
        <w:gridCol w:w="722"/>
        <w:gridCol w:w="724"/>
        <w:gridCol w:w="722"/>
        <w:gridCol w:w="724"/>
        <w:gridCol w:w="722"/>
        <w:gridCol w:w="796"/>
        <w:gridCol w:w="63"/>
      </w:tblGrid>
      <w:tr w:rsidR="00631B23" w:rsidRPr="00631B23" w:rsidTr="00771880">
        <w:trPr>
          <w:gridAfter w:val="1"/>
          <w:cnfStyle w:val="100000000000" w:firstRow="1" w:lastRow="0" w:firstColumn="0" w:lastColumn="0" w:oddVBand="0" w:evenVBand="0" w:oddHBand="0" w:evenHBand="0" w:firstRowFirstColumn="0" w:firstRowLastColumn="0" w:lastRowFirstColumn="0" w:lastRowLastColumn="0"/>
          <w:wAfter w:w="32" w:type="pct"/>
          <w:trHeight w:val="534"/>
        </w:trPr>
        <w:tc>
          <w:tcPr>
            <w:cnfStyle w:val="001000000000" w:firstRow="0" w:lastRow="0" w:firstColumn="1" w:lastColumn="0" w:oddVBand="0" w:evenVBand="0" w:oddHBand="0" w:evenHBand="0" w:firstRowFirstColumn="0" w:firstRowLastColumn="0" w:lastRowFirstColumn="0" w:lastRowLastColumn="0"/>
            <w:tcW w:w="1190" w:type="pct"/>
            <w:gridSpan w:val="2"/>
            <w:noWrap/>
            <w:vAlign w:val="center"/>
            <w:hideMark/>
          </w:tcPr>
          <w:p w:rsidR="00631B23" w:rsidRPr="00631B23" w:rsidRDefault="00631B23" w:rsidP="00771880">
            <w:pPr>
              <w:rPr>
                <w:rFonts w:asciiTheme="minorHAnsi" w:hAnsiTheme="minorHAnsi" w:cstheme="minorHAnsi"/>
                <w:sz w:val="20"/>
                <w:szCs w:val="20"/>
              </w:rPr>
            </w:pPr>
          </w:p>
        </w:tc>
        <w:tc>
          <w:tcPr>
            <w:tcW w:w="1530" w:type="pct"/>
            <w:gridSpan w:val="4"/>
            <w:shd w:val="clear" w:color="auto" w:fill="FFBDBD"/>
            <w:vAlign w:val="center"/>
            <w:hideMark/>
          </w:tcPr>
          <w:p w:rsidR="00631B23" w:rsidRPr="00631B23" w:rsidRDefault="00D26CA9" w:rsidP="0077188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eastAsia="Times New Roman" w:hAnsi="Calibri" w:cs="Calibri"/>
                <w:color w:val="000000"/>
                <w:sz w:val="20"/>
                <w:szCs w:val="20"/>
                <w:lang w:eastAsia="en-IE"/>
              </w:rPr>
              <w:t>Structural Distress</w:t>
            </w:r>
          </w:p>
        </w:tc>
        <w:tc>
          <w:tcPr>
            <w:tcW w:w="737" w:type="pct"/>
            <w:gridSpan w:val="2"/>
            <w:shd w:val="clear" w:color="auto" w:fill="FFE89F"/>
            <w:vAlign w:val="center"/>
            <w:hideMark/>
          </w:tcPr>
          <w:p w:rsidR="00631B23" w:rsidRPr="00631B23" w:rsidRDefault="00631B23" w:rsidP="0077188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1B23">
              <w:rPr>
                <w:rFonts w:asciiTheme="minorHAnsi" w:hAnsiTheme="minorHAnsi" w:cstheme="minorHAnsi"/>
                <w:sz w:val="20"/>
                <w:szCs w:val="20"/>
              </w:rPr>
              <w:t>Pavement Defects</w:t>
            </w:r>
          </w:p>
        </w:tc>
        <w:tc>
          <w:tcPr>
            <w:tcW w:w="737" w:type="pct"/>
            <w:gridSpan w:val="2"/>
            <w:shd w:val="clear" w:color="auto" w:fill="9BD4FF"/>
            <w:vAlign w:val="center"/>
            <w:hideMark/>
          </w:tcPr>
          <w:p w:rsidR="00631B23" w:rsidRPr="00631B23" w:rsidRDefault="00631B23" w:rsidP="0077188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1B23">
              <w:rPr>
                <w:rFonts w:asciiTheme="minorHAnsi" w:hAnsiTheme="minorHAnsi" w:cstheme="minorHAnsi"/>
                <w:sz w:val="20"/>
                <w:szCs w:val="20"/>
              </w:rPr>
              <w:t>Surface Defects</w:t>
            </w:r>
          </w:p>
        </w:tc>
        <w:tc>
          <w:tcPr>
            <w:tcW w:w="774" w:type="pct"/>
            <w:gridSpan w:val="2"/>
            <w:shd w:val="clear" w:color="auto" w:fill="ABFFD1"/>
            <w:vAlign w:val="center"/>
            <w:hideMark/>
          </w:tcPr>
          <w:p w:rsidR="00631B23" w:rsidRPr="00631B23" w:rsidRDefault="00631B23" w:rsidP="0077188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1B23">
              <w:rPr>
                <w:rFonts w:asciiTheme="minorHAnsi" w:hAnsiTheme="minorHAnsi" w:cstheme="minorHAnsi"/>
                <w:sz w:val="20"/>
                <w:szCs w:val="20"/>
              </w:rPr>
              <w:t xml:space="preserve">Not Visible/Minor </w:t>
            </w:r>
          </w:p>
        </w:tc>
      </w:tr>
      <w:tr w:rsidR="00631B23" w:rsidRPr="0038089E" w:rsidTr="00631B23">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D36D20">
            <w:pPr>
              <w:jc w:val="cente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Authority</w:t>
            </w:r>
          </w:p>
        </w:tc>
        <w:tc>
          <w:tcPr>
            <w:tcW w:w="399"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Cat. 1</w:t>
            </w:r>
          </w:p>
        </w:tc>
        <w:tc>
          <w:tcPr>
            <w:tcW w:w="39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Cat. 2</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Cat. 3</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Cat. 4</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Cat. 5</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Cat. 6</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Cat. 7</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Cat. 8</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Cat. 9</w:t>
            </w:r>
          </w:p>
        </w:tc>
        <w:tc>
          <w:tcPr>
            <w:tcW w:w="438"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Cat. 10</w:t>
            </w:r>
          </w:p>
        </w:tc>
      </w:tr>
      <w:tr w:rsidR="00631B23" w:rsidRPr="0038089E" w:rsidTr="00631B2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lang w:eastAsia="en-IE"/>
              </w:rPr>
            </w:pPr>
            <w:r w:rsidRPr="0038089E">
              <w:rPr>
                <w:rFonts w:ascii="Calibri" w:eastAsia="Times New Roman" w:hAnsi="Calibri" w:cs="Calibri"/>
                <w:color w:val="000000"/>
                <w:lang w:eastAsia="en-IE"/>
              </w:rPr>
              <w:t> </w:t>
            </w:r>
          </w:p>
        </w:tc>
        <w:tc>
          <w:tcPr>
            <w:tcW w:w="399" w:type="pct"/>
            <w:gridSpan w:val="2"/>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38089E">
              <w:rPr>
                <w:rFonts w:ascii="Calibri" w:eastAsia="Times New Roman" w:hAnsi="Calibri" w:cs="Calibri"/>
                <w:color w:val="000000"/>
                <w:lang w:eastAsia="en-IE"/>
              </w:rPr>
              <w:t> </w:t>
            </w:r>
          </w:p>
        </w:tc>
        <w:tc>
          <w:tcPr>
            <w:tcW w:w="399" w:type="pct"/>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38089E">
              <w:rPr>
                <w:rFonts w:ascii="Calibri" w:eastAsia="Times New Roman" w:hAnsi="Calibri" w:cs="Calibri"/>
                <w:color w:val="000000"/>
                <w:lang w:eastAsia="en-IE"/>
              </w:rPr>
              <w:t> </w:t>
            </w:r>
          </w:p>
        </w:tc>
        <w:tc>
          <w:tcPr>
            <w:tcW w:w="368" w:type="pct"/>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38089E">
              <w:rPr>
                <w:rFonts w:ascii="Calibri" w:eastAsia="Times New Roman" w:hAnsi="Calibri" w:cs="Calibri"/>
                <w:color w:val="000000"/>
                <w:lang w:eastAsia="en-IE"/>
              </w:rPr>
              <w:t> </w:t>
            </w:r>
          </w:p>
        </w:tc>
        <w:tc>
          <w:tcPr>
            <w:tcW w:w="369" w:type="pct"/>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38089E">
              <w:rPr>
                <w:rFonts w:ascii="Calibri" w:eastAsia="Times New Roman" w:hAnsi="Calibri" w:cs="Calibri"/>
                <w:color w:val="000000"/>
                <w:lang w:eastAsia="en-IE"/>
              </w:rPr>
              <w:t> </w:t>
            </w:r>
          </w:p>
        </w:tc>
        <w:tc>
          <w:tcPr>
            <w:tcW w:w="368" w:type="pct"/>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38089E">
              <w:rPr>
                <w:rFonts w:ascii="Calibri" w:eastAsia="Times New Roman" w:hAnsi="Calibri" w:cs="Calibri"/>
                <w:color w:val="000000"/>
                <w:lang w:eastAsia="en-IE"/>
              </w:rPr>
              <w:t> </w:t>
            </w:r>
          </w:p>
        </w:tc>
        <w:tc>
          <w:tcPr>
            <w:tcW w:w="369" w:type="pct"/>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38089E">
              <w:rPr>
                <w:rFonts w:ascii="Calibri" w:eastAsia="Times New Roman" w:hAnsi="Calibri" w:cs="Calibri"/>
                <w:color w:val="000000"/>
                <w:lang w:eastAsia="en-IE"/>
              </w:rPr>
              <w:t> </w:t>
            </w:r>
          </w:p>
        </w:tc>
        <w:tc>
          <w:tcPr>
            <w:tcW w:w="368" w:type="pct"/>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38089E">
              <w:rPr>
                <w:rFonts w:ascii="Calibri" w:eastAsia="Times New Roman" w:hAnsi="Calibri" w:cs="Calibri"/>
                <w:color w:val="000000"/>
                <w:lang w:eastAsia="en-IE"/>
              </w:rPr>
              <w:t> </w:t>
            </w:r>
          </w:p>
        </w:tc>
        <w:tc>
          <w:tcPr>
            <w:tcW w:w="369" w:type="pct"/>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p>
        </w:tc>
        <w:tc>
          <w:tcPr>
            <w:tcW w:w="368" w:type="pct"/>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p>
        </w:tc>
        <w:tc>
          <w:tcPr>
            <w:tcW w:w="438" w:type="pct"/>
            <w:gridSpan w:val="2"/>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38089E">
              <w:rPr>
                <w:rFonts w:ascii="Calibri" w:eastAsia="Times New Roman" w:hAnsi="Calibri" w:cs="Calibri"/>
                <w:color w:val="000000"/>
                <w:lang w:eastAsia="en-IE"/>
              </w:rPr>
              <w:t> </w:t>
            </w:r>
          </w:p>
        </w:tc>
      </w:tr>
      <w:tr w:rsidR="00631B23" w:rsidRPr="0038089E" w:rsidTr="00631B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Carlow County</w:t>
            </w:r>
          </w:p>
        </w:tc>
        <w:tc>
          <w:tcPr>
            <w:tcW w:w="399"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39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6</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16</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32</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34</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10</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w:t>
            </w:r>
          </w:p>
        </w:tc>
        <w:tc>
          <w:tcPr>
            <w:tcW w:w="438"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vertAlign w:val="superscript"/>
                <w:lang w:eastAsia="en-IE"/>
              </w:rPr>
            </w:pPr>
            <w:r w:rsidRPr="0038089E">
              <w:rPr>
                <w:rFonts w:ascii="Calibri" w:eastAsia="Times New Roman" w:hAnsi="Calibri" w:cs="Calibri"/>
                <w:color w:val="000000"/>
                <w:sz w:val="18"/>
                <w:szCs w:val="18"/>
                <w:lang w:eastAsia="en-IE"/>
              </w:rPr>
              <w:t>0</w:t>
            </w:r>
          </w:p>
        </w:tc>
      </w:tr>
      <w:tr w:rsidR="00631B23" w:rsidRPr="0038089E" w:rsidTr="00631B2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Cavan County</w:t>
            </w:r>
          </w:p>
        </w:tc>
        <w:tc>
          <w:tcPr>
            <w:tcW w:w="399" w:type="pct"/>
            <w:gridSpan w:val="2"/>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w:t>
            </w:r>
          </w:p>
        </w:tc>
        <w:tc>
          <w:tcPr>
            <w:tcW w:w="39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9</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19</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33</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25</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8</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3</w:t>
            </w:r>
          </w:p>
        </w:tc>
        <w:tc>
          <w:tcPr>
            <w:tcW w:w="438" w:type="pct"/>
            <w:gridSpan w:val="2"/>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r>
      <w:tr w:rsidR="00631B23" w:rsidRPr="0038089E" w:rsidTr="00631B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Clare County</w:t>
            </w:r>
          </w:p>
        </w:tc>
        <w:tc>
          <w:tcPr>
            <w:tcW w:w="399"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39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15</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11</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18</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25</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23</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3</w:t>
            </w:r>
          </w:p>
        </w:tc>
        <w:tc>
          <w:tcPr>
            <w:tcW w:w="438"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3</w:t>
            </w:r>
          </w:p>
        </w:tc>
      </w:tr>
      <w:tr w:rsidR="00707DCE" w:rsidRPr="0038089E" w:rsidTr="00631B2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707DCE" w:rsidRPr="0038089E" w:rsidRDefault="00707DC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Cork City</w:t>
            </w:r>
          </w:p>
        </w:tc>
        <w:tc>
          <w:tcPr>
            <w:tcW w:w="399" w:type="pct"/>
            <w:gridSpan w:val="2"/>
            <w:hideMark/>
          </w:tcPr>
          <w:p w:rsidR="00707DCE" w:rsidRPr="0038089E" w:rsidRDefault="00707DC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vertAlign w:val="superscript"/>
                <w:lang w:eastAsia="en-IE"/>
              </w:rPr>
            </w:pPr>
            <w:r w:rsidRPr="0038089E">
              <w:rPr>
                <w:rFonts w:ascii="Calibri" w:eastAsia="Times New Roman" w:hAnsi="Calibri" w:cs="Calibri"/>
                <w:color w:val="000000"/>
                <w:sz w:val="18"/>
                <w:szCs w:val="18"/>
                <w:lang w:eastAsia="en-IE"/>
              </w:rPr>
              <w:t>N/A</w:t>
            </w:r>
            <w:r>
              <w:rPr>
                <w:rFonts w:ascii="Calibri" w:eastAsia="Times New Roman" w:hAnsi="Calibri" w:cs="Calibri"/>
                <w:color w:val="000000"/>
                <w:sz w:val="18"/>
                <w:szCs w:val="18"/>
                <w:vertAlign w:val="superscript"/>
                <w:lang w:eastAsia="en-IE"/>
              </w:rPr>
              <w:t xml:space="preserve"> </w:t>
            </w:r>
          </w:p>
        </w:tc>
        <w:tc>
          <w:tcPr>
            <w:tcW w:w="399" w:type="pct"/>
            <w:noWrap/>
            <w:hideMark/>
          </w:tcPr>
          <w:p w:rsidR="00707DCE" w:rsidRDefault="00707DCE">
            <w:pPr>
              <w:cnfStyle w:val="000000010000" w:firstRow="0" w:lastRow="0" w:firstColumn="0" w:lastColumn="0" w:oddVBand="0" w:evenVBand="0" w:oddHBand="0" w:evenHBand="1" w:firstRowFirstColumn="0" w:firstRowLastColumn="0" w:lastRowFirstColumn="0" w:lastRowLastColumn="0"/>
            </w:pPr>
            <w:r w:rsidRPr="00F15B94">
              <w:rPr>
                <w:rFonts w:ascii="Calibri" w:eastAsia="Times New Roman" w:hAnsi="Calibri" w:cs="Calibri"/>
                <w:color w:val="000000"/>
                <w:sz w:val="18"/>
                <w:szCs w:val="18"/>
                <w:lang w:eastAsia="en-IE"/>
              </w:rPr>
              <w:t>N/A</w:t>
            </w:r>
          </w:p>
        </w:tc>
        <w:tc>
          <w:tcPr>
            <w:tcW w:w="368" w:type="pct"/>
            <w:noWrap/>
            <w:hideMark/>
          </w:tcPr>
          <w:p w:rsidR="00707DCE" w:rsidRDefault="00707DCE">
            <w:pPr>
              <w:cnfStyle w:val="000000010000" w:firstRow="0" w:lastRow="0" w:firstColumn="0" w:lastColumn="0" w:oddVBand="0" w:evenVBand="0" w:oddHBand="0" w:evenHBand="1" w:firstRowFirstColumn="0" w:firstRowLastColumn="0" w:lastRowFirstColumn="0" w:lastRowLastColumn="0"/>
            </w:pPr>
            <w:r w:rsidRPr="00F15B94">
              <w:rPr>
                <w:rFonts w:ascii="Calibri" w:eastAsia="Times New Roman" w:hAnsi="Calibri" w:cs="Calibri"/>
                <w:color w:val="000000"/>
                <w:sz w:val="18"/>
                <w:szCs w:val="18"/>
                <w:lang w:eastAsia="en-IE"/>
              </w:rPr>
              <w:t>N/A</w:t>
            </w:r>
          </w:p>
        </w:tc>
        <w:tc>
          <w:tcPr>
            <w:tcW w:w="369" w:type="pct"/>
            <w:noWrap/>
            <w:hideMark/>
          </w:tcPr>
          <w:p w:rsidR="00707DCE" w:rsidRDefault="00707DCE">
            <w:pPr>
              <w:cnfStyle w:val="000000010000" w:firstRow="0" w:lastRow="0" w:firstColumn="0" w:lastColumn="0" w:oddVBand="0" w:evenVBand="0" w:oddHBand="0" w:evenHBand="1" w:firstRowFirstColumn="0" w:firstRowLastColumn="0" w:lastRowFirstColumn="0" w:lastRowLastColumn="0"/>
            </w:pPr>
            <w:r w:rsidRPr="00F15B94">
              <w:rPr>
                <w:rFonts w:ascii="Calibri" w:eastAsia="Times New Roman" w:hAnsi="Calibri" w:cs="Calibri"/>
                <w:color w:val="000000"/>
                <w:sz w:val="18"/>
                <w:szCs w:val="18"/>
                <w:lang w:eastAsia="en-IE"/>
              </w:rPr>
              <w:t>N/A</w:t>
            </w:r>
          </w:p>
        </w:tc>
        <w:tc>
          <w:tcPr>
            <w:tcW w:w="368" w:type="pct"/>
            <w:noWrap/>
            <w:hideMark/>
          </w:tcPr>
          <w:p w:rsidR="00707DCE" w:rsidRDefault="00707DCE">
            <w:pPr>
              <w:cnfStyle w:val="000000010000" w:firstRow="0" w:lastRow="0" w:firstColumn="0" w:lastColumn="0" w:oddVBand="0" w:evenVBand="0" w:oddHBand="0" w:evenHBand="1" w:firstRowFirstColumn="0" w:firstRowLastColumn="0" w:lastRowFirstColumn="0" w:lastRowLastColumn="0"/>
            </w:pPr>
            <w:r w:rsidRPr="00F15B94">
              <w:rPr>
                <w:rFonts w:ascii="Calibri" w:eastAsia="Times New Roman" w:hAnsi="Calibri" w:cs="Calibri"/>
                <w:color w:val="000000"/>
                <w:sz w:val="18"/>
                <w:szCs w:val="18"/>
                <w:lang w:eastAsia="en-IE"/>
              </w:rPr>
              <w:t>N/A</w:t>
            </w:r>
          </w:p>
        </w:tc>
        <w:tc>
          <w:tcPr>
            <w:tcW w:w="369" w:type="pct"/>
            <w:noWrap/>
            <w:hideMark/>
          </w:tcPr>
          <w:p w:rsidR="00707DCE" w:rsidRDefault="00707DCE">
            <w:pPr>
              <w:cnfStyle w:val="000000010000" w:firstRow="0" w:lastRow="0" w:firstColumn="0" w:lastColumn="0" w:oddVBand="0" w:evenVBand="0" w:oddHBand="0" w:evenHBand="1" w:firstRowFirstColumn="0" w:firstRowLastColumn="0" w:lastRowFirstColumn="0" w:lastRowLastColumn="0"/>
            </w:pPr>
            <w:r w:rsidRPr="00F15B94">
              <w:rPr>
                <w:rFonts w:ascii="Calibri" w:eastAsia="Times New Roman" w:hAnsi="Calibri" w:cs="Calibri"/>
                <w:color w:val="000000"/>
                <w:sz w:val="18"/>
                <w:szCs w:val="18"/>
                <w:lang w:eastAsia="en-IE"/>
              </w:rPr>
              <w:t>N/A</w:t>
            </w:r>
          </w:p>
        </w:tc>
        <w:tc>
          <w:tcPr>
            <w:tcW w:w="368" w:type="pct"/>
            <w:noWrap/>
            <w:hideMark/>
          </w:tcPr>
          <w:p w:rsidR="00707DCE" w:rsidRDefault="00707DCE">
            <w:pPr>
              <w:cnfStyle w:val="000000010000" w:firstRow="0" w:lastRow="0" w:firstColumn="0" w:lastColumn="0" w:oddVBand="0" w:evenVBand="0" w:oddHBand="0" w:evenHBand="1" w:firstRowFirstColumn="0" w:firstRowLastColumn="0" w:lastRowFirstColumn="0" w:lastRowLastColumn="0"/>
            </w:pPr>
            <w:r w:rsidRPr="00F15B94">
              <w:rPr>
                <w:rFonts w:ascii="Calibri" w:eastAsia="Times New Roman" w:hAnsi="Calibri" w:cs="Calibri"/>
                <w:color w:val="000000"/>
                <w:sz w:val="18"/>
                <w:szCs w:val="18"/>
                <w:lang w:eastAsia="en-IE"/>
              </w:rPr>
              <w:t>N/A</w:t>
            </w:r>
          </w:p>
        </w:tc>
        <w:tc>
          <w:tcPr>
            <w:tcW w:w="369" w:type="pct"/>
            <w:noWrap/>
            <w:hideMark/>
          </w:tcPr>
          <w:p w:rsidR="00707DCE" w:rsidRDefault="00707DCE">
            <w:pPr>
              <w:cnfStyle w:val="000000010000" w:firstRow="0" w:lastRow="0" w:firstColumn="0" w:lastColumn="0" w:oddVBand="0" w:evenVBand="0" w:oddHBand="0" w:evenHBand="1" w:firstRowFirstColumn="0" w:firstRowLastColumn="0" w:lastRowFirstColumn="0" w:lastRowLastColumn="0"/>
            </w:pPr>
            <w:r w:rsidRPr="00F15B94">
              <w:rPr>
                <w:rFonts w:ascii="Calibri" w:eastAsia="Times New Roman" w:hAnsi="Calibri" w:cs="Calibri"/>
                <w:color w:val="000000"/>
                <w:sz w:val="18"/>
                <w:szCs w:val="18"/>
                <w:lang w:eastAsia="en-IE"/>
              </w:rPr>
              <w:t>N/A</w:t>
            </w:r>
          </w:p>
        </w:tc>
        <w:tc>
          <w:tcPr>
            <w:tcW w:w="368" w:type="pct"/>
            <w:noWrap/>
            <w:hideMark/>
          </w:tcPr>
          <w:p w:rsidR="00707DCE" w:rsidRDefault="00707DCE">
            <w:pPr>
              <w:cnfStyle w:val="000000010000" w:firstRow="0" w:lastRow="0" w:firstColumn="0" w:lastColumn="0" w:oddVBand="0" w:evenVBand="0" w:oddHBand="0" w:evenHBand="1" w:firstRowFirstColumn="0" w:firstRowLastColumn="0" w:lastRowFirstColumn="0" w:lastRowLastColumn="0"/>
            </w:pPr>
            <w:r w:rsidRPr="00F15B94">
              <w:rPr>
                <w:rFonts w:ascii="Calibri" w:eastAsia="Times New Roman" w:hAnsi="Calibri" w:cs="Calibri"/>
                <w:color w:val="000000"/>
                <w:sz w:val="18"/>
                <w:szCs w:val="18"/>
                <w:lang w:eastAsia="en-IE"/>
              </w:rPr>
              <w:t>N/A</w:t>
            </w:r>
          </w:p>
        </w:tc>
        <w:tc>
          <w:tcPr>
            <w:tcW w:w="438" w:type="pct"/>
            <w:gridSpan w:val="2"/>
            <w:noWrap/>
            <w:hideMark/>
          </w:tcPr>
          <w:p w:rsidR="00707DCE" w:rsidRPr="0038089E" w:rsidRDefault="00707DC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vertAlign w:val="superscript"/>
                <w:lang w:eastAsia="en-IE"/>
              </w:rPr>
            </w:pPr>
            <w:r w:rsidRPr="0038089E">
              <w:rPr>
                <w:rFonts w:ascii="Calibri" w:eastAsia="Times New Roman" w:hAnsi="Calibri" w:cs="Calibri"/>
                <w:color w:val="000000"/>
                <w:sz w:val="18"/>
                <w:szCs w:val="18"/>
                <w:lang w:eastAsia="en-IE"/>
              </w:rPr>
              <w:t>N/A</w:t>
            </w:r>
            <w:r>
              <w:rPr>
                <w:rFonts w:ascii="Calibri" w:eastAsia="Times New Roman" w:hAnsi="Calibri" w:cs="Calibri"/>
                <w:color w:val="000000"/>
                <w:sz w:val="18"/>
                <w:szCs w:val="18"/>
                <w:vertAlign w:val="superscript"/>
                <w:lang w:eastAsia="en-IE"/>
              </w:rPr>
              <w:t xml:space="preserve"> </w:t>
            </w:r>
          </w:p>
        </w:tc>
      </w:tr>
      <w:tr w:rsidR="00631B23" w:rsidRPr="0038089E" w:rsidTr="00631B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Cork County</w:t>
            </w:r>
          </w:p>
        </w:tc>
        <w:tc>
          <w:tcPr>
            <w:tcW w:w="399"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0.47</w:t>
            </w:r>
          </w:p>
        </w:tc>
        <w:tc>
          <w:tcPr>
            <w:tcW w:w="39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1.48</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4.49</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16.63</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10.95</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15.48</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22.34</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17.34</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8.64</w:t>
            </w:r>
          </w:p>
        </w:tc>
        <w:tc>
          <w:tcPr>
            <w:tcW w:w="438"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2.16</w:t>
            </w:r>
          </w:p>
        </w:tc>
      </w:tr>
      <w:tr w:rsidR="00631B23" w:rsidRPr="0038089E" w:rsidTr="00631B2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Donegal County</w:t>
            </w:r>
          </w:p>
        </w:tc>
        <w:tc>
          <w:tcPr>
            <w:tcW w:w="399" w:type="pct"/>
            <w:gridSpan w:val="2"/>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1.82</w:t>
            </w:r>
          </w:p>
        </w:tc>
        <w:tc>
          <w:tcPr>
            <w:tcW w:w="39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2.93</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2.46</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1.26</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15.09</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23.71</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19.75</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10.44</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11.58</w:t>
            </w:r>
          </w:p>
        </w:tc>
        <w:tc>
          <w:tcPr>
            <w:tcW w:w="438" w:type="pct"/>
            <w:gridSpan w:val="2"/>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vertAlign w:val="superscript"/>
                <w:lang w:eastAsia="en-IE"/>
              </w:rPr>
            </w:pPr>
            <w:r w:rsidRPr="0038089E">
              <w:rPr>
                <w:rFonts w:ascii="Calibri" w:eastAsia="Times New Roman" w:hAnsi="Calibri" w:cs="Calibri"/>
                <w:color w:val="000000"/>
                <w:sz w:val="18"/>
                <w:szCs w:val="18"/>
                <w:lang w:eastAsia="en-IE"/>
              </w:rPr>
              <w:t>0.95</w:t>
            </w:r>
          </w:p>
        </w:tc>
      </w:tr>
      <w:tr w:rsidR="00631B23" w:rsidRPr="0038089E" w:rsidTr="00631B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Dublin City</w:t>
            </w:r>
          </w:p>
        </w:tc>
        <w:tc>
          <w:tcPr>
            <w:tcW w:w="399"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39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1.42</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1.04</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17.8</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8.35</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34.74</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4.31</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11.01</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15.86</w:t>
            </w:r>
          </w:p>
        </w:tc>
        <w:tc>
          <w:tcPr>
            <w:tcW w:w="438"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6.9</w:t>
            </w:r>
          </w:p>
        </w:tc>
      </w:tr>
      <w:tr w:rsidR="00631B23" w:rsidRPr="0038089E" w:rsidTr="00631B2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 xml:space="preserve">Dun Laoghaire </w:t>
            </w:r>
            <w:proofErr w:type="spellStart"/>
            <w:r w:rsidRPr="0038089E">
              <w:rPr>
                <w:rFonts w:ascii="Calibri" w:eastAsia="Times New Roman" w:hAnsi="Calibri" w:cs="Calibri"/>
                <w:color w:val="000000"/>
                <w:sz w:val="20"/>
                <w:szCs w:val="20"/>
                <w:lang w:eastAsia="en-IE"/>
              </w:rPr>
              <w:t>Rathdown</w:t>
            </w:r>
            <w:proofErr w:type="spellEnd"/>
          </w:p>
        </w:tc>
        <w:tc>
          <w:tcPr>
            <w:tcW w:w="399" w:type="pct"/>
            <w:gridSpan w:val="2"/>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vertAlign w:val="superscript"/>
                <w:lang w:eastAsia="en-IE"/>
              </w:rPr>
            </w:pPr>
            <w:r w:rsidRPr="0038089E">
              <w:rPr>
                <w:rFonts w:ascii="Calibri" w:eastAsia="Times New Roman" w:hAnsi="Calibri" w:cs="Calibri"/>
                <w:color w:val="000000"/>
                <w:sz w:val="18"/>
                <w:szCs w:val="18"/>
                <w:lang w:eastAsia="en-IE"/>
              </w:rPr>
              <w:t> N/A</w:t>
            </w:r>
          </w:p>
        </w:tc>
        <w:tc>
          <w:tcPr>
            <w:tcW w:w="39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N/A </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N/A </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N.A </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 N/A</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 N/A</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 N/A</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 N/A</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N/A </w:t>
            </w:r>
          </w:p>
        </w:tc>
        <w:tc>
          <w:tcPr>
            <w:tcW w:w="438" w:type="pct"/>
            <w:gridSpan w:val="2"/>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vertAlign w:val="superscript"/>
                <w:lang w:eastAsia="en-IE"/>
              </w:rPr>
            </w:pPr>
            <w:r w:rsidRPr="0038089E">
              <w:rPr>
                <w:rFonts w:ascii="Calibri" w:eastAsia="Times New Roman" w:hAnsi="Calibri" w:cs="Calibri"/>
                <w:color w:val="000000"/>
                <w:sz w:val="18"/>
                <w:szCs w:val="18"/>
                <w:lang w:eastAsia="en-IE"/>
              </w:rPr>
              <w:t>N/A</w:t>
            </w:r>
          </w:p>
        </w:tc>
      </w:tr>
      <w:tr w:rsidR="00631B23" w:rsidRPr="0038089E" w:rsidTr="00631B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sz w:val="20"/>
                <w:szCs w:val="20"/>
                <w:lang w:eastAsia="en-IE"/>
              </w:rPr>
            </w:pPr>
            <w:proofErr w:type="spellStart"/>
            <w:r w:rsidRPr="0038089E">
              <w:rPr>
                <w:rFonts w:ascii="Calibri" w:eastAsia="Times New Roman" w:hAnsi="Calibri" w:cs="Calibri"/>
                <w:color w:val="000000"/>
                <w:sz w:val="20"/>
                <w:szCs w:val="20"/>
                <w:lang w:eastAsia="en-IE"/>
              </w:rPr>
              <w:t>Fingal</w:t>
            </w:r>
            <w:proofErr w:type="spellEnd"/>
            <w:r w:rsidRPr="0038089E">
              <w:rPr>
                <w:rFonts w:ascii="Calibri" w:eastAsia="Times New Roman" w:hAnsi="Calibri" w:cs="Calibri"/>
                <w:color w:val="000000"/>
                <w:sz w:val="20"/>
                <w:szCs w:val="20"/>
                <w:lang w:eastAsia="en-IE"/>
              </w:rPr>
              <w:t xml:space="preserve"> County</w:t>
            </w:r>
          </w:p>
        </w:tc>
        <w:tc>
          <w:tcPr>
            <w:tcW w:w="399"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vertAlign w:val="superscript"/>
                <w:lang w:eastAsia="en-IE"/>
              </w:rPr>
            </w:pPr>
            <w:r w:rsidRPr="0038089E">
              <w:rPr>
                <w:rFonts w:ascii="Calibri" w:eastAsia="Times New Roman" w:hAnsi="Calibri" w:cs="Calibri"/>
                <w:color w:val="000000"/>
                <w:sz w:val="18"/>
                <w:szCs w:val="18"/>
                <w:lang w:eastAsia="en-IE"/>
              </w:rPr>
              <w:t>N/A</w:t>
            </w:r>
          </w:p>
        </w:tc>
        <w:tc>
          <w:tcPr>
            <w:tcW w:w="39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N/A</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N/A</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N/A</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N/A</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N/A</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N/A</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N/A</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N/A</w:t>
            </w:r>
          </w:p>
        </w:tc>
        <w:tc>
          <w:tcPr>
            <w:tcW w:w="438"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N/A</w:t>
            </w:r>
          </w:p>
        </w:tc>
      </w:tr>
      <w:tr w:rsidR="00631B23" w:rsidRPr="0038089E" w:rsidTr="00631B2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Galway City</w:t>
            </w:r>
          </w:p>
        </w:tc>
        <w:tc>
          <w:tcPr>
            <w:tcW w:w="399" w:type="pct"/>
            <w:gridSpan w:val="2"/>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1.9</w:t>
            </w:r>
          </w:p>
        </w:tc>
        <w:tc>
          <w:tcPr>
            <w:tcW w:w="39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0.22</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0.86</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24.48</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28.4</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34.54</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9.2</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0.26</w:t>
            </w:r>
          </w:p>
        </w:tc>
        <w:tc>
          <w:tcPr>
            <w:tcW w:w="438" w:type="pct"/>
            <w:gridSpan w:val="2"/>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r>
      <w:tr w:rsidR="00631B23" w:rsidRPr="0038089E" w:rsidTr="00631B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Galway County</w:t>
            </w:r>
          </w:p>
        </w:tc>
        <w:tc>
          <w:tcPr>
            <w:tcW w:w="399"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0.08</w:t>
            </w:r>
          </w:p>
        </w:tc>
        <w:tc>
          <w:tcPr>
            <w:tcW w:w="39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0.73</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2.2</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12.58</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15.28</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25.51</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22.83</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16.29</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4.27</w:t>
            </w:r>
          </w:p>
        </w:tc>
        <w:tc>
          <w:tcPr>
            <w:tcW w:w="438"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0.22</w:t>
            </w:r>
          </w:p>
        </w:tc>
      </w:tr>
      <w:tr w:rsidR="00631B23" w:rsidRPr="0038089E" w:rsidTr="00631B2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Kerry County</w:t>
            </w:r>
          </w:p>
        </w:tc>
        <w:tc>
          <w:tcPr>
            <w:tcW w:w="399" w:type="pct"/>
            <w:gridSpan w:val="2"/>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0.4</w:t>
            </w:r>
          </w:p>
        </w:tc>
        <w:tc>
          <w:tcPr>
            <w:tcW w:w="39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2.7</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4.8</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16.6</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14.7</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13.7</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27.5</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8.3</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9.6</w:t>
            </w:r>
          </w:p>
        </w:tc>
        <w:tc>
          <w:tcPr>
            <w:tcW w:w="438" w:type="pct"/>
            <w:gridSpan w:val="2"/>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1.7</w:t>
            </w:r>
          </w:p>
        </w:tc>
      </w:tr>
      <w:tr w:rsidR="00631B23" w:rsidRPr="0038089E" w:rsidTr="00631B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Kildare County</w:t>
            </w:r>
          </w:p>
        </w:tc>
        <w:tc>
          <w:tcPr>
            <w:tcW w:w="399"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0.94</w:t>
            </w:r>
          </w:p>
        </w:tc>
        <w:tc>
          <w:tcPr>
            <w:tcW w:w="39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1.18</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2.82</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11.29</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11.53</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26.35</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13.65</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18.35</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11.29</w:t>
            </w:r>
          </w:p>
        </w:tc>
        <w:tc>
          <w:tcPr>
            <w:tcW w:w="438"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2.59</w:t>
            </w:r>
          </w:p>
        </w:tc>
      </w:tr>
      <w:tr w:rsidR="00631B23" w:rsidRPr="0038089E" w:rsidTr="00631B2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Kilkenny County</w:t>
            </w:r>
          </w:p>
        </w:tc>
        <w:tc>
          <w:tcPr>
            <w:tcW w:w="399" w:type="pct"/>
            <w:gridSpan w:val="2"/>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39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3</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10</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17</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20</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16</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12</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14</w:t>
            </w:r>
          </w:p>
        </w:tc>
        <w:tc>
          <w:tcPr>
            <w:tcW w:w="438" w:type="pct"/>
            <w:gridSpan w:val="2"/>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6</w:t>
            </w:r>
          </w:p>
        </w:tc>
      </w:tr>
      <w:tr w:rsidR="00631B23" w:rsidRPr="0038089E" w:rsidTr="00631B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Laois County</w:t>
            </w:r>
          </w:p>
        </w:tc>
        <w:tc>
          <w:tcPr>
            <w:tcW w:w="399"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39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3</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13</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16</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25</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21</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14</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6</w:t>
            </w:r>
          </w:p>
        </w:tc>
        <w:tc>
          <w:tcPr>
            <w:tcW w:w="438"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r>
      <w:tr w:rsidR="00631B23" w:rsidRPr="0038089E" w:rsidTr="00631B2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Leitrim County</w:t>
            </w:r>
          </w:p>
        </w:tc>
        <w:tc>
          <w:tcPr>
            <w:tcW w:w="399" w:type="pct"/>
            <w:gridSpan w:val="2"/>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39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6</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21</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30</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32</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8</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w:t>
            </w:r>
          </w:p>
        </w:tc>
        <w:tc>
          <w:tcPr>
            <w:tcW w:w="438" w:type="pct"/>
            <w:gridSpan w:val="2"/>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vertAlign w:val="superscript"/>
                <w:lang w:eastAsia="en-IE"/>
              </w:rPr>
            </w:pPr>
          </w:p>
        </w:tc>
      </w:tr>
      <w:tr w:rsidR="00631B23" w:rsidRPr="0038089E" w:rsidTr="00631B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Limerick City &amp; County</w:t>
            </w:r>
          </w:p>
        </w:tc>
        <w:tc>
          <w:tcPr>
            <w:tcW w:w="399"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0.19</w:t>
            </w:r>
          </w:p>
        </w:tc>
        <w:tc>
          <w:tcPr>
            <w:tcW w:w="39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0.14</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0.66</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4.64</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11.21</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23.25</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39.49</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15.45</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4.13</w:t>
            </w:r>
          </w:p>
        </w:tc>
        <w:tc>
          <w:tcPr>
            <w:tcW w:w="438"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vertAlign w:val="superscript"/>
                <w:lang w:eastAsia="en-IE"/>
              </w:rPr>
            </w:pPr>
            <w:r w:rsidRPr="0038089E">
              <w:rPr>
                <w:rFonts w:ascii="Calibri" w:eastAsia="Times New Roman" w:hAnsi="Calibri" w:cs="Calibri"/>
                <w:color w:val="000000"/>
                <w:sz w:val="18"/>
                <w:szCs w:val="18"/>
                <w:lang w:eastAsia="en-IE"/>
              </w:rPr>
              <w:t>0.85</w:t>
            </w:r>
          </w:p>
        </w:tc>
      </w:tr>
      <w:tr w:rsidR="00631B23" w:rsidRPr="0038089E" w:rsidTr="00631B2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Longford County</w:t>
            </w:r>
          </w:p>
        </w:tc>
        <w:tc>
          <w:tcPr>
            <w:tcW w:w="399" w:type="pct"/>
            <w:gridSpan w:val="2"/>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39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4</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11</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22</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5</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7</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51</w:t>
            </w:r>
          </w:p>
        </w:tc>
        <w:tc>
          <w:tcPr>
            <w:tcW w:w="438" w:type="pct"/>
            <w:gridSpan w:val="2"/>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r>
      <w:tr w:rsidR="00631B23" w:rsidRPr="0038089E" w:rsidTr="00631B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Louth County</w:t>
            </w:r>
          </w:p>
        </w:tc>
        <w:tc>
          <w:tcPr>
            <w:tcW w:w="399"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39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6</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21</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40</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23</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8</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w:t>
            </w:r>
          </w:p>
        </w:tc>
        <w:tc>
          <w:tcPr>
            <w:tcW w:w="438"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r>
      <w:tr w:rsidR="00631B23" w:rsidRPr="0038089E" w:rsidTr="00631B2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Mayo County</w:t>
            </w:r>
          </w:p>
        </w:tc>
        <w:tc>
          <w:tcPr>
            <w:tcW w:w="399" w:type="pct"/>
            <w:gridSpan w:val="2"/>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39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2.31</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11.46</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6.61</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3.46</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10.11</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3.58</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51.34</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11.13</w:t>
            </w:r>
          </w:p>
        </w:tc>
        <w:tc>
          <w:tcPr>
            <w:tcW w:w="438" w:type="pct"/>
            <w:gridSpan w:val="2"/>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r>
      <w:tr w:rsidR="00707DCE" w:rsidRPr="0038089E" w:rsidTr="005D01A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707DCE" w:rsidRPr="0038089E" w:rsidRDefault="00707DC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Meath County</w:t>
            </w:r>
          </w:p>
        </w:tc>
        <w:tc>
          <w:tcPr>
            <w:tcW w:w="399" w:type="pct"/>
            <w:gridSpan w:val="2"/>
            <w:vAlign w:val="center"/>
            <w:hideMark/>
          </w:tcPr>
          <w:p w:rsidR="00707DCE" w:rsidRDefault="00707DCE" w:rsidP="005D01AB">
            <w:pPr>
              <w:jc w:val="center"/>
              <w:cnfStyle w:val="000000100000" w:firstRow="0" w:lastRow="0" w:firstColumn="0" w:lastColumn="0" w:oddVBand="0" w:evenVBand="0" w:oddHBand="1" w:evenHBand="0" w:firstRowFirstColumn="0" w:firstRowLastColumn="0" w:lastRowFirstColumn="0" w:lastRowLastColumn="0"/>
            </w:pPr>
            <w:r w:rsidRPr="00C64000">
              <w:rPr>
                <w:rFonts w:ascii="Calibri" w:eastAsia="Times New Roman" w:hAnsi="Calibri" w:cs="Calibri"/>
                <w:color w:val="000000"/>
                <w:sz w:val="18"/>
                <w:szCs w:val="18"/>
                <w:lang w:eastAsia="en-IE"/>
              </w:rPr>
              <w:t>N/A</w:t>
            </w:r>
          </w:p>
        </w:tc>
        <w:tc>
          <w:tcPr>
            <w:tcW w:w="399" w:type="pct"/>
            <w:vAlign w:val="center"/>
            <w:hideMark/>
          </w:tcPr>
          <w:p w:rsidR="00707DCE" w:rsidRDefault="00707DCE" w:rsidP="005D01AB">
            <w:pPr>
              <w:jc w:val="center"/>
              <w:cnfStyle w:val="000000100000" w:firstRow="0" w:lastRow="0" w:firstColumn="0" w:lastColumn="0" w:oddVBand="0" w:evenVBand="0" w:oddHBand="1" w:evenHBand="0" w:firstRowFirstColumn="0" w:firstRowLastColumn="0" w:lastRowFirstColumn="0" w:lastRowLastColumn="0"/>
            </w:pPr>
            <w:r w:rsidRPr="00C64000">
              <w:rPr>
                <w:rFonts w:ascii="Calibri" w:eastAsia="Times New Roman" w:hAnsi="Calibri" w:cs="Calibri"/>
                <w:color w:val="000000"/>
                <w:sz w:val="18"/>
                <w:szCs w:val="18"/>
                <w:lang w:eastAsia="en-IE"/>
              </w:rPr>
              <w:t>N/A</w:t>
            </w:r>
          </w:p>
        </w:tc>
        <w:tc>
          <w:tcPr>
            <w:tcW w:w="368" w:type="pct"/>
            <w:vAlign w:val="center"/>
            <w:hideMark/>
          </w:tcPr>
          <w:p w:rsidR="00707DCE" w:rsidRDefault="00707DCE" w:rsidP="005D01AB">
            <w:pPr>
              <w:jc w:val="center"/>
              <w:cnfStyle w:val="000000100000" w:firstRow="0" w:lastRow="0" w:firstColumn="0" w:lastColumn="0" w:oddVBand="0" w:evenVBand="0" w:oddHBand="1" w:evenHBand="0" w:firstRowFirstColumn="0" w:firstRowLastColumn="0" w:lastRowFirstColumn="0" w:lastRowLastColumn="0"/>
            </w:pPr>
            <w:r w:rsidRPr="00C64000">
              <w:rPr>
                <w:rFonts w:ascii="Calibri" w:eastAsia="Times New Roman" w:hAnsi="Calibri" w:cs="Calibri"/>
                <w:color w:val="000000"/>
                <w:sz w:val="18"/>
                <w:szCs w:val="18"/>
                <w:lang w:eastAsia="en-IE"/>
              </w:rPr>
              <w:t>N/A</w:t>
            </w:r>
          </w:p>
        </w:tc>
        <w:tc>
          <w:tcPr>
            <w:tcW w:w="369" w:type="pct"/>
            <w:vAlign w:val="center"/>
            <w:hideMark/>
          </w:tcPr>
          <w:p w:rsidR="00707DCE" w:rsidRDefault="00707DCE" w:rsidP="005D01AB">
            <w:pPr>
              <w:jc w:val="center"/>
              <w:cnfStyle w:val="000000100000" w:firstRow="0" w:lastRow="0" w:firstColumn="0" w:lastColumn="0" w:oddVBand="0" w:evenVBand="0" w:oddHBand="1" w:evenHBand="0" w:firstRowFirstColumn="0" w:firstRowLastColumn="0" w:lastRowFirstColumn="0" w:lastRowLastColumn="0"/>
            </w:pPr>
            <w:r w:rsidRPr="00C64000">
              <w:rPr>
                <w:rFonts w:ascii="Calibri" w:eastAsia="Times New Roman" w:hAnsi="Calibri" w:cs="Calibri"/>
                <w:color w:val="000000"/>
                <w:sz w:val="18"/>
                <w:szCs w:val="18"/>
                <w:lang w:eastAsia="en-IE"/>
              </w:rPr>
              <w:t>N/A</w:t>
            </w:r>
          </w:p>
        </w:tc>
        <w:tc>
          <w:tcPr>
            <w:tcW w:w="368" w:type="pct"/>
            <w:vAlign w:val="center"/>
            <w:hideMark/>
          </w:tcPr>
          <w:p w:rsidR="00707DCE" w:rsidRDefault="00707DCE" w:rsidP="005D01AB">
            <w:pPr>
              <w:jc w:val="center"/>
              <w:cnfStyle w:val="000000100000" w:firstRow="0" w:lastRow="0" w:firstColumn="0" w:lastColumn="0" w:oddVBand="0" w:evenVBand="0" w:oddHBand="1" w:evenHBand="0" w:firstRowFirstColumn="0" w:firstRowLastColumn="0" w:lastRowFirstColumn="0" w:lastRowLastColumn="0"/>
            </w:pPr>
            <w:r w:rsidRPr="00C64000">
              <w:rPr>
                <w:rFonts w:ascii="Calibri" w:eastAsia="Times New Roman" w:hAnsi="Calibri" w:cs="Calibri"/>
                <w:color w:val="000000"/>
                <w:sz w:val="18"/>
                <w:szCs w:val="18"/>
                <w:lang w:eastAsia="en-IE"/>
              </w:rPr>
              <w:t>N/A</w:t>
            </w:r>
          </w:p>
        </w:tc>
        <w:tc>
          <w:tcPr>
            <w:tcW w:w="369" w:type="pct"/>
            <w:vAlign w:val="center"/>
            <w:hideMark/>
          </w:tcPr>
          <w:p w:rsidR="00707DCE" w:rsidRDefault="00707DCE" w:rsidP="005D01AB">
            <w:pPr>
              <w:jc w:val="center"/>
              <w:cnfStyle w:val="000000100000" w:firstRow="0" w:lastRow="0" w:firstColumn="0" w:lastColumn="0" w:oddVBand="0" w:evenVBand="0" w:oddHBand="1" w:evenHBand="0" w:firstRowFirstColumn="0" w:firstRowLastColumn="0" w:lastRowFirstColumn="0" w:lastRowLastColumn="0"/>
            </w:pPr>
            <w:r w:rsidRPr="00C64000">
              <w:rPr>
                <w:rFonts w:ascii="Calibri" w:eastAsia="Times New Roman" w:hAnsi="Calibri" w:cs="Calibri"/>
                <w:color w:val="000000"/>
                <w:sz w:val="18"/>
                <w:szCs w:val="18"/>
                <w:lang w:eastAsia="en-IE"/>
              </w:rPr>
              <w:t>N/A</w:t>
            </w:r>
          </w:p>
        </w:tc>
        <w:tc>
          <w:tcPr>
            <w:tcW w:w="368" w:type="pct"/>
            <w:vAlign w:val="center"/>
            <w:hideMark/>
          </w:tcPr>
          <w:p w:rsidR="00707DCE" w:rsidRDefault="00707DCE" w:rsidP="005D01AB">
            <w:pPr>
              <w:jc w:val="center"/>
              <w:cnfStyle w:val="000000100000" w:firstRow="0" w:lastRow="0" w:firstColumn="0" w:lastColumn="0" w:oddVBand="0" w:evenVBand="0" w:oddHBand="1" w:evenHBand="0" w:firstRowFirstColumn="0" w:firstRowLastColumn="0" w:lastRowFirstColumn="0" w:lastRowLastColumn="0"/>
            </w:pPr>
            <w:r w:rsidRPr="00C64000">
              <w:rPr>
                <w:rFonts w:ascii="Calibri" w:eastAsia="Times New Roman" w:hAnsi="Calibri" w:cs="Calibri"/>
                <w:color w:val="000000"/>
                <w:sz w:val="18"/>
                <w:szCs w:val="18"/>
                <w:lang w:eastAsia="en-IE"/>
              </w:rPr>
              <w:t>N/A</w:t>
            </w:r>
          </w:p>
        </w:tc>
        <w:tc>
          <w:tcPr>
            <w:tcW w:w="369" w:type="pct"/>
            <w:vAlign w:val="center"/>
            <w:hideMark/>
          </w:tcPr>
          <w:p w:rsidR="00707DCE" w:rsidRDefault="00707DCE" w:rsidP="005D01AB">
            <w:pPr>
              <w:jc w:val="center"/>
              <w:cnfStyle w:val="000000100000" w:firstRow="0" w:lastRow="0" w:firstColumn="0" w:lastColumn="0" w:oddVBand="0" w:evenVBand="0" w:oddHBand="1" w:evenHBand="0" w:firstRowFirstColumn="0" w:firstRowLastColumn="0" w:lastRowFirstColumn="0" w:lastRowLastColumn="0"/>
            </w:pPr>
            <w:r w:rsidRPr="00C64000">
              <w:rPr>
                <w:rFonts w:ascii="Calibri" w:eastAsia="Times New Roman" w:hAnsi="Calibri" w:cs="Calibri"/>
                <w:color w:val="000000"/>
                <w:sz w:val="18"/>
                <w:szCs w:val="18"/>
                <w:lang w:eastAsia="en-IE"/>
              </w:rPr>
              <w:t>N/A</w:t>
            </w:r>
          </w:p>
        </w:tc>
        <w:tc>
          <w:tcPr>
            <w:tcW w:w="368" w:type="pct"/>
            <w:vAlign w:val="center"/>
            <w:hideMark/>
          </w:tcPr>
          <w:p w:rsidR="00707DCE" w:rsidRDefault="00707DCE" w:rsidP="005D01AB">
            <w:pPr>
              <w:jc w:val="center"/>
              <w:cnfStyle w:val="000000100000" w:firstRow="0" w:lastRow="0" w:firstColumn="0" w:lastColumn="0" w:oddVBand="0" w:evenVBand="0" w:oddHBand="1" w:evenHBand="0" w:firstRowFirstColumn="0" w:firstRowLastColumn="0" w:lastRowFirstColumn="0" w:lastRowLastColumn="0"/>
            </w:pPr>
            <w:r w:rsidRPr="00C64000">
              <w:rPr>
                <w:rFonts w:ascii="Calibri" w:eastAsia="Times New Roman" w:hAnsi="Calibri" w:cs="Calibri"/>
                <w:color w:val="000000"/>
                <w:sz w:val="18"/>
                <w:szCs w:val="18"/>
                <w:lang w:eastAsia="en-IE"/>
              </w:rPr>
              <w:t>N/A</w:t>
            </w:r>
          </w:p>
        </w:tc>
        <w:tc>
          <w:tcPr>
            <w:tcW w:w="438" w:type="pct"/>
            <w:gridSpan w:val="2"/>
            <w:vAlign w:val="center"/>
            <w:hideMark/>
          </w:tcPr>
          <w:p w:rsidR="00707DCE" w:rsidRDefault="00707DCE" w:rsidP="005D01AB">
            <w:pPr>
              <w:jc w:val="center"/>
              <w:cnfStyle w:val="000000100000" w:firstRow="0" w:lastRow="0" w:firstColumn="0" w:lastColumn="0" w:oddVBand="0" w:evenVBand="0" w:oddHBand="1" w:evenHBand="0" w:firstRowFirstColumn="0" w:firstRowLastColumn="0" w:lastRowFirstColumn="0" w:lastRowLastColumn="0"/>
            </w:pPr>
            <w:r w:rsidRPr="00C64000">
              <w:rPr>
                <w:rFonts w:ascii="Calibri" w:eastAsia="Times New Roman" w:hAnsi="Calibri" w:cs="Calibri"/>
                <w:color w:val="000000"/>
                <w:sz w:val="18"/>
                <w:szCs w:val="18"/>
                <w:lang w:eastAsia="en-IE"/>
              </w:rPr>
              <w:t>N/A</w:t>
            </w:r>
          </w:p>
        </w:tc>
      </w:tr>
      <w:tr w:rsidR="00631B23" w:rsidRPr="0038089E" w:rsidTr="00631B2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Monaghan County</w:t>
            </w:r>
          </w:p>
        </w:tc>
        <w:tc>
          <w:tcPr>
            <w:tcW w:w="399" w:type="pct"/>
            <w:gridSpan w:val="2"/>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39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14</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5</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28</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28</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18</w:t>
            </w:r>
          </w:p>
        </w:tc>
        <w:tc>
          <w:tcPr>
            <w:tcW w:w="438" w:type="pct"/>
            <w:gridSpan w:val="2"/>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4</w:t>
            </w:r>
          </w:p>
        </w:tc>
      </w:tr>
      <w:tr w:rsidR="00631B23" w:rsidRPr="0038089E" w:rsidTr="00631B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Offaly County</w:t>
            </w:r>
          </w:p>
        </w:tc>
        <w:tc>
          <w:tcPr>
            <w:tcW w:w="399"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0.64</w:t>
            </w:r>
          </w:p>
        </w:tc>
        <w:tc>
          <w:tcPr>
            <w:tcW w:w="39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2.02</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6.39</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34.26</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10.29</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9.81</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9.9</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4.17</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21.13</w:t>
            </w:r>
          </w:p>
        </w:tc>
        <w:tc>
          <w:tcPr>
            <w:tcW w:w="438"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1.4</w:t>
            </w:r>
          </w:p>
        </w:tc>
      </w:tr>
      <w:tr w:rsidR="00631B23" w:rsidRPr="0038089E" w:rsidTr="00631B2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Roscommon County</w:t>
            </w:r>
          </w:p>
        </w:tc>
        <w:tc>
          <w:tcPr>
            <w:tcW w:w="399" w:type="pct"/>
            <w:gridSpan w:val="2"/>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39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438" w:type="pct"/>
            <w:gridSpan w:val="2"/>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r>
      <w:tr w:rsidR="00631B23" w:rsidRPr="0038089E" w:rsidTr="00631B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Sligo County</w:t>
            </w:r>
          </w:p>
        </w:tc>
        <w:tc>
          <w:tcPr>
            <w:tcW w:w="399"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w:t>
            </w:r>
          </w:p>
        </w:tc>
        <w:tc>
          <w:tcPr>
            <w:tcW w:w="39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5</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15</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15</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15</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18</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11</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16</w:t>
            </w:r>
          </w:p>
        </w:tc>
        <w:tc>
          <w:tcPr>
            <w:tcW w:w="438"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4</w:t>
            </w:r>
          </w:p>
        </w:tc>
      </w:tr>
      <w:tr w:rsidR="00631B23" w:rsidRPr="0038089E" w:rsidTr="00631B2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South Dublin County</w:t>
            </w:r>
          </w:p>
        </w:tc>
        <w:tc>
          <w:tcPr>
            <w:tcW w:w="399" w:type="pct"/>
            <w:gridSpan w:val="2"/>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vertAlign w:val="superscript"/>
                <w:lang w:eastAsia="en-IE"/>
              </w:rPr>
            </w:pPr>
            <w:r w:rsidRPr="0038089E">
              <w:rPr>
                <w:rFonts w:ascii="Calibri" w:eastAsia="Times New Roman" w:hAnsi="Calibri" w:cs="Calibri"/>
                <w:color w:val="000000"/>
                <w:sz w:val="18"/>
                <w:szCs w:val="18"/>
                <w:lang w:eastAsia="en-IE"/>
              </w:rPr>
              <w:t>N/A</w:t>
            </w:r>
          </w:p>
        </w:tc>
        <w:tc>
          <w:tcPr>
            <w:tcW w:w="39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N/A</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N/A</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N/A</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N/A</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N/A</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N/A</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N/A</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N/A</w:t>
            </w:r>
          </w:p>
        </w:tc>
        <w:tc>
          <w:tcPr>
            <w:tcW w:w="438" w:type="pct"/>
            <w:gridSpan w:val="2"/>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vertAlign w:val="superscript"/>
                <w:lang w:eastAsia="en-IE"/>
              </w:rPr>
            </w:pPr>
            <w:r w:rsidRPr="0038089E">
              <w:rPr>
                <w:rFonts w:ascii="Calibri" w:eastAsia="Times New Roman" w:hAnsi="Calibri" w:cs="Calibri"/>
                <w:color w:val="000000"/>
                <w:sz w:val="18"/>
                <w:szCs w:val="18"/>
                <w:lang w:eastAsia="en-IE"/>
              </w:rPr>
              <w:t>N/A</w:t>
            </w:r>
          </w:p>
        </w:tc>
      </w:tr>
      <w:tr w:rsidR="00631B23" w:rsidRPr="0038089E" w:rsidTr="00631B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Tipperary County</w:t>
            </w:r>
          </w:p>
        </w:tc>
        <w:tc>
          <w:tcPr>
            <w:tcW w:w="399"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39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3</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8</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16</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12</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18</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22</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11</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8</w:t>
            </w:r>
          </w:p>
        </w:tc>
        <w:tc>
          <w:tcPr>
            <w:tcW w:w="438"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w:t>
            </w:r>
          </w:p>
        </w:tc>
      </w:tr>
      <w:tr w:rsidR="00631B23" w:rsidRPr="0038089E" w:rsidTr="00631B2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Waterford City &amp; County</w:t>
            </w:r>
          </w:p>
        </w:tc>
        <w:tc>
          <w:tcPr>
            <w:tcW w:w="399" w:type="pct"/>
            <w:gridSpan w:val="2"/>
            <w:hideMark/>
          </w:tcPr>
          <w:p w:rsidR="0038089E" w:rsidRPr="0038089E" w:rsidRDefault="000060D8"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1</w:t>
            </w:r>
          </w:p>
        </w:tc>
        <w:tc>
          <w:tcPr>
            <w:tcW w:w="399" w:type="pct"/>
            <w:noWrap/>
            <w:hideMark/>
          </w:tcPr>
          <w:p w:rsidR="0038089E" w:rsidRPr="0038089E" w:rsidRDefault="000060D8"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0</w:t>
            </w:r>
          </w:p>
        </w:tc>
        <w:tc>
          <w:tcPr>
            <w:tcW w:w="368" w:type="pct"/>
            <w:noWrap/>
            <w:hideMark/>
          </w:tcPr>
          <w:p w:rsidR="0038089E" w:rsidRPr="0038089E" w:rsidRDefault="000060D8"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1</w:t>
            </w:r>
          </w:p>
        </w:tc>
        <w:tc>
          <w:tcPr>
            <w:tcW w:w="369" w:type="pct"/>
            <w:noWrap/>
            <w:hideMark/>
          </w:tcPr>
          <w:p w:rsidR="0038089E" w:rsidRPr="0038089E" w:rsidRDefault="000060D8"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5</w:t>
            </w:r>
          </w:p>
        </w:tc>
        <w:tc>
          <w:tcPr>
            <w:tcW w:w="368" w:type="pct"/>
            <w:noWrap/>
            <w:hideMark/>
          </w:tcPr>
          <w:p w:rsidR="0038089E" w:rsidRPr="0038089E" w:rsidRDefault="000060D8"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8</w:t>
            </w:r>
          </w:p>
        </w:tc>
        <w:tc>
          <w:tcPr>
            <w:tcW w:w="369" w:type="pct"/>
            <w:noWrap/>
            <w:hideMark/>
          </w:tcPr>
          <w:p w:rsidR="0038089E" w:rsidRPr="0038089E" w:rsidRDefault="000060D8"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24</w:t>
            </w:r>
          </w:p>
        </w:tc>
        <w:tc>
          <w:tcPr>
            <w:tcW w:w="368" w:type="pct"/>
            <w:noWrap/>
            <w:hideMark/>
          </w:tcPr>
          <w:p w:rsidR="0038089E" w:rsidRPr="0038089E" w:rsidRDefault="000060D8"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43</w:t>
            </w:r>
          </w:p>
        </w:tc>
        <w:tc>
          <w:tcPr>
            <w:tcW w:w="369" w:type="pct"/>
            <w:noWrap/>
            <w:hideMark/>
          </w:tcPr>
          <w:p w:rsidR="0038089E" w:rsidRPr="0038089E" w:rsidRDefault="000060D8"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15</w:t>
            </w:r>
          </w:p>
        </w:tc>
        <w:tc>
          <w:tcPr>
            <w:tcW w:w="368" w:type="pct"/>
            <w:noWrap/>
            <w:hideMark/>
          </w:tcPr>
          <w:p w:rsidR="0038089E" w:rsidRPr="0038089E" w:rsidRDefault="000060D8"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3</w:t>
            </w:r>
          </w:p>
        </w:tc>
        <w:tc>
          <w:tcPr>
            <w:tcW w:w="438" w:type="pct"/>
            <w:gridSpan w:val="2"/>
            <w:noWrap/>
            <w:hideMark/>
          </w:tcPr>
          <w:p w:rsidR="0038089E" w:rsidRPr="0038089E" w:rsidRDefault="000060D8"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1</w:t>
            </w:r>
          </w:p>
        </w:tc>
      </w:tr>
      <w:tr w:rsidR="00631B23" w:rsidRPr="0038089E" w:rsidTr="00631B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Westmeath County</w:t>
            </w:r>
          </w:p>
        </w:tc>
        <w:tc>
          <w:tcPr>
            <w:tcW w:w="399"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w:t>
            </w:r>
          </w:p>
        </w:tc>
        <w:tc>
          <w:tcPr>
            <w:tcW w:w="39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12</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17</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38</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26</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438"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r>
      <w:tr w:rsidR="00631B23" w:rsidRPr="0038089E" w:rsidTr="00631B2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Wexford County</w:t>
            </w:r>
          </w:p>
        </w:tc>
        <w:tc>
          <w:tcPr>
            <w:tcW w:w="399" w:type="pct"/>
            <w:gridSpan w:val="2"/>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39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8</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24</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12</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11</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15</w:t>
            </w:r>
          </w:p>
        </w:tc>
        <w:tc>
          <w:tcPr>
            <w:tcW w:w="369"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10</w:t>
            </w:r>
          </w:p>
        </w:tc>
        <w:tc>
          <w:tcPr>
            <w:tcW w:w="368" w:type="pct"/>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14</w:t>
            </w:r>
          </w:p>
        </w:tc>
        <w:tc>
          <w:tcPr>
            <w:tcW w:w="438" w:type="pct"/>
            <w:gridSpan w:val="2"/>
            <w:noWrap/>
            <w:hideMark/>
          </w:tcPr>
          <w:p w:rsidR="0038089E" w:rsidRPr="0038089E" w:rsidRDefault="0038089E" w:rsidP="0038089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4</w:t>
            </w:r>
          </w:p>
        </w:tc>
      </w:tr>
      <w:tr w:rsidR="00631B23" w:rsidRPr="0038089E" w:rsidTr="00631B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5" w:type="pct"/>
            <w:noWrap/>
            <w:hideMark/>
          </w:tcPr>
          <w:p w:rsidR="0038089E" w:rsidRPr="0038089E" w:rsidRDefault="0038089E" w:rsidP="0038089E">
            <w:pPr>
              <w:rPr>
                <w:rFonts w:ascii="Calibri" w:eastAsia="Times New Roman" w:hAnsi="Calibri" w:cs="Calibri"/>
                <w:color w:val="000000"/>
                <w:sz w:val="20"/>
                <w:szCs w:val="20"/>
                <w:lang w:eastAsia="en-IE"/>
              </w:rPr>
            </w:pPr>
            <w:r w:rsidRPr="0038089E">
              <w:rPr>
                <w:rFonts w:ascii="Calibri" w:eastAsia="Times New Roman" w:hAnsi="Calibri" w:cs="Calibri"/>
                <w:color w:val="000000"/>
                <w:sz w:val="20"/>
                <w:szCs w:val="20"/>
                <w:lang w:eastAsia="en-IE"/>
              </w:rPr>
              <w:t>Wicklow County</w:t>
            </w:r>
          </w:p>
        </w:tc>
        <w:tc>
          <w:tcPr>
            <w:tcW w:w="399"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w:t>
            </w:r>
          </w:p>
        </w:tc>
        <w:tc>
          <w:tcPr>
            <w:tcW w:w="39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2.21</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9.63</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13.28</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12.23</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11.42</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22.51</w:t>
            </w:r>
          </w:p>
        </w:tc>
        <w:tc>
          <w:tcPr>
            <w:tcW w:w="369"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16.63</w:t>
            </w:r>
          </w:p>
        </w:tc>
        <w:tc>
          <w:tcPr>
            <w:tcW w:w="368" w:type="pct"/>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12.02</w:t>
            </w:r>
          </w:p>
        </w:tc>
        <w:tc>
          <w:tcPr>
            <w:tcW w:w="438" w:type="pct"/>
            <w:gridSpan w:val="2"/>
            <w:hideMark/>
          </w:tcPr>
          <w:p w:rsidR="0038089E" w:rsidRPr="0038089E" w:rsidRDefault="0038089E" w:rsidP="003808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38089E">
              <w:rPr>
                <w:rFonts w:ascii="Calibri" w:eastAsia="Times New Roman" w:hAnsi="Calibri" w:cs="Calibri"/>
                <w:color w:val="000000"/>
                <w:sz w:val="18"/>
                <w:szCs w:val="18"/>
                <w:lang w:eastAsia="en-IE"/>
              </w:rPr>
              <w:t>0.08</w:t>
            </w:r>
          </w:p>
        </w:tc>
      </w:tr>
    </w:tbl>
    <w:p w:rsidR="00E214E3" w:rsidRDefault="00E214E3" w:rsidP="00E214E3">
      <w:pPr>
        <w:rPr>
          <w:rFonts w:ascii="Calibri" w:eastAsia="Times New Roman" w:hAnsi="Calibri" w:cs="Calibri"/>
          <w:color w:val="000000"/>
          <w:lang w:eastAsia="en-IE"/>
        </w:rPr>
      </w:pPr>
    </w:p>
    <w:p w:rsidR="000F78DF" w:rsidRDefault="000F78DF" w:rsidP="00E214E3">
      <w:pPr>
        <w:rPr>
          <w:rFonts w:ascii="Calibri" w:eastAsia="Times New Roman" w:hAnsi="Calibri" w:cs="Calibri"/>
          <w:color w:val="000000"/>
          <w:lang w:eastAsia="en-IE"/>
        </w:rPr>
      </w:pPr>
    </w:p>
    <w:p w:rsidR="000953A0" w:rsidRDefault="000953A0" w:rsidP="00E214E3">
      <w:pPr>
        <w:rPr>
          <w:rFonts w:ascii="Calibri" w:eastAsia="Times New Roman" w:hAnsi="Calibri" w:cs="Calibri"/>
          <w:color w:val="000000"/>
          <w:lang w:eastAsia="en-IE"/>
        </w:rPr>
      </w:pPr>
    </w:p>
    <w:tbl>
      <w:tblPr>
        <w:tblW w:w="6106" w:type="dxa"/>
        <w:tblInd w:w="98" w:type="dxa"/>
        <w:tblLook w:val="04A0" w:firstRow="1" w:lastRow="0" w:firstColumn="1" w:lastColumn="0" w:noHBand="0" w:noVBand="1"/>
      </w:tblPr>
      <w:tblGrid>
        <w:gridCol w:w="2460"/>
        <w:gridCol w:w="960"/>
        <w:gridCol w:w="2686"/>
      </w:tblGrid>
      <w:tr w:rsidR="0038089E" w:rsidRPr="0038089E" w:rsidTr="006E71D8">
        <w:trPr>
          <w:trHeight w:val="315"/>
        </w:trPr>
        <w:tc>
          <w:tcPr>
            <w:tcW w:w="610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lastRenderedPageBreak/>
              <w:t>Ratings in Pavement Surface Condition Index - Local Secondary</w:t>
            </w:r>
          </w:p>
        </w:tc>
      </w:tr>
      <w:tr w:rsidR="0038089E" w:rsidRPr="0038089E" w:rsidTr="006E71D8">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Cat 1</w:t>
            </w:r>
          </w:p>
        </w:tc>
        <w:tc>
          <w:tcPr>
            <w:tcW w:w="2686" w:type="dxa"/>
            <w:tcBorders>
              <w:top w:val="nil"/>
              <w:left w:val="nil"/>
              <w:bottom w:val="single" w:sz="8" w:space="0" w:color="auto"/>
              <w:right w:val="single" w:sz="8" w:space="0" w:color="auto"/>
            </w:tcBorders>
            <w:shd w:val="clear" w:color="auto" w:fill="B6DDE8" w:themeFill="accent5" w:themeFillTint="66"/>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2014</w:t>
            </w:r>
          </w:p>
        </w:tc>
      </w:tr>
      <w:tr w:rsidR="0038089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N</w:t>
            </w:r>
          </w:p>
        </w:tc>
        <w:tc>
          <w:tcPr>
            <w:tcW w:w="960" w:type="dxa"/>
            <w:tcBorders>
              <w:top w:val="nil"/>
              <w:left w:val="nil"/>
              <w:bottom w:val="single" w:sz="8" w:space="0" w:color="auto"/>
              <w:right w:val="nil"/>
            </w:tcBorders>
            <w:shd w:val="clear" w:color="auto" w:fill="auto"/>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Valid</w:t>
            </w:r>
          </w:p>
        </w:tc>
        <w:tc>
          <w:tcPr>
            <w:tcW w:w="2686" w:type="dxa"/>
            <w:tcBorders>
              <w:top w:val="nil"/>
              <w:left w:val="single" w:sz="8" w:space="0" w:color="auto"/>
              <w:bottom w:val="single" w:sz="8" w:space="0" w:color="auto"/>
              <w:right w:val="single" w:sz="8" w:space="0" w:color="auto"/>
            </w:tcBorders>
            <w:shd w:val="clear" w:color="auto" w:fill="auto"/>
            <w:vAlign w:val="center"/>
            <w:hideMark/>
          </w:tcPr>
          <w:p w:rsidR="0038089E" w:rsidRPr="0038089E" w:rsidRDefault="00707DCE"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26</w:t>
            </w:r>
          </w:p>
        </w:tc>
      </w:tr>
      <w:tr w:rsidR="0038089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 </w:t>
            </w:r>
          </w:p>
        </w:tc>
        <w:tc>
          <w:tcPr>
            <w:tcW w:w="960" w:type="dxa"/>
            <w:tcBorders>
              <w:top w:val="nil"/>
              <w:left w:val="nil"/>
              <w:bottom w:val="single" w:sz="8" w:space="0" w:color="auto"/>
              <w:right w:val="nil"/>
            </w:tcBorders>
            <w:shd w:val="clear" w:color="auto" w:fill="auto"/>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Missing</w:t>
            </w:r>
          </w:p>
        </w:tc>
        <w:tc>
          <w:tcPr>
            <w:tcW w:w="2686" w:type="dxa"/>
            <w:tcBorders>
              <w:top w:val="nil"/>
              <w:left w:val="single" w:sz="8" w:space="0" w:color="auto"/>
              <w:bottom w:val="single" w:sz="8" w:space="0" w:color="auto"/>
              <w:right w:val="single" w:sz="8" w:space="0" w:color="auto"/>
            </w:tcBorders>
            <w:shd w:val="clear" w:color="auto" w:fill="auto"/>
            <w:vAlign w:val="center"/>
            <w:hideMark/>
          </w:tcPr>
          <w:p w:rsidR="0038089E" w:rsidRPr="0038089E" w:rsidRDefault="00707DCE"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5</w:t>
            </w:r>
          </w:p>
        </w:tc>
      </w:tr>
      <w:tr w:rsidR="0038089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Average</w:t>
            </w:r>
          </w:p>
        </w:tc>
        <w:tc>
          <w:tcPr>
            <w:tcW w:w="960" w:type="dxa"/>
            <w:tcBorders>
              <w:top w:val="nil"/>
              <w:left w:val="nil"/>
              <w:bottom w:val="single" w:sz="8" w:space="0" w:color="auto"/>
              <w:right w:val="nil"/>
            </w:tcBorders>
            <w:shd w:val="clear" w:color="auto" w:fill="auto"/>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Median</w:t>
            </w:r>
          </w:p>
        </w:tc>
        <w:tc>
          <w:tcPr>
            <w:tcW w:w="2686" w:type="dxa"/>
            <w:tcBorders>
              <w:top w:val="nil"/>
              <w:left w:val="single" w:sz="8" w:space="0" w:color="auto"/>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0.00</w:t>
            </w:r>
          </w:p>
        </w:tc>
      </w:tr>
      <w:tr w:rsidR="0038089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 </w:t>
            </w:r>
          </w:p>
        </w:tc>
        <w:tc>
          <w:tcPr>
            <w:tcW w:w="960" w:type="dxa"/>
            <w:tcBorders>
              <w:top w:val="nil"/>
              <w:left w:val="nil"/>
              <w:bottom w:val="single" w:sz="8" w:space="0" w:color="auto"/>
              <w:right w:val="nil"/>
            </w:tcBorders>
            <w:shd w:val="clear" w:color="auto" w:fill="auto"/>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Mean</w:t>
            </w:r>
          </w:p>
        </w:tc>
        <w:tc>
          <w:tcPr>
            <w:tcW w:w="2686" w:type="dxa"/>
            <w:tcBorders>
              <w:top w:val="nil"/>
              <w:left w:val="single" w:sz="8" w:space="0" w:color="auto"/>
              <w:bottom w:val="single" w:sz="8" w:space="0" w:color="auto"/>
              <w:right w:val="single" w:sz="8" w:space="0" w:color="auto"/>
            </w:tcBorders>
            <w:shd w:val="clear" w:color="auto" w:fill="auto"/>
            <w:vAlign w:val="center"/>
            <w:hideMark/>
          </w:tcPr>
          <w:p w:rsidR="0038089E" w:rsidRPr="0038089E" w:rsidRDefault="000060D8"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0.4</w:t>
            </w:r>
            <w:r w:rsidR="00707DCE">
              <w:rPr>
                <w:rFonts w:ascii="Calibri" w:eastAsia="Times New Roman" w:hAnsi="Calibri" w:cs="Calibri"/>
                <w:color w:val="000000"/>
                <w:lang w:eastAsia="en-IE"/>
              </w:rPr>
              <w:t>8</w:t>
            </w:r>
          </w:p>
        </w:tc>
      </w:tr>
      <w:tr w:rsidR="0038089E" w:rsidRPr="0038089E" w:rsidTr="006E71D8">
        <w:trPr>
          <w:trHeight w:val="315"/>
        </w:trPr>
        <w:tc>
          <w:tcPr>
            <w:tcW w:w="3420" w:type="dxa"/>
            <w:gridSpan w:val="2"/>
            <w:tcBorders>
              <w:top w:val="single" w:sz="8" w:space="0" w:color="auto"/>
              <w:left w:val="single" w:sz="8" w:space="0" w:color="auto"/>
              <w:bottom w:val="single" w:sz="8" w:space="0" w:color="auto"/>
              <w:right w:val="nil"/>
            </w:tcBorders>
            <w:shd w:val="clear" w:color="auto" w:fill="B6DDE8" w:themeFill="accent5" w:themeFillTint="66"/>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Cat 2</w:t>
            </w:r>
          </w:p>
        </w:tc>
        <w:tc>
          <w:tcPr>
            <w:tcW w:w="2686" w:type="dxa"/>
            <w:tcBorders>
              <w:top w:val="nil"/>
              <w:left w:val="single" w:sz="8" w:space="0" w:color="auto"/>
              <w:bottom w:val="single" w:sz="8" w:space="0" w:color="auto"/>
              <w:right w:val="single" w:sz="8" w:space="0" w:color="auto"/>
            </w:tcBorders>
            <w:shd w:val="clear" w:color="auto" w:fill="B6DDE8" w:themeFill="accent5" w:themeFillTint="66"/>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2014</w:t>
            </w:r>
          </w:p>
        </w:tc>
      </w:tr>
      <w:tr w:rsidR="00707DC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N</w:t>
            </w:r>
          </w:p>
        </w:tc>
        <w:tc>
          <w:tcPr>
            <w:tcW w:w="960" w:type="dxa"/>
            <w:tcBorders>
              <w:top w:val="nil"/>
              <w:left w:val="nil"/>
              <w:bottom w:val="single" w:sz="8" w:space="0" w:color="auto"/>
              <w:right w:val="nil"/>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Valid</w:t>
            </w:r>
          </w:p>
        </w:tc>
        <w:tc>
          <w:tcPr>
            <w:tcW w:w="2686" w:type="dxa"/>
            <w:tcBorders>
              <w:top w:val="nil"/>
              <w:left w:val="single" w:sz="8" w:space="0" w:color="auto"/>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26</w:t>
            </w:r>
          </w:p>
        </w:tc>
      </w:tr>
      <w:tr w:rsidR="00707DC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 </w:t>
            </w:r>
          </w:p>
        </w:tc>
        <w:tc>
          <w:tcPr>
            <w:tcW w:w="960" w:type="dxa"/>
            <w:tcBorders>
              <w:top w:val="nil"/>
              <w:left w:val="nil"/>
              <w:bottom w:val="single" w:sz="8" w:space="0" w:color="auto"/>
              <w:right w:val="nil"/>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Missing</w:t>
            </w:r>
          </w:p>
        </w:tc>
        <w:tc>
          <w:tcPr>
            <w:tcW w:w="2686" w:type="dxa"/>
            <w:tcBorders>
              <w:top w:val="nil"/>
              <w:left w:val="single" w:sz="8" w:space="0" w:color="auto"/>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5</w:t>
            </w:r>
          </w:p>
        </w:tc>
      </w:tr>
      <w:tr w:rsidR="0038089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Median</w:t>
            </w:r>
          </w:p>
        </w:tc>
        <w:tc>
          <w:tcPr>
            <w:tcW w:w="2686" w:type="dxa"/>
            <w:tcBorders>
              <w:top w:val="nil"/>
              <w:left w:val="nil"/>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1.00</w:t>
            </w:r>
          </w:p>
        </w:tc>
      </w:tr>
      <w:tr w:rsidR="0038089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Mean</w:t>
            </w:r>
          </w:p>
        </w:tc>
        <w:tc>
          <w:tcPr>
            <w:tcW w:w="2686" w:type="dxa"/>
            <w:tcBorders>
              <w:top w:val="nil"/>
              <w:left w:val="nil"/>
              <w:bottom w:val="single" w:sz="8" w:space="0" w:color="auto"/>
              <w:right w:val="single" w:sz="8" w:space="0" w:color="auto"/>
            </w:tcBorders>
            <w:shd w:val="clear" w:color="auto" w:fill="auto"/>
            <w:vAlign w:val="center"/>
            <w:hideMark/>
          </w:tcPr>
          <w:p w:rsidR="0038089E" w:rsidRPr="0038089E" w:rsidRDefault="000060D8"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1.</w:t>
            </w:r>
            <w:r w:rsidR="00707DCE">
              <w:rPr>
                <w:rFonts w:ascii="Calibri" w:eastAsia="Times New Roman" w:hAnsi="Calibri" w:cs="Calibri"/>
                <w:color w:val="000000"/>
                <w:lang w:eastAsia="en-IE"/>
              </w:rPr>
              <w:t>12</w:t>
            </w:r>
          </w:p>
        </w:tc>
      </w:tr>
      <w:tr w:rsidR="0038089E" w:rsidRPr="0038089E" w:rsidTr="006E71D8">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Cat 3</w:t>
            </w:r>
          </w:p>
        </w:tc>
        <w:tc>
          <w:tcPr>
            <w:tcW w:w="2686" w:type="dxa"/>
            <w:tcBorders>
              <w:top w:val="nil"/>
              <w:left w:val="nil"/>
              <w:bottom w:val="single" w:sz="8" w:space="0" w:color="auto"/>
              <w:right w:val="single" w:sz="8" w:space="0" w:color="auto"/>
            </w:tcBorders>
            <w:shd w:val="clear" w:color="auto" w:fill="B6DDE8" w:themeFill="accent5" w:themeFillTint="66"/>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2014</w:t>
            </w:r>
          </w:p>
        </w:tc>
      </w:tr>
      <w:tr w:rsidR="00707DC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Valid</w:t>
            </w:r>
          </w:p>
        </w:tc>
        <w:tc>
          <w:tcPr>
            <w:tcW w:w="2686"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26</w:t>
            </w:r>
          </w:p>
        </w:tc>
      </w:tr>
      <w:tr w:rsidR="00707DC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Missing</w:t>
            </w:r>
          </w:p>
        </w:tc>
        <w:tc>
          <w:tcPr>
            <w:tcW w:w="2686"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5</w:t>
            </w:r>
          </w:p>
        </w:tc>
      </w:tr>
      <w:tr w:rsidR="0038089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Median</w:t>
            </w:r>
          </w:p>
        </w:tc>
        <w:tc>
          <w:tcPr>
            <w:tcW w:w="2686" w:type="dxa"/>
            <w:tcBorders>
              <w:top w:val="nil"/>
              <w:left w:val="nil"/>
              <w:bottom w:val="single" w:sz="8" w:space="0" w:color="auto"/>
              <w:right w:val="single" w:sz="8" w:space="0" w:color="auto"/>
            </w:tcBorders>
            <w:shd w:val="clear" w:color="auto" w:fill="auto"/>
            <w:vAlign w:val="center"/>
            <w:hideMark/>
          </w:tcPr>
          <w:p w:rsidR="0038089E" w:rsidRPr="0038089E" w:rsidRDefault="000060D8" w:rsidP="0082378C">
            <w:pPr>
              <w:spacing w:after="0" w:line="240" w:lineRule="auto"/>
              <w:rPr>
                <w:rFonts w:ascii="Calibri" w:eastAsia="Times New Roman" w:hAnsi="Calibri" w:cs="Calibri"/>
                <w:b/>
                <w:bCs/>
                <w:color w:val="000000"/>
                <w:lang w:eastAsia="en-IE"/>
              </w:rPr>
            </w:pPr>
            <w:r>
              <w:rPr>
                <w:rFonts w:ascii="Calibri" w:eastAsia="Times New Roman" w:hAnsi="Calibri" w:cs="Calibri"/>
                <w:b/>
                <w:bCs/>
                <w:color w:val="000000"/>
                <w:lang w:eastAsia="en-IE"/>
              </w:rPr>
              <w:t>2.</w:t>
            </w:r>
            <w:r w:rsidR="00707DCE">
              <w:rPr>
                <w:rFonts w:ascii="Calibri" w:eastAsia="Times New Roman" w:hAnsi="Calibri" w:cs="Calibri"/>
                <w:b/>
                <w:bCs/>
                <w:color w:val="000000"/>
                <w:lang w:eastAsia="en-IE"/>
              </w:rPr>
              <w:t>10</w:t>
            </w:r>
          </w:p>
        </w:tc>
      </w:tr>
      <w:tr w:rsidR="0038089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Mean</w:t>
            </w:r>
          </w:p>
        </w:tc>
        <w:tc>
          <w:tcPr>
            <w:tcW w:w="2686" w:type="dxa"/>
            <w:tcBorders>
              <w:top w:val="nil"/>
              <w:left w:val="nil"/>
              <w:bottom w:val="single" w:sz="8" w:space="0" w:color="auto"/>
              <w:right w:val="single" w:sz="8" w:space="0" w:color="auto"/>
            </w:tcBorders>
            <w:shd w:val="clear" w:color="auto" w:fill="auto"/>
            <w:vAlign w:val="center"/>
            <w:hideMark/>
          </w:tcPr>
          <w:p w:rsidR="0038089E" w:rsidRPr="0038089E" w:rsidRDefault="000060D8"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3.</w:t>
            </w:r>
            <w:r w:rsidR="00707DCE">
              <w:rPr>
                <w:rFonts w:ascii="Calibri" w:eastAsia="Times New Roman" w:hAnsi="Calibri" w:cs="Calibri"/>
                <w:color w:val="000000"/>
                <w:lang w:eastAsia="en-IE"/>
              </w:rPr>
              <w:t>24</w:t>
            </w:r>
          </w:p>
        </w:tc>
      </w:tr>
      <w:tr w:rsidR="0038089E" w:rsidRPr="0038089E" w:rsidTr="006E71D8">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Cat 4</w:t>
            </w:r>
          </w:p>
        </w:tc>
        <w:tc>
          <w:tcPr>
            <w:tcW w:w="2686" w:type="dxa"/>
            <w:tcBorders>
              <w:top w:val="nil"/>
              <w:left w:val="nil"/>
              <w:bottom w:val="single" w:sz="8" w:space="0" w:color="auto"/>
              <w:right w:val="single" w:sz="8" w:space="0" w:color="auto"/>
            </w:tcBorders>
            <w:shd w:val="clear" w:color="auto" w:fill="B6DDE8" w:themeFill="accent5" w:themeFillTint="66"/>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2014</w:t>
            </w:r>
          </w:p>
        </w:tc>
      </w:tr>
      <w:tr w:rsidR="00707DC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Valid</w:t>
            </w:r>
          </w:p>
        </w:tc>
        <w:tc>
          <w:tcPr>
            <w:tcW w:w="2686"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26</w:t>
            </w:r>
          </w:p>
        </w:tc>
      </w:tr>
      <w:tr w:rsidR="00707DC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Missing</w:t>
            </w:r>
          </w:p>
        </w:tc>
        <w:tc>
          <w:tcPr>
            <w:tcW w:w="2686"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5</w:t>
            </w:r>
          </w:p>
        </w:tc>
      </w:tr>
      <w:tr w:rsidR="0038089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Median</w:t>
            </w:r>
          </w:p>
        </w:tc>
        <w:tc>
          <w:tcPr>
            <w:tcW w:w="2686" w:type="dxa"/>
            <w:tcBorders>
              <w:top w:val="nil"/>
              <w:left w:val="nil"/>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1</w:t>
            </w:r>
            <w:r w:rsidR="00707DCE">
              <w:rPr>
                <w:rFonts w:ascii="Calibri" w:eastAsia="Times New Roman" w:hAnsi="Calibri" w:cs="Calibri"/>
                <w:b/>
                <w:bCs/>
                <w:color w:val="000000"/>
                <w:lang w:eastAsia="en-IE"/>
              </w:rPr>
              <w:t>1.65</w:t>
            </w:r>
          </w:p>
        </w:tc>
      </w:tr>
      <w:tr w:rsidR="0038089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Mean</w:t>
            </w:r>
          </w:p>
        </w:tc>
        <w:tc>
          <w:tcPr>
            <w:tcW w:w="2686" w:type="dxa"/>
            <w:tcBorders>
              <w:top w:val="nil"/>
              <w:left w:val="nil"/>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1</w:t>
            </w:r>
            <w:r w:rsidR="00707DCE">
              <w:rPr>
                <w:rFonts w:ascii="Calibri" w:eastAsia="Times New Roman" w:hAnsi="Calibri" w:cs="Calibri"/>
                <w:color w:val="000000"/>
                <w:lang w:eastAsia="en-IE"/>
              </w:rPr>
              <w:t>1.19</w:t>
            </w:r>
          </w:p>
        </w:tc>
      </w:tr>
      <w:tr w:rsidR="0038089E" w:rsidRPr="0038089E" w:rsidTr="006E71D8">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Cat 5</w:t>
            </w:r>
          </w:p>
        </w:tc>
        <w:tc>
          <w:tcPr>
            <w:tcW w:w="2686" w:type="dxa"/>
            <w:tcBorders>
              <w:top w:val="nil"/>
              <w:left w:val="nil"/>
              <w:bottom w:val="single" w:sz="8" w:space="0" w:color="auto"/>
              <w:right w:val="single" w:sz="8" w:space="0" w:color="auto"/>
            </w:tcBorders>
            <w:shd w:val="clear" w:color="auto" w:fill="B6DDE8" w:themeFill="accent5" w:themeFillTint="66"/>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2014</w:t>
            </w:r>
          </w:p>
        </w:tc>
      </w:tr>
      <w:tr w:rsidR="00707DC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Valid</w:t>
            </w:r>
          </w:p>
        </w:tc>
        <w:tc>
          <w:tcPr>
            <w:tcW w:w="2686"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26</w:t>
            </w:r>
          </w:p>
        </w:tc>
      </w:tr>
      <w:tr w:rsidR="00707DC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Missing</w:t>
            </w:r>
          </w:p>
        </w:tc>
        <w:tc>
          <w:tcPr>
            <w:tcW w:w="2686"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5</w:t>
            </w:r>
          </w:p>
        </w:tc>
      </w:tr>
      <w:tr w:rsidR="0038089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Median</w:t>
            </w:r>
          </w:p>
        </w:tc>
        <w:tc>
          <w:tcPr>
            <w:tcW w:w="2686" w:type="dxa"/>
            <w:tcBorders>
              <w:top w:val="nil"/>
              <w:left w:val="nil"/>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12.</w:t>
            </w:r>
            <w:r w:rsidR="00707DCE">
              <w:rPr>
                <w:rFonts w:ascii="Calibri" w:eastAsia="Times New Roman" w:hAnsi="Calibri" w:cs="Calibri"/>
                <w:b/>
                <w:bCs/>
                <w:color w:val="000000"/>
                <w:lang w:eastAsia="en-IE"/>
              </w:rPr>
              <w:t>12</w:t>
            </w:r>
          </w:p>
        </w:tc>
      </w:tr>
      <w:tr w:rsidR="0038089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Mean</w:t>
            </w:r>
          </w:p>
        </w:tc>
        <w:tc>
          <w:tcPr>
            <w:tcW w:w="2686" w:type="dxa"/>
            <w:tcBorders>
              <w:top w:val="nil"/>
              <w:left w:val="nil"/>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1</w:t>
            </w:r>
            <w:r w:rsidR="00707DCE">
              <w:rPr>
                <w:rFonts w:ascii="Calibri" w:eastAsia="Times New Roman" w:hAnsi="Calibri" w:cs="Calibri"/>
                <w:color w:val="000000"/>
                <w:lang w:eastAsia="en-IE"/>
              </w:rPr>
              <w:t>2.87</w:t>
            </w:r>
          </w:p>
        </w:tc>
      </w:tr>
      <w:tr w:rsidR="0038089E" w:rsidRPr="0038089E" w:rsidTr="006E71D8">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Cat 6</w:t>
            </w:r>
          </w:p>
        </w:tc>
        <w:tc>
          <w:tcPr>
            <w:tcW w:w="2686" w:type="dxa"/>
            <w:tcBorders>
              <w:top w:val="single" w:sz="4" w:space="0" w:color="auto"/>
              <w:left w:val="nil"/>
              <w:bottom w:val="single" w:sz="8" w:space="0" w:color="auto"/>
              <w:right w:val="single" w:sz="8" w:space="0" w:color="auto"/>
            </w:tcBorders>
            <w:shd w:val="clear" w:color="auto" w:fill="B6DDE8" w:themeFill="accent5" w:themeFillTint="66"/>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2014</w:t>
            </w:r>
          </w:p>
        </w:tc>
      </w:tr>
      <w:tr w:rsidR="00707DC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Valid</w:t>
            </w:r>
          </w:p>
        </w:tc>
        <w:tc>
          <w:tcPr>
            <w:tcW w:w="2686"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26</w:t>
            </w:r>
          </w:p>
        </w:tc>
      </w:tr>
      <w:tr w:rsidR="00707DC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Missing</w:t>
            </w:r>
          </w:p>
        </w:tc>
        <w:tc>
          <w:tcPr>
            <w:tcW w:w="2686"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5</w:t>
            </w:r>
          </w:p>
        </w:tc>
      </w:tr>
      <w:tr w:rsidR="0038089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Median</w:t>
            </w:r>
          </w:p>
        </w:tc>
        <w:tc>
          <w:tcPr>
            <w:tcW w:w="2686" w:type="dxa"/>
            <w:tcBorders>
              <w:top w:val="nil"/>
              <w:left w:val="nil"/>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2</w:t>
            </w:r>
            <w:r w:rsidR="00707DCE">
              <w:rPr>
                <w:rFonts w:ascii="Calibri" w:eastAsia="Times New Roman" w:hAnsi="Calibri" w:cs="Calibri"/>
                <w:b/>
                <w:bCs/>
                <w:color w:val="000000"/>
                <w:lang w:eastAsia="en-IE"/>
              </w:rPr>
              <w:t>2.63</w:t>
            </w:r>
          </w:p>
        </w:tc>
      </w:tr>
      <w:tr w:rsidR="0038089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Mean</w:t>
            </w:r>
          </w:p>
        </w:tc>
        <w:tc>
          <w:tcPr>
            <w:tcW w:w="2686" w:type="dxa"/>
            <w:tcBorders>
              <w:top w:val="nil"/>
              <w:left w:val="nil"/>
              <w:bottom w:val="single" w:sz="8" w:space="0" w:color="auto"/>
              <w:right w:val="single" w:sz="8" w:space="0" w:color="auto"/>
            </w:tcBorders>
            <w:shd w:val="clear" w:color="auto" w:fill="auto"/>
            <w:vAlign w:val="center"/>
            <w:hideMark/>
          </w:tcPr>
          <w:p w:rsidR="0038089E" w:rsidRPr="0038089E" w:rsidRDefault="00707DCE"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21.29</w:t>
            </w:r>
          </w:p>
        </w:tc>
      </w:tr>
      <w:tr w:rsidR="0038089E" w:rsidRPr="0038089E" w:rsidTr="006E71D8">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Cat 7</w:t>
            </w:r>
          </w:p>
        </w:tc>
        <w:tc>
          <w:tcPr>
            <w:tcW w:w="2686" w:type="dxa"/>
            <w:tcBorders>
              <w:top w:val="nil"/>
              <w:left w:val="nil"/>
              <w:bottom w:val="single" w:sz="8" w:space="0" w:color="auto"/>
              <w:right w:val="single" w:sz="8" w:space="0" w:color="auto"/>
            </w:tcBorders>
            <w:shd w:val="clear" w:color="auto" w:fill="B6DDE8" w:themeFill="accent5" w:themeFillTint="66"/>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2014</w:t>
            </w:r>
          </w:p>
        </w:tc>
      </w:tr>
      <w:tr w:rsidR="00707DC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Valid</w:t>
            </w:r>
          </w:p>
        </w:tc>
        <w:tc>
          <w:tcPr>
            <w:tcW w:w="2686"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26</w:t>
            </w:r>
          </w:p>
        </w:tc>
      </w:tr>
      <w:tr w:rsidR="00707DC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Missing</w:t>
            </w:r>
          </w:p>
        </w:tc>
        <w:tc>
          <w:tcPr>
            <w:tcW w:w="2686"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5</w:t>
            </w:r>
          </w:p>
        </w:tc>
      </w:tr>
      <w:tr w:rsidR="0038089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Median</w:t>
            </w:r>
          </w:p>
        </w:tc>
        <w:tc>
          <w:tcPr>
            <w:tcW w:w="2686" w:type="dxa"/>
            <w:tcBorders>
              <w:top w:val="nil"/>
              <w:left w:val="nil"/>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22</w:t>
            </w:r>
            <w:r w:rsidR="00707DCE">
              <w:rPr>
                <w:rFonts w:ascii="Calibri" w:eastAsia="Times New Roman" w:hAnsi="Calibri" w:cs="Calibri"/>
                <w:b/>
                <w:bCs/>
                <w:color w:val="000000"/>
                <w:lang w:eastAsia="en-IE"/>
              </w:rPr>
              <w:t>.43</w:t>
            </w:r>
          </w:p>
        </w:tc>
      </w:tr>
      <w:tr w:rsidR="0038089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Mean</w:t>
            </w:r>
          </w:p>
        </w:tc>
        <w:tc>
          <w:tcPr>
            <w:tcW w:w="2686" w:type="dxa"/>
            <w:tcBorders>
              <w:top w:val="nil"/>
              <w:left w:val="nil"/>
              <w:bottom w:val="single" w:sz="8" w:space="0" w:color="auto"/>
              <w:right w:val="single" w:sz="8" w:space="0" w:color="auto"/>
            </w:tcBorders>
            <w:shd w:val="clear" w:color="auto" w:fill="auto"/>
            <w:vAlign w:val="center"/>
            <w:hideMark/>
          </w:tcPr>
          <w:p w:rsidR="0038089E" w:rsidRPr="0038089E" w:rsidRDefault="00707DCE"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21.28</w:t>
            </w:r>
          </w:p>
        </w:tc>
      </w:tr>
      <w:tr w:rsidR="0038089E" w:rsidRPr="0038089E" w:rsidTr="006E71D8">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Cat 8</w:t>
            </w:r>
          </w:p>
        </w:tc>
        <w:tc>
          <w:tcPr>
            <w:tcW w:w="2686" w:type="dxa"/>
            <w:tcBorders>
              <w:top w:val="single" w:sz="4" w:space="0" w:color="auto"/>
              <w:left w:val="nil"/>
              <w:bottom w:val="single" w:sz="8" w:space="0" w:color="auto"/>
              <w:right w:val="single" w:sz="8" w:space="0" w:color="auto"/>
            </w:tcBorders>
            <w:shd w:val="clear" w:color="auto" w:fill="B6DDE8" w:themeFill="accent5" w:themeFillTint="66"/>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2014</w:t>
            </w:r>
          </w:p>
        </w:tc>
      </w:tr>
      <w:tr w:rsidR="00707DC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Valid</w:t>
            </w:r>
          </w:p>
        </w:tc>
        <w:tc>
          <w:tcPr>
            <w:tcW w:w="2686"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26</w:t>
            </w:r>
          </w:p>
        </w:tc>
      </w:tr>
      <w:tr w:rsidR="00707DC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Missing</w:t>
            </w:r>
          </w:p>
        </w:tc>
        <w:tc>
          <w:tcPr>
            <w:tcW w:w="2686"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5</w:t>
            </w:r>
          </w:p>
        </w:tc>
      </w:tr>
      <w:tr w:rsidR="0038089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Median</w:t>
            </w:r>
          </w:p>
        </w:tc>
        <w:tc>
          <w:tcPr>
            <w:tcW w:w="2686" w:type="dxa"/>
            <w:tcBorders>
              <w:top w:val="nil"/>
              <w:left w:val="nil"/>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1</w:t>
            </w:r>
            <w:r w:rsidR="00707DCE">
              <w:rPr>
                <w:rFonts w:ascii="Calibri" w:eastAsia="Times New Roman" w:hAnsi="Calibri" w:cs="Calibri"/>
                <w:b/>
                <w:bCs/>
                <w:color w:val="000000"/>
                <w:lang w:eastAsia="en-IE"/>
              </w:rPr>
              <w:t>1.00</w:t>
            </w:r>
          </w:p>
        </w:tc>
      </w:tr>
      <w:tr w:rsidR="0038089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Mean</w:t>
            </w:r>
          </w:p>
        </w:tc>
        <w:tc>
          <w:tcPr>
            <w:tcW w:w="2686" w:type="dxa"/>
            <w:tcBorders>
              <w:top w:val="nil"/>
              <w:left w:val="nil"/>
              <w:bottom w:val="single" w:sz="4"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1</w:t>
            </w:r>
            <w:r w:rsidR="00707DCE">
              <w:rPr>
                <w:rFonts w:ascii="Calibri" w:eastAsia="Times New Roman" w:hAnsi="Calibri" w:cs="Calibri"/>
                <w:color w:val="000000"/>
                <w:lang w:eastAsia="en-IE"/>
              </w:rPr>
              <w:t>3.29</w:t>
            </w:r>
          </w:p>
        </w:tc>
      </w:tr>
      <w:tr w:rsidR="0038089E" w:rsidRPr="0038089E" w:rsidTr="006E71D8">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lastRenderedPageBreak/>
              <w:t>Cat 9</w:t>
            </w:r>
          </w:p>
        </w:tc>
        <w:tc>
          <w:tcPr>
            <w:tcW w:w="2686" w:type="dxa"/>
            <w:tcBorders>
              <w:top w:val="single" w:sz="4" w:space="0" w:color="auto"/>
              <w:left w:val="nil"/>
              <w:bottom w:val="single" w:sz="8" w:space="0" w:color="auto"/>
              <w:right w:val="single" w:sz="8" w:space="0" w:color="auto"/>
            </w:tcBorders>
            <w:shd w:val="clear" w:color="auto" w:fill="B6DDE8" w:themeFill="accent5" w:themeFillTint="66"/>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2014</w:t>
            </w:r>
          </w:p>
        </w:tc>
      </w:tr>
      <w:tr w:rsidR="00707DC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Valid</w:t>
            </w:r>
          </w:p>
        </w:tc>
        <w:tc>
          <w:tcPr>
            <w:tcW w:w="2686"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26</w:t>
            </w:r>
          </w:p>
        </w:tc>
      </w:tr>
      <w:tr w:rsidR="00707DC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Missing</w:t>
            </w:r>
          </w:p>
        </w:tc>
        <w:tc>
          <w:tcPr>
            <w:tcW w:w="2686"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5</w:t>
            </w:r>
          </w:p>
        </w:tc>
      </w:tr>
      <w:tr w:rsidR="0038089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Median</w:t>
            </w:r>
          </w:p>
        </w:tc>
        <w:tc>
          <w:tcPr>
            <w:tcW w:w="2686" w:type="dxa"/>
            <w:tcBorders>
              <w:top w:val="nil"/>
              <w:left w:val="nil"/>
              <w:bottom w:val="single" w:sz="8" w:space="0" w:color="auto"/>
              <w:right w:val="single" w:sz="8" w:space="0" w:color="auto"/>
            </w:tcBorders>
            <w:shd w:val="clear" w:color="auto" w:fill="auto"/>
            <w:vAlign w:val="center"/>
            <w:hideMark/>
          </w:tcPr>
          <w:p w:rsidR="0038089E" w:rsidRPr="0038089E" w:rsidRDefault="00707DCE" w:rsidP="0082378C">
            <w:pPr>
              <w:spacing w:after="0" w:line="240" w:lineRule="auto"/>
              <w:rPr>
                <w:rFonts w:ascii="Calibri" w:eastAsia="Times New Roman" w:hAnsi="Calibri" w:cs="Calibri"/>
                <w:b/>
                <w:bCs/>
                <w:color w:val="000000"/>
                <w:lang w:eastAsia="en-IE"/>
              </w:rPr>
            </w:pPr>
            <w:r>
              <w:rPr>
                <w:rFonts w:ascii="Calibri" w:eastAsia="Times New Roman" w:hAnsi="Calibri" w:cs="Calibri"/>
                <w:b/>
                <w:bCs/>
                <w:color w:val="000000"/>
                <w:lang w:eastAsia="en-IE"/>
              </w:rPr>
              <w:t>8.32</w:t>
            </w:r>
          </w:p>
        </w:tc>
      </w:tr>
      <w:tr w:rsidR="0038089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Mean</w:t>
            </w:r>
          </w:p>
        </w:tc>
        <w:tc>
          <w:tcPr>
            <w:tcW w:w="2686" w:type="dxa"/>
            <w:tcBorders>
              <w:top w:val="nil"/>
              <w:left w:val="nil"/>
              <w:bottom w:val="single" w:sz="8" w:space="0" w:color="auto"/>
              <w:right w:val="single" w:sz="8" w:space="0" w:color="auto"/>
            </w:tcBorders>
            <w:shd w:val="clear" w:color="auto" w:fill="auto"/>
            <w:vAlign w:val="center"/>
            <w:hideMark/>
          </w:tcPr>
          <w:p w:rsidR="0038089E" w:rsidRPr="0038089E" w:rsidRDefault="00707DCE"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9.61</w:t>
            </w:r>
          </w:p>
        </w:tc>
      </w:tr>
      <w:tr w:rsidR="0038089E" w:rsidRPr="0038089E" w:rsidTr="006E71D8">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Cat 10</w:t>
            </w:r>
          </w:p>
        </w:tc>
        <w:tc>
          <w:tcPr>
            <w:tcW w:w="2686" w:type="dxa"/>
            <w:tcBorders>
              <w:top w:val="nil"/>
              <w:left w:val="nil"/>
              <w:bottom w:val="single" w:sz="8" w:space="0" w:color="auto"/>
              <w:right w:val="single" w:sz="8" w:space="0" w:color="auto"/>
            </w:tcBorders>
            <w:shd w:val="clear" w:color="auto" w:fill="B6DDE8" w:themeFill="accent5" w:themeFillTint="66"/>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2014</w:t>
            </w:r>
          </w:p>
        </w:tc>
      </w:tr>
      <w:tr w:rsidR="00707DC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Valid</w:t>
            </w:r>
          </w:p>
        </w:tc>
        <w:tc>
          <w:tcPr>
            <w:tcW w:w="2686"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26</w:t>
            </w:r>
          </w:p>
        </w:tc>
      </w:tr>
      <w:tr w:rsidR="00707DC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Missing</w:t>
            </w:r>
          </w:p>
        </w:tc>
        <w:tc>
          <w:tcPr>
            <w:tcW w:w="2686" w:type="dxa"/>
            <w:tcBorders>
              <w:top w:val="nil"/>
              <w:left w:val="nil"/>
              <w:bottom w:val="single" w:sz="8" w:space="0" w:color="auto"/>
              <w:right w:val="single" w:sz="8" w:space="0" w:color="auto"/>
            </w:tcBorders>
            <w:shd w:val="clear" w:color="auto" w:fill="auto"/>
            <w:vAlign w:val="center"/>
            <w:hideMark/>
          </w:tcPr>
          <w:p w:rsidR="00707DCE" w:rsidRPr="0038089E" w:rsidRDefault="00707DCE"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5</w:t>
            </w:r>
          </w:p>
        </w:tc>
      </w:tr>
      <w:tr w:rsidR="0038089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Median</w:t>
            </w:r>
          </w:p>
        </w:tc>
        <w:tc>
          <w:tcPr>
            <w:tcW w:w="2686" w:type="dxa"/>
            <w:tcBorders>
              <w:top w:val="nil"/>
              <w:left w:val="nil"/>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b/>
                <w:bCs/>
                <w:color w:val="000000"/>
                <w:lang w:eastAsia="en-IE"/>
              </w:rPr>
            </w:pPr>
            <w:r w:rsidRPr="0038089E">
              <w:rPr>
                <w:rFonts w:ascii="Calibri" w:eastAsia="Times New Roman" w:hAnsi="Calibri" w:cs="Calibri"/>
                <w:b/>
                <w:bCs/>
                <w:color w:val="000000"/>
                <w:lang w:eastAsia="en-IE"/>
              </w:rPr>
              <w:t>0.</w:t>
            </w:r>
            <w:r w:rsidR="00707DCE">
              <w:rPr>
                <w:rFonts w:ascii="Calibri" w:eastAsia="Times New Roman" w:hAnsi="Calibri" w:cs="Calibri"/>
                <w:b/>
                <w:bCs/>
                <w:color w:val="000000"/>
                <w:lang w:eastAsia="en-IE"/>
              </w:rPr>
              <w:t>90</w:t>
            </w:r>
          </w:p>
        </w:tc>
      </w:tr>
      <w:tr w:rsidR="0038089E" w:rsidRPr="0038089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38089E" w:rsidRPr="0038089E" w:rsidRDefault="0038089E" w:rsidP="0082378C">
            <w:pPr>
              <w:spacing w:after="0" w:line="240" w:lineRule="auto"/>
              <w:rPr>
                <w:rFonts w:ascii="Calibri" w:eastAsia="Times New Roman" w:hAnsi="Calibri" w:cs="Calibri"/>
                <w:color w:val="000000"/>
                <w:lang w:eastAsia="en-IE"/>
              </w:rPr>
            </w:pPr>
            <w:r w:rsidRPr="0038089E">
              <w:rPr>
                <w:rFonts w:ascii="Calibri" w:eastAsia="Times New Roman" w:hAnsi="Calibri" w:cs="Calibri"/>
                <w:color w:val="000000"/>
                <w:lang w:eastAsia="en-IE"/>
              </w:rPr>
              <w:t>Mean</w:t>
            </w:r>
          </w:p>
        </w:tc>
        <w:tc>
          <w:tcPr>
            <w:tcW w:w="2686" w:type="dxa"/>
            <w:tcBorders>
              <w:top w:val="nil"/>
              <w:left w:val="nil"/>
              <w:bottom w:val="single" w:sz="8" w:space="0" w:color="auto"/>
              <w:right w:val="single" w:sz="8" w:space="0" w:color="auto"/>
            </w:tcBorders>
            <w:shd w:val="clear" w:color="auto" w:fill="auto"/>
            <w:vAlign w:val="center"/>
            <w:hideMark/>
          </w:tcPr>
          <w:p w:rsidR="0038089E" w:rsidRPr="0038089E" w:rsidRDefault="000060D8" w:rsidP="0082378C">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1.</w:t>
            </w:r>
            <w:r w:rsidR="00707DCE">
              <w:rPr>
                <w:rFonts w:ascii="Calibri" w:eastAsia="Times New Roman" w:hAnsi="Calibri" w:cs="Calibri"/>
                <w:color w:val="000000"/>
                <w:lang w:eastAsia="en-IE"/>
              </w:rPr>
              <w:t>57</w:t>
            </w:r>
          </w:p>
        </w:tc>
      </w:tr>
    </w:tbl>
    <w:p w:rsidR="00E214E3" w:rsidRDefault="00E214E3" w:rsidP="00201EC9">
      <w:pPr>
        <w:rPr>
          <w:rFonts w:cstheme="minorHAnsi"/>
          <w:b/>
        </w:rPr>
      </w:pPr>
    </w:p>
    <w:p w:rsidR="00E214E3" w:rsidRDefault="00E214E3" w:rsidP="00201EC9">
      <w:pPr>
        <w:rPr>
          <w:rFonts w:cstheme="minorHAnsi"/>
          <w:b/>
        </w:rPr>
      </w:pPr>
    </w:p>
    <w:p w:rsidR="00E214E3" w:rsidRPr="00B97E75" w:rsidRDefault="00E214E3" w:rsidP="00201EC9">
      <w:pPr>
        <w:rPr>
          <w:rFonts w:cstheme="minorHAnsi"/>
          <w:b/>
        </w:rPr>
      </w:pPr>
    </w:p>
    <w:p w:rsidR="0038089E" w:rsidRDefault="0038089E">
      <w:pPr>
        <w:rPr>
          <w:rFonts w:cstheme="minorHAnsi"/>
          <w:b/>
        </w:rPr>
      </w:pPr>
    </w:p>
    <w:p w:rsidR="0038089E" w:rsidRDefault="0038089E">
      <w:pPr>
        <w:rPr>
          <w:rFonts w:cstheme="minorHAnsi"/>
          <w:b/>
        </w:rPr>
      </w:pPr>
    </w:p>
    <w:p w:rsidR="0038089E" w:rsidRDefault="0038089E">
      <w:pPr>
        <w:rPr>
          <w:rFonts w:cstheme="minorHAnsi"/>
          <w:b/>
        </w:rPr>
      </w:pPr>
    </w:p>
    <w:p w:rsidR="0038089E" w:rsidRDefault="0038089E">
      <w:pPr>
        <w:rPr>
          <w:rFonts w:cstheme="minorHAnsi"/>
          <w:b/>
        </w:rPr>
      </w:pPr>
    </w:p>
    <w:p w:rsidR="0038089E" w:rsidRDefault="0038089E">
      <w:pPr>
        <w:rPr>
          <w:rFonts w:cstheme="minorHAnsi"/>
          <w:b/>
        </w:rPr>
      </w:pPr>
    </w:p>
    <w:p w:rsidR="00354A40" w:rsidRDefault="00354A40">
      <w:pPr>
        <w:rPr>
          <w:rFonts w:cstheme="minorHAnsi"/>
          <w:b/>
        </w:rPr>
      </w:pPr>
      <w:r>
        <w:rPr>
          <w:rFonts w:cstheme="minorHAnsi"/>
          <w:b/>
        </w:rPr>
        <w:br w:type="page"/>
      </w:r>
    </w:p>
    <w:p w:rsidR="0038089E" w:rsidRPr="0038089E" w:rsidRDefault="004C099D" w:rsidP="0038089E">
      <w:pPr>
        <w:rPr>
          <w:rFonts w:ascii="Calibri" w:eastAsia="Times New Roman" w:hAnsi="Calibri" w:cs="Calibri"/>
          <w:color w:val="000000"/>
          <w:lang w:eastAsia="en-IE"/>
        </w:rPr>
      </w:pPr>
      <w:r>
        <w:rPr>
          <w:rFonts w:cstheme="minorHAnsi"/>
          <w:b/>
        </w:rPr>
        <w:lastRenderedPageBreak/>
        <w:t xml:space="preserve">Table </w:t>
      </w:r>
      <w:r w:rsidR="00B70292">
        <w:rPr>
          <w:rFonts w:cstheme="minorHAnsi"/>
          <w:b/>
        </w:rPr>
        <w:t>9</w:t>
      </w:r>
      <w:r w:rsidR="00201EC9" w:rsidRPr="00B97E75">
        <w:rPr>
          <w:rFonts w:cstheme="minorHAnsi"/>
          <w:b/>
        </w:rPr>
        <w:t xml:space="preserve">: </w:t>
      </w:r>
      <w:r w:rsidR="0038089E" w:rsidRPr="0038089E">
        <w:rPr>
          <w:rFonts w:ascii="Calibri" w:eastAsia="Times New Roman" w:hAnsi="Calibri" w:cs="Calibri"/>
          <w:color w:val="000000"/>
          <w:lang w:eastAsia="en-IE"/>
        </w:rPr>
        <w:t>Ratings in Pavement Surface Condition Index - Local Tertiary</w:t>
      </w:r>
      <w:r w:rsidR="000F78DF">
        <w:rPr>
          <w:rFonts w:ascii="Calibri" w:eastAsia="Times New Roman" w:hAnsi="Calibri" w:cs="Calibri"/>
          <w:color w:val="000000"/>
          <w:lang w:eastAsia="en-IE"/>
        </w:rPr>
        <w:t xml:space="preserve"> </w:t>
      </w:r>
      <w:r w:rsidR="000F78DF">
        <w:rPr>
          <w:rFonts w:cstheme="minorHAnsi"/>
        </w:rPr>
        <w:t>as at 31/12/2014</w:t>
      </w:r>
    </w:p>
    <w:tbl>
      <w:tblPr>
        <w:tblStyle w:val="LightGrid-Accent5"/>
        <w:tblW w:w="5304" w:type="pct"/>
        <w:tblLook w:val="04A0" w:firstRow="1" w:lastRow="0" w:firstColumn="1" w:lastColumn="0" w:noHBand="0" w:noVBand="1"/>
      </w:tblPr>
      <w:tblGrid>
        <w:gridCol w:w="2321"/>
        <w:gridCol w:w="717"/>
        <w:gridCol w:w="718"/>
        <w:gridCol w:w="718"/>
        <w:gridCol w:w="720"/>
        <w:gridCol w:w="718"/>
        <w:gridCol w:w="784"/>
        <w:gridCol w:w="718"/>
        <w:gridCol w:w="786"/>
        <w:gridCol w:w="718"/>
        <w:gridCol w:w="886"/>
      </w:tblGrid>
      <w:tr w:rsidR="00631B23" w:rsidRPr="00631B23" w:rsidTr="00771880">
        <w:trPr>
          <w:cnfStyle w:val="100000000000" w:firstRow="1" w:lastRow="0" w:firstColumn="0" w:lastColumn="0" w:oddVBand="0" w:evenVBand="0" w:oddHBand="0"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184" w:type="pct"/>
            <w:noWrap/>
            <w:vAlign w:val="center"/>
            <w:hideMark/>
          </w:tcPr>
          <w:p w:rsidR="00631B23" w:rsidRPr="00631B23" w:rsidRDefault="00631B23" w:rsidP="00771880">
            <w:pPr>
              <w:rPr>
                <w:rFonts w:asciiTheme="minorHAnsi" w:hAnsiTheme="minorHAnsi" w:cstheme="minorHAnsi"/>
                <w:sz w:val="20"/>
                <w:szCs w:val="20"/>
              </w:rPr>
            </w:pPr>
          </w:p>
        </w:tc>
        <w:tc>
          <w:tcPr>
            <w:tcW w:w="1465" w:type="pct"/>
            <w:gridSpan w:val="4"/>
            <w:shd w:val="clear" w:color="auto" w:fill="FFBDBD"/>
            <w:vAlign w:val="center"/>
            <w:hideMark/>
          </w:tcPr>
          <w:p w:rsidR="00631B23" w:rsidRPr="00631B23" w:rsidRDefault="00D26CA9" w:rsidP="0077188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eastAsia="Times New Roman" w:hAnsi="Calibri" w:cs="Calibri"/>
                <w:color w:val="000000"/>
                <w:sz w:val="20"/>
                <w:szCs w:val="20"/>
                <w:lang w:eastAsia="en-IE"/>
              </w:rPr>
              <w:t>Structural Distress</w:t>
            </w:r>
          </w:p>
        </w:tc>
        <w:tc>
          <w:tcPr>
            <w:tcW w:w="766" w:type="pct"/>
            <w:gridSpan w:val="2"/>
            <w:shd w:val="clear" w:color="auto" w:fill="FFE89F"/>
            <w:vAlign w:val="center"/>
            <w:hideMark/>
          </w:tcPr>
          <w:p w:rsidR="00631B23" w:rsidRPr="00631B23" w:rsidRDefault="00631B23" w:rsidP="0077188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1B23">
              <w:rPr>
                <w:rFonts w:asciiTheme="minorHAnsi" w:hAnsiTheme="minorHAnsi" w:cstheme="minorHAnsi"/>
                <w:sz w:val="20"/>
                <w:szCs w:val="20"/>
              </w:rPr>
              <w:t>Pavement Defects</w:t>
            </w:r>
          </w:p>
        </w:tc>
        <w:tc>
          <w:tcPr>
            <w:tcW w:w="767" w:type="pct"/>
            <w:gridSpan w:val="2"/>
            <w:shd w:val="clear" w:color="auto" w:fill="9BD4FF"/>
            <w:vAlign w:val="center"/>
            <w:hideMark/>
          </w:tcPr>
          <w:p w:rsidR="00631B23" w:rsidRPr="00631B23" w:rsidRDefault="00631B23" w:rsidP="0077188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1B23">
              <w:rPr>
                <w:rFonts w:asciiTheme="minorHAnsi" w:hAnsiTheme="minorHAnsi" w:cstheme="minorHAnsi"/>
                <w:sz w:val="20"/>
                <w:szCs w:val="20"/>
              </w:rPr>
              <w:t>Surface Defects</w:t>
            </w:r>
          </w:p>
        </w:tc>
        <w:tc>
          <w:tcPr>
            <w:tcW w:w="818" w:type="pct"/>
            <w:gridSpan w:val="2"/>
            <w:shd w:val="clear" w:color="auto" w:fill="ABFFD1"/>
            <w:vAlign w:val="center"/>
            <w:hideMark/>
          </w:tcPr>
          <w:p w:rsidR="00631B23" w:rsidRPr="00631B23" w:rsidRDefault="00631B23" w:rsidP="0077188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1B23">
              <w:rPr>
                <w:rFonts w:asciiTheme="minorHAnsi" w:hAnsiTheme="minorHAnsi" w:cstheme="minorHAnsi"/>
                <w:sz w:val="20"/>
                <w:szCs w:val="20"/>
              </w:rPr>
              <w:t xml:space="preserve">Not Visible/Minor </w:t>
            </w:r>
          </w:p>
        </w:tc>
      </w:tr>
      <w:tr w:rsidR="00631B23" w:rsidRPr="0083560E" w:rsidTr="00762CD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jc w:val="cente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Authority</w:t>
            </w:r>
          </w:p>
        </w:tc>
        <w:tc>
          <w:tcPr>
            <w:tcW w:w="366" w:type="pct"/>
            <w:hideMark/>
          </w:tcPr>
          <w:p w:rsidR="0083560E" w:rsidRPr="0083560E" w:rsidRDefault="0083560E" w:rsidP="00835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Cat. 1</w:t>
            </w:r>
          </w:p>
        </w:tc>
        <w:tc>
          <w:tcPr>
            <w:tcW w:w="366" w:type="pct"/>
            <w:hideMark/>
          </w:tcPr>
          <w:p w:rsidR="0083560E" w:rsidRPr="0083560E" w:rsidRDefault="0083560E" w:rsidP="00835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Cat. 2</w:t>
            </w:r>
          </w:p>
        </w:tc>
        <w:tc>
          <w:tcPr>
            <w:tcW w:w="366" w:type="pct"/>
            <w:hideMark/>
          </w:tcPr>
          <w:p w:rsidR="0083560E" w:rsidRPr="0083560E" w:rsidRDefault="0083560E" w:rsidP="00835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Cat. 3</w:t>
            </w:r>
          </w:p>
        </w:tc>
        <w:tc>
          <w:tcPr>
            <w:tcW w:w="367" w:type="pct"/>
            <w:hideMark/>
          </w:tcPr>
          <w:p w:rsidR="0083560E" w:rsidRPr="0083560E" w:rsidRDefault="0083560E" w:rsidP="00835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Cat. 4</w:t>
            </w:r>
          </w:p>
        </w:tc>
        <w:tc>
          <w:tcPr>
            <w:tcW w:w="366" w:type="pct"/>
            <w:hideMark/>
          </w:tcPr>
          <w:p w:rsidR="0083560E" w:rsidRPr="0083560E" w:rsidRDefault="0083560E" w:rsidP="00835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Cat. 5</w:t>
            </w:r>
          </w:p>
        </w:tc>
        <w:tc>
          <w:tcPr>
            <w:tcW w:w="400" w:type="pct"/>
            <w:hideMark/>
          </w:tcPr>
          <w:p w:rsidR="0083560E" w:rsidRPr="0083560E" w:rsidRDefault="0083560E" w:rsidP="00835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Cat. 6</w:t>
            </w:r>
          </w:p>
        </w:tc>
        <w:tc>
          <w:tcPr>
            <w:tcW w:w="366" w:type="pct"/>
            <w:hideMark/>
          </w:tcPr>
          <w:p w:rsidR="0083560E" w:rsidRPr="0083560E" w:rsidRDefault="0083560E" w:rsidP="00835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Cat. 7</w:t>
            </w:r>
          </w:p>
        </w:tc>
        <w:tc>
          <w:tcPr>
            <w:tcW w:w="401" w:type="pct"/>
            <w:hideMark/>
          </w:tcPr>
          <w:p w:rsidR="0083560E" w:rsidRPr="0083560E" w:rsidRDefault="0083560E" w:rsidP="00835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Cat. 8</w:t>
            </w:r>
          </w:p>
        </w:tc>
        <w:tc>
          <w:tcPr>
            <w:tcW w:w="366" w:type="pct"/>
            <w:hideMark/>
          </w:tcPr>
          <w:p w:rsidR="0083560E" w:rsidRPr="0083560E" w:rsidRDefault="0083560E" w:rsidP="00835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Cat. 9</w:t>
            </w:r>
          </w:p>
        </w:tc>
        <w:tc>
          <w:tcPr>
            <w:tcW w:w="452" w:type="pct"/>
            <w:hideMark/>
          </w:tcPr>
          <w:p w:rsidR="0083560E" w:rsidRPr="0083560E" w:rsidRDefault="0083560E" w:rsidP="008356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Cat. 10</w:t>
            </w:r>
          </w:p>
        </w:tc>
      </w:tr>
      <w:tr w:rsidR="00631B23" w:rsidRPr="0083560E" w:rsidTr="00762CD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lang w:eastAsia="en-IE"/>
              </w:rPr>
            </w:pPr>
            <w:r w:rsidRPr="0083560E">
              <w:rPr>
                <w:rFonts w:ascii="Calibri" w:eastAsia="Times New Roman" w:hAnsi="Calibri" w:cs="Calibri"/>
                <w:color w:val="000000"/>
                <w:lang w:eastAsia="en-IE"/>
              </w:rPr>
              <w:t> </w:t>
            </w:r>
          </w:p>
        </w:tc>
        <w:tc>
          <w:tcPr>
            <w:tcW w:w="366" w:type="pct"/>
            <w:hideMark/>
          </w:tcPr>
          <w:p w:rsidR="0083560E" w:rsidRPr="0083560E" w:rsidRDefault="0083560E" w:rsidP="0083560E">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83560E">
              <w:rPr>
                <w:rFonts w:ascii="Calibri" w:eastAsia="Times New Roman" w:hAnsi="Calibri" w:cs="Calibri"/>
                <w:color w:val="000000"/>
                <w:lang w:eastAsia="en-IE"/>
              </w:rPr>
              <w:t> </w:t>
            </w:r>
          </w:p>
        </w:tc>
        <w:tc>
          <w:tcPr>
            <w:tcW w:w="366" w:type="pct"/>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83560E">
              <w:rPr>
                <w:rFonts w:ascii="Calibri" w:eastAsia="Times New Roman" w:hAnsi="Calibri" w:cs="Calibri"/>
                <w:color w:val="000000"/>
                <w:lang w:eastAsia="en-IE"/>
              </w:rPr>
              <w:t> </w:t>
            </w:r>
          </w:p>
        </w:tc>
        <w:tc>
          <w:tcPr>
            <w:tcW w:w="366" w:type="pct"/>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83560E">
              <w:rPr>
                <w:rFonts w:ascii="Calibri" w:eastAsia="Times New Roman" w:hAnsi="Calibri" w:cs="Calibri"/>
                <w:color w:val="000000"/>
                <w:lang w:eastAsia="en-IE"/>
              </w:rPr>
              <w:t> </w:t>
            </w:r>
          </w:p>
        </w:tc>
        <w:tc>
          <w:tcPr>
            <w:tcW w:w="367" w:type="pct"/>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83560E">
              <w:rPr>
                <w:rFonts w:ascii="Calibri" w:eastAsia="Times New Roman" w:hAnsi="Calibri" w:cs="Calibri"/>
                <w:color w:val="000000"/>
                <w:lang w:eastAsia="en-IE"/>
              </w:rPr>
              <w:t> </w:t>
            </w:r>
          </w:p>
        </w:tc>
        <w:tc>
          <w:tcPr>
            <w:tcW w:w="366" w:type="pct"/>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83560E">
              <w:rPr>
                <w:rFonts w:ascii="Calibri" w:eastAsia="Times New Roman" w:hAnsi="Calibri" w:cs="Calibri"/>
                <w:color w:val="000000"/>
                <w:lang w:eastAsia="en-IE"/>
              </w:rPr>
              <w:t> </w:t>
            </w:r>
          </w:p>
        </w:tc>
        <w:tc>
          <w:tcPr>
            <w:tcW w:w="400" w:type="pct"/>
            <w:hideMark/>
          </w:tcPr>
          <w:p w:rsidR="0083560E" w:rsidRPr="0083560E" w:rsidRDefault="0083560E" w:rsidP="0083560E">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83560E">
              <w:rPr>
                <w:rFonts w:ascii="Calibri" w:eastAsia="Times New Roman" w:hAnsi="Calibri" w:cs="Calibri"/>
                <w:color w:val="000000"/>
                <w:lang w:eastAsia="en-IE"/>
              </w:rPr>
              <w:t> </w:t>
            </w:r>
          </w:p>
        </w:tc>
        <w:tc>
          <w:tcPr>
            <w:tcW w:w="366" w:type="pct"/>
            <w:hideMark/>
          </w:tcPr>
          <w:p w:rsidR="0083560E" w:rsidRPr="0083560E" w:rsidRDefault="0083560E" w:rsidP="0083560E">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83560E">
              <w:rPr>
                <w:rFonts w:ascii="Calibri" w:eastAsia="Times New Roman" w:hAnsi="Calibri" w:cs="Calibri"/>
                <w:color w:val="000000"/>
                <w:lang w:eastAsia="en-IE"/>
              </w:rPr>
              <w:t> </w:t>
            </w:r>
          </w:p>
        </w:tc>
        <w:tc>
          <w:tcPr>
            <w:tcW w:w="401" w:type="pct"/>
            <w:hideMark/>
          </w:tcPr>
          <w:p w:rsidR="0083560E" w:rsidRPr="0083560E" w:rsidRDefault="0083560E" w:rsidP="0083560E">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83560E">
              <w:rPr>
                <w:rFonts w:ascii="Calibri" w:eastAsia="Times New Roman" w:hAnsi="Calibri" w:cs="Calibri"/>
                <w:color w:val="000000"/>
                <w:lang w:eastAsia="en-IE"/>
              </w:rPr>
              <w:t> </w:t>
            </w:r>
          </w:p>
        </w:tc>
        <w:tc>
          <w:tcPr>
            <w:tcW w:w="366" w:type="pct"/>
            <w:hideMark/>
          </w:tcPr>
          <w:p w:rsidR="0083560E" w:rsidRPr="0083560E" w:rsidRDefault="0083560E" w:rsidP="0083560E">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83560E">
              <w:rPr>
                <w:rFonts w:ascii="Calibri" w:eastAsia="Times New Roman" w:hAnsi="Calibri" w:cs="Calibri"/>
                <w:color w:val="000000"/>
                <w:lang w:eastAsia="en-IE"/>
              </w:rPr>
              <w:t> </w:t>
            </w:r>
          </w:p>
        </w:tc>
        <w:tc>
          <w:tcPr>
            <w:tcW w:w="452" w:type="pct"/>
            <w:noWrap/>
            <w:hideMark/>
          </w:tcPr>
          <w:p w:rsidR="0083560E" w:rsidRPr="0083560E" w:rsidRDefault="0083560E" w:rsidP="0083560E">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83560E">
              <w:rPr>
                <w:rFonts w:ascii="Calibri" w:eastAsia="Times New Roman" w:hAnsi="Calibri" w:cs="Calibri"/>
                <w:color w:val="000000"/>
                <w:lang w:eastAsia="en-IE"/>
              </w:rPr>
              <w:t> </w:t>
            </w:r>
          </w:p>
        </w:tc>
      </w:tr>
      <w:tr w:rsidR="00631B23" w:rsidRPr="0083560E" w:rsidTr="00762C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Carlow County</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4</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6</w:t>
            </w:r>
          </w:p>
        </w:tc>
        <w:tc>
          <w:tcPr>
            <w:tcW w:w="367"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20</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20</w:t>
            </w:r>
          </w:p>
        </w:tc>
        <w:tc>
          <w:tcPr>
            <w:tcW w:w="400"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22</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19</w:t>
            </w:r>
          </w:p>
        </w:tc>
        <w:tc>
          <w:tcPr>
            <w:tcW w:w="401"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6</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w:t>
            </w:r>
          </w:p>
        </w:tc>
        <w:tc>
          <w:tcPr>
            <w:tcW w:w="452"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vertAlign w:val="superscript"/>
                <w:lang w:eastAsia="en-IE"/>
              </w:rPr>
            </w:pPr>
            <w:r w:rsidRPr="0083560E">
              <w:rPr>
                <w:rFonts w:ascii="Calibri" w:eastAsia="Times New Roman" w:hAnsi="Calibri" w:cs="Calibri"/>
                <w:color w:val="000000"/>
                <w:sz w:val="18"/>
                <w:szCs w:val="18"/>
                <w:lang w:eastAsia="en-IE"/>
              </w:rPr>
              <w:t>0</w:t>
            </w:r>
          </w:p>
        </w:tc>
      </w:tr>
      <w:tr w:rsidR="00631B23" w:rsidRPr="0083560E" w:rsidTr="00762CD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Cavan County</w:t>
            </w:r>
          </w:p>
        </w:tc>
        <w:tc>
          <w:tcPr>
            <w:tcW w:w="366" w:type="pct"/>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3</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w:t>
            </w:r>
          </w:p>
        </w:tc>
        <w:tc>
          <w:tcPr>
            <w:tcW w:w="367"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9</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18</w:t>
            </w:r>
          </w:p>
        </w:tc>
        <w:tc>
          <w:tcPr>
            <w:tcW w:w="400"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30</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27</w:t>
            </w:r>
          </w:p>
        </w:tc>
        <w:tc>
          <w:tcPr>
            <w:tcW w:w="401"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9</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w:t>
            </w:r>
          </w:p>
        </w:tc>
        <w:tc>
          <w:tcPr>
            <w:tcW w:w="452"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w:t>
            </w:r>
          </w:p>
        </w:tc>
      </w:tr>
      <w:tr w:rsidR="00631B23" w:rsidRPr="0083560E" w:rsidTr="00762C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Clare County</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22</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5</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7</w:t>
            </w:r>
          </w:p>
        </w:tc>
        <w:tc>
          <w:tcPr>
            <w:tcW w:w="367"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15</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12</w:t>
            </w:r>
          </w:p>
        </w:tc>
        <w:tc>
          <w:tcPr>
            <w:tcW w:w="400"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8</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17</w:t>
            </w:r>
          </w:p>
        </w:tc>
        <w:tc>
          <w:tcPr>
            <w:tcW w:w="401"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6</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6</w:t>
            </w:r>
          </w:p>
        </w:tc>
        <w:tc>
          <w:tcPr>
            <w:tcW w:w="452"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w:t>
            </w:r>
          </w:p>
        </w:tc>
      </w:tr>
      <w:tr w:rsidR="00762CD3" w:rsidRPr="0083560E" w:rsidTr="00762CD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762CD3" w:rsidRPr="0083560E" w:rsidRDefault="00762CD3"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Cork City</w:t>
            </w:r>
          </w:p>
        </w:tc>
        <w:tc>
          <w:tcPr>
            <w:tcW w:w="366" w:type="pct"/>
            <w:hideMark/>
          </w:tcPr>
          <w:p w:rsidR="00762CD3" w:rsidRPr="0083560E" w:rsidRDefault="00762CD3"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vertAlign w:val="superscript"/>
                <w:lang w:eastAsia="en-IE"/>
              </w:rPr>
            </w:pPr>
            <w:r w:rsidRPr="0083560E">
              <w:rPr>
                <w:rFonts w:ascii="Calibri" w:eastAsia="Times New Roman" w:hAnsi="Calibri" w:cs="Calibri"/>
                <w:color w:val="000000"/>
                <w:sz w:val="18"/>
                <w:szCs w:val="18"/>
                <w:lang w:eastAsia="en-IE"/>
              </w:rPr>
              <w:t>N/A</w:t>
            </w:r>
            <w:r>
              <w:rPr>
                <w:rFonts w:ascii="Calibri" w:eastAsia="Times New Roman" w:hAnsi="Calibri" w:cs="Calibri"/>
                <w:color w:val="000000"/>
                <w:sz w:val="18"/>
                <w:szCs w:val="18"/>
                <w:vertAlign w:val="superscript"/>
                <w:lang w:eastAsia="en-IE"/>
              </w:rPr>
              <w:t xml:space="preserve"> </w:t>
            </w:r>
          </w:p>
        </w:tc>
        <w:tc>
          <w:tcPr>
            <w:tcW w:w="366" w:type="pct"/>
            <w:noWrap/>
            <w:hideMark/>
          </w:tcPr>
          <w:p w:rsidR="00762CD3" w:rsidRDefault="00762CD3">
            <w:pPr>
              <w:cnfStyle w:val="000000010000" w:firstRow="0" w:lastRow="0" w:firstColumn="0" w:lastColumn="0" w:oddVBand="0" w:evenVBand="0" w:oddHBand="0" w:evenHBand="1" w:firstRowFirstColumn="0" w:firstRowLastColumn="0" w:lastRowFirstColumn="0" w:lastRowLastColumn="0"/>
            </w:pPr>
            <w:r w:rsidRPr="00B8638F">
              <w:rPr>
                <w:rFonts w:ascii="Calibri" w:eastAsia="Times New Roman" w:hAnsi="Calibri" w:cs="Calibri"/>
                <w:color w:val="000000"/>
                <w:sz w:val="18"/>
                <w:szCs w:val="18"/>
                <w:lang w:eastAsia="en-IE"/>
              </w:rPr>
              <w:t>N/A</w:t>
            </w:r>
          </w:p>
        </w:tc>
        <w:tc>
          <w:tcPr>
            <w:tcW w:w="366" w:type="pct"/>
            <w:noWrap/>
            <w:hideMark/>
          </w:tcPr>
          <w:p w:rsidR="00762CD3" w:rsidRDefault="00762CD3">
            <w:pPr>
              <w:cnfStyle w:val="000000010000" w:firstRow="0" w:lastRow="0" w:firstColumn="0" w:lastColumn="0" w:oddVBand="0" w:evenVBand="0" w:oddHBand="0" w:evenHBand="1" w:firstRowFirstColumn="0" w:firstRowLastColumn="0" w:lastRowFirstColumn="0" w:lastRowLastColumn="0"/>
            </w:pPr>
            <w:r w:rsidRPr="00B8638F">
              <w:rPr>
                <w:rFonts w:ascii="Calibri" w:eastAsia="Times New Roman" w:hAnsi="Calibri" w:cs="Calibri"/>
                <w:color w:val="000000"/>
                <w:sz w:val="18"/>
                <w:szCs w:val="18"/>
                <w:lang w:eastAsia="en-IE"/>
              </w:rPr>
              <w:t>N/A</w:t>
            </w:r>
          </w:p>
        </w:tc>
        <w:tc>
          <w:tcPr>
            <w:tcW w:w="367" w:type="pct"/>
            <w:noWrap/>
            <w:hideMark/>
          </w:tcPr>
          <w:p w:rsidR="00762CD3" w:rsidRDefault="00762CD3">
            <w:pPr>
              <w:cnfStyle w:val="000000010000" w:firstRow="0" w:lastRow="0" w:firstColumn="0" w:lastColumn="0" w:oddVBand="0" w:evenVBand="0" w:oddHBand="0" w:evenHBand="1" w:firstRowFirstColumn="0" w:firstRowLastColumn="0" w:lastRowFirstColumn="0" w:lastRowLastColumn="0"/>
            </w:pPr>
            <w:r w:rsidRPr="00B8638F">
              <w:rPr>
                <w:rFonts w:ascii="Calibri" w:eastAsia="Times New Roman" w:hAnsi="Calibri" w:cs="Calibri"/>
                <w:color w:val="000000"/>
                <w:sz w:val="18"/>
                <w:szCs w:val="18"/>
                <w:lang w:eastAsia="en-IE"/>
              </w:rPr>
              <w:t>N/A</w:t>
            </w:r>
          </w:p>
        </w:tc>
        <w:tc>
          <w:tcPr>
            <w:tcW w:w="366" w:type="pct"/>
            <w:noWrap/>
            <w:hideMark/>
          </w:tcPr>
          <w:p w:rsidR="00762CD3" w:rsidRDefault="00762CD3">
            <w:pPr>
              <w:cnfStyle w:val="000000010000" w:firstRow="0" w:lastRow="0" w:firstColumn="0" w:lastColumn="0" w:oddVBand="0" w:evenVBand="0" w:oddHBand="0" w:evenHBand="1" w:firstRowFirstColumn="0" w:firstRowLastColumn="0" w:lastRowFirstColumn="0" w:lastRowLastColumn="0"/>
            </w:pPr>
            <w:r w:rsidRPr="00B8638F">
              <w:rPr>
                <w:rFonts w:ascii="Calibri" w:eastAsia="Times New Roman" w:hAnsi="Calibri" w:cs="Calibri"/>
                <w:color w:val="000000"/>
                <w:sz w:val="18"/>
                <w:szCs w:val="18"/>
                <w:lang w:eastAsia="en-IE"/>
              </w:rPr>
              <w:t>N/A</w:t>
            </w:r>
          </w:p>
        </w:tc>
        <w:tc>
          <w:tcPr>
            <w:tcW w:w="400" w:type="pct"/>
            <w:noWrap/>
            <w:hideMark/>
          </w:tcPr>
          <w:p w:rsidR="00762CD3" w:rsidRDefault="00762CD3">
            <w:pPr>
              <w:cnfStyle w:val="000000010000" w:firstRow="0" w:lastRow="0" w:firstColumn="0" w:lastColumn="0" w:oddVBand="0" w:evenVBand="0" w:oddHBand="0" w:evenHBand="1" w:firstRowFirstColumn="0" w:firstRowLastColumn="0" w:lastRowFirstColumn="0" w:lastRowLastColumn="0"/>
            </w:pPr>
            <w:r w:rsidRPr="00B8638F">
              <w:rPr>
                <w:rFonts w:ascii="Calibri" w:eastAsia="Times New Roman" w:hAnsi="Calibri" w:cs="Calibri"/>
                <w:color w:val="000000"/>
                <w:sz w:val="18"/>
                <w:szCs w:val="18"/>
                <w:lang w:eastAsia="en-IE"/>
              </w:rPr>
              <w:t>N/A</w:t>
            </w:r>
          </w:p>
        </w:tc>
        <w:tc>
          <w:tcPr>
            <w:tcW w:w="366" w:type="pct"/>
            <w:noWrap/>
            <w:hideMark/>
          </w:tcPr>
          <w:p w:rsidR="00762CD3" w:rsidRDefault="00762CD3">
            <w:pPr>
              <w:cnfStyle w:val="000000010000" w:firstRow="0" w:lastRow="0" w:firstColumn="0" w:lastColumn="0" w:oddVBand="0" w:evenVBand="0" w:oddHBand="0" w:evenHBand="1" w:firstRowFirstColumn="0" w:firstRowLastColumn="0" w:lastRowFirstColumn="0" w:lastRowLastColumn="0"/>
            </w:pPr>
            <w:r w:rsidRPr="00B8638F">
              <w:rPr>
                <w:rFonts w:ascii="Calibri" w:eastAsia="Times New Roman" w:hAnsi="Calibri" w:cs="Calibri"/>
                <w:color w:val="000000"/>
                <w:sz w:val="18"/>
                <w:szCs w:val="18"/>
                <w:lang w:eastAsia="en-IE"/>
              </w:rPr>
              <w:t>N/A</w:t>
            </w:r>
          </w:p>
        </w:tc>
        <w:tc>
          <w:tcPr>
            <w:tcW w:w="401" w:type="pct"/>
            <w:noWrap/>
            <w:hideMark/>
          </w:tcPr>
          <w:p w:rsidR="00762CD3" w:rsidRDefault="00762CD3">
            <w:pPr>
              <w:cnfStyle w:val="000000010000" w:firstRow="0" w:lastRow="0" w:firstColumn="0" w:lastColumn="0" w:oddVBand="0" w:evenVBand="0" w:oddHBand="0" w:evenHBand="1" w:firstRowFirstColumn="0" w:firstRowLastColumn="0" w:lastRowFirstColumn="0" w:lastRowLastColumn="0"/>
            </w:pPr>
            <w:r w:rsidRPr="00B8638F">
              <w:rPr>
                <w:rFonts w:ascii="Calibri" w:eastAsia="Times New Roman" w:hAnsi="Calibri" w:cs="Calibri"/>
                <w:color w:val="000000"/>
                <w:sz w:val="18"/>
                <w:szCs w:val="18"/>
                <w:lang w:eastAsia="en-IE"/>
              </w:rPr>
              <w:t>N/A</w:t>
            </w:r>
          </w:p>
        </w:tc>
        <w:tc>
          <w:tcPr>
            <w:tcW w:w="366" w:type="pct"/>
            <w:noWrap/>
            <w:hideMark/>
          </w:tcPr>
          <w:p w:rsidR="00762CD3" w:rsidRDefault="00762CD3">
            <w:pPr>
              <w:cnfStyle w:val="000000010000" w:firstRow="0" w:lastRow="0" w:firstColumn="0" w:lastColumn="0" w:oddVBand="0" w:evenVBand="0" w:oddHBand="0" w:evenHBand="1" w:firstRowFirstColumn="0" w:firstRowLastColumn="0" w:lastRowFirstColumn="0" w:lastRowLastColumn="0"/>
            </w:pPr>
            <w:r w:rsidRPr="00B8638F">
              <w:rPr>
                <w:rFonts w:ascii="Calibri" w:eastAsia="Times New Roman" w:hAnsi="Calibri" w:cs="Calibri"/>
                <w:color w:val="000000"/>
                <w:sz w:val="18"/>
                <w:szCs w:val="18"/>
                <w:lang w:eastAsia="en-IE"/>
              </w:rPr>
              <w:t>N/A</w:t>
            </w:r>
          </w:p>
        </w:tc>
        <w:tc>
          <w:tcPr>
            <w:tcW w:w="452" w:type="pct"/>
            <w:noWrap/>
            <w:hideMark/>
          </w:tcPr>
          <w:p w:rsidR="00762CD3" w:rsidRPr="0083560E" w:rsidRDefault="00762CD3"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vertAlign w:val="superscript"/>
                <w:lang w:eastAsia="en-IE"/>
              </w:rPr>
            </w:pPr>
            <w:r w:rsidRPr="0083560E">
              <w:rPr>
                <w:rFonts w:ascii="Calibri" w:eastAsia="Times New Roman" w:hAnsi="Calibri" w:cs="Calibri"/>
                <w:color w:val="000000"/>
                <w:sz w:val="18"/>
                <w:szCs w:val="18"/>
                <w:lang w:eastAsia="en-IE"/>
              </w:rPr>
              <w:t>N/A</w:t>
            </w:r>
            <w:r>
              <w:rPr>
                <w:rFonts w:ascii="Calibri" w:eastAsia="Times New Roman" w:hAnsi="Calibri" w:cs="Calibri"/>
                <w:color w:val="000000"/>
                <w:sz w:val="18"/>
                <w:szCs w:val="18"/>
                <w:vertAlign w:val="superscript"/>
                <w:lang w:eastAsia="en-IE"/>
              </w:rPr>
              <w:t xml:space="preserve"> </w:t>
            </w:r>
          </w:p>
        </w:tc>
      </w:tr>
      <w:tr w:rsidR="00631B23" w:rsidRPr="0083560E" w:rsidTr="00762C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Cork County</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5.47</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6.43</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8.38</w:t>
            </w:r>
          </w:p>
        </w:tc>
        <w:tc>
          <w:tcPr>
            <w:tcW w:w="367"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16.13</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12.59</w:t>
            </w:r>
          </w:p>
        </w:tc>
        <w:tc>
          <w:tcPr>
            <w:tcW w:w="400"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12.17</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18.65</w:t>
            </w:r>
          </w:p>
        </w:tc>
        <w:tc>
          <w:tcPr>
            <w:tcW w:w="401"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12.15</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6.26</w:t>
            </w:r>
          </w:p>
        </w:tc>
        <w:tc>
          <w:tcPr>
            <w:tcW w:w="452"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1.77</w:t>
            </w:r>
          </w:p>
        </w:tc>
      </w:tr>
      <w:tr w:rsidR="00631B23" w:rsidRPr="0083560E" w:rsidTr="00762CD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Donegal County</w:t>
            </w:r>
          </w:p>
        </w:tc>
        <w:tc>
          <w:tcPr>
            <w:tcW w:w="366" w:type="pct"/>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9.41</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8.88</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4.21</w:t>
            </w:r>
          </w:p>
        </w:tc>
        <w:tc>
          <w:tcPr>
            <w:tcW w:w="367"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12.32</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10.95</w:t>
            </w:r>
          </w:p>
        </w:tc>
        <w:tc>
          <w:tcPr>
            <w:tcW w:w="400"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14.47</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16.63</w:t>
            </w:r>
          </w:p>
        </w:tc>
        <w:tc>
          <w:tcPr>
            <w:tcW w:w="401"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9.03</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12.57</w:t>
            </w:r>
          </w:p>
        </w:tc>
        <w:tc>
          <w:tcPr>
            <w:tcW w:w="452" w:type="pct"/>
            <w:noWrap/>
            <w:hideMark/>
          </w:tcPr>
          <w:p w:rsidR="0083560E" w:rsidRPr="00CA455B"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vertAlign w:val="superscript"/>
                <w:lang w:eastAsia="en-IE"/>
              </w:rPr>
            </w:pPr>
            <w:r w:rsidRPr="0083560E">
              <w:rPr>
                <w:rFonts w:ascii="Calibri" w:eastAsia="Times New Roman" w:hAnsi="Calibri" w:cs="Calibri"/>
                <w:color w:val="000000"/>
                <w:sz w:val="18"/>
                <w:szCs w:val="18"/>
                <w:lang w:eastAsia="en-IE"/>
              </w:rPr>
              <w:t>1.52</w:t>
            </w:r>
            <w:r w:rsidR="00CA455B">
              <w:rPr>
                <w:rFonts w:ascii="Calibri" w:eastAsia="Times New Roman" w:hAnsi="Calibri" w:cs="Calibri"/>
                <w:color w:val="000000"/>
                <w:sz w:val="18"/>
                <w:szCs w:val="18"/>
                <w:vertAlign w:val="superscript"/>
                <w:lang w:eastAsia="en-IE"/>
              </w:rPr>
              <w:t>g</w:t>
            </w:r>
          </w:p>
        </w:tc>
      </w:tr>
      <w:tr w:rsidR="00631B23" w:rsidRPr="0083560E" w:rsidTr="00762C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Dublin City</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0.04</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0.86</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1.26</w:t>
            </w:r>
          </w:p>
        </w:tc>
        <w:tc>
          <w:tcPr>
            <w:tcW w:w="367"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12.57</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7.13</w:t>
            </w:r>
          </w:p>
        </w:tc>
        <w:tc>
          <w:tcPr>
            <w:tcW w:w="400"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36.05</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3.84</w:t>
            </w:r>
          </w:p>
        </w:tc>
        <w:tc>
          <w:tcPr>
            <w:tcW w:w="401"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10.18</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19.82</w:t>
            </w:r>
          </w:p>
        </w:tc>
        <w:tc>
          <w:tcPr>
            <w:tcW w:w="452"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8.25</w:t>
            </w:r>
          </w:p>
        </w:tc>
      </w:tr>
      <w:tr w:rsidR="00631B23" w:rsidRPr="0083560E" w:rsidTr="00762CD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 xml:space="preserve">Dun Laoghaire </w:t>
            </w:r>
            <w:proofErr w:type="spellStart"/>
            <w:r w:rsidRPr="0083560E">
              <w:rPr>
                <w:rFonts w:ascii="Calibri" w:eastAsia="Times New Roman" w:hAnsi="Calibri" w:cs="Calibri"/>
                <w:color w:val="000000"/>
                <w:sz w:val="20"/>
                <w:szCs w:val="20"/>
                <w:lang w:eastAsia="en-IE"/>
              </w:rPr>
              <w:t>Rathdown</w:t>
            </w:r>
            <w:proofErr w:type="spellEnd"/>
          </w:p>
        </w:tc>
        <w:tc>
          <w:tcPr>
            <w:tcW w:w="366" w:type="pct"/>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vertAlign w:val="superscript"/>
                <w:lang w:eastAsia="en-IE"/>
              </w:rPr>
            </w:pPr>
            <w:r w:rsidRPr="0083560E">
              <w:rPr>
                <w:rFonts w:ascii="Calibri" w:eastAsia="Times New Roman" w:hAnsi="Calibri" w:cs="Calibri"/>
                <w:color w:val="000000"/>
                <w:sz w:val="18"/>
                <w:szCs w:val="18"/>
                <w:lang w:eastAsia="en-IE"/>
              </w:rPr>
              <w:t> N/A</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 N/A</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 N/A</w:t>
            </w:r>
          </w:p>
        </w:tc>
        <w:tc>
          <w:tcPr>
            <w:tcW w:w="367"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 N/A</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 N/A</w:t>
            </w:r>
          </w:p>
        </w:tc>
        <w:tc>
          <w:tcPr>
            <w:tcW w:w="400"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 N/A</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 N/A</w:t>
            </w:r>
          </w:p>
        </w:tc>
        <w:tc>
          <w:tcPr>
            <w:tcW w:w="401"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 N/A</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N/A </w:t>
            </w:r>
          </w:p>
        </w:tc>
        <w:tc>
          <w:tcPr>
            <w:tcW w:w="452" w:type="pct"/>
            <w:noWrap/>
            <w:hideMark/>
          </w:tcPr>
          <w:p w:rsidR="0083560E" w:rsidRPr="00CA455B"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vertAlign w:val="superscript"/>
                <w:lang w:eastAsia="en-IE"/>
              </w:rPr>
            </w:pPr>
            <w:r w:rsidRPr="0083560E">
              <w:rPr>
                <w:rFonts w:ascii="Calibri" w:eastAsia="Times New Roman" w:hAnsi="Calibri" w:cs="Calibri"/>
                <w:color w:val="000000"/>
                <w:sz w:val="18"/>
                <w:szCs w:val="18"/>
                <w:lang w:eastAsia="en-IE"/>
              </w:rPr>
              <w:t>N/A</w:t>
            </w:r>
          </w:p>
        </w:tc>
      </w:tr>
      <w:tr w:rsidR="00631B23" w:rsidRPr="0083560E" w:rsidTr="00762C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sz w:val="20"/>
                <w:szCs w:val="20"/>
                <w:lang w:eastAsia="en-IE"/>
              </w:rPr>
            </w:pPr>
            <w:proofErr w:type="spellStart"/>
            <w:r w:rsidRPr="0083560E">
              <w:rPr>
                <w:rFonts w:ascii="Calibri" w:eastAsia="Times New Roman" w:hAnsi="Calibri" w:cs="Calibri"/>
                <w:color w:val="000000"/>
                <w:sz w:val="20"/>
                <w:szCs w:val="20"/>
                <w:lang w:eastAsia="en-IE"/>
              </w:rPr>
              <w:t>Fingal</w:t>
            </w:r>
            <w:proofErr w:type="spellEnd"/>
            <w:r w:rsidRPr="0083560E">
              <w:rPr>
                <w:rFonts w:ascii="Calibri" w:eastAsia="Times New Roman" w:hAnsi="Calibri" w:cs="Calibri"/>
                <w:color w:val="000000"/>
                <w:sz w:val="20"/>
                <w:szCs w:val="20"/>
                <w:lang w:eastAsia="en-IE"/>
              </w:rPr>
              <w:t xml:space="preserve"> County</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vertAlign w:val="superscript"/>
                <w:lang w:eastAsia="en-IE"/>
              </w:rPr>
            </w:pPr>
            <w:r w:rsidRPr="0083560E">
              <w:rPr>
                <w:rFonts w:ascii="Calibri" w:eastAsia="Times New Roman" w:hAnsi="Calibri" w:cs="Calibri"/>
                <w:color w:val="000000"/>
                <w:sz w:val="18"/>
                <w:szCs w:val="18"/>
                <w:lang w:eastAsia="en-IE"/>
              </w:rPr>
              <w:t>N/A</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N/A</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N/A</w:t>
            </w:r>
          </w:p>
        </w:tc>
        <w:tc>
          <w:tcPr>
            <w:tcW w:w="367"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N/A</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N/A</w:t>
            </w:r>
          </w:p>
        </w:tc>
        <w:tc>
          <w:tcPr>
            <w:tcW w:w="400"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N/A</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N/A</w:t>
            </w:r>
          </w:p>
        </w:tc>
        <w:tc>
          <w:tcPr>
            <w:tcW w:w="401"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N/A</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N/A</w:t>
            </w:r>
          </w:p>
        </w:tc>
        <w:tc>
          <w:tcPr>
            <w:tcW w:w="452"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N/A</w:t>
            </w:r>
          </w:p>
        </w:tc>
      </w:tr>
      <w:tr w:rsidR="00631B23" w:rsidRPr="0083560E" w:rsidTr="00762CD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Galway City</w:t>
            </w:r>
          </w:p>
        </w:tc>
        <w:tc>
          <w:tcPr>
            <w:tcW w:w="366" w:type="pct"/>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0.07</w:t>
            </w:r>
          </w:p>
        </w:tc>
        <w:tc>
          <w:tcPr>
            <w:tcW w:w="367"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0.09</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34.7</w:t>
            </w:r>
          </w:p>
        </w:tc>
        <w:tc>
          <w:tcPr>
            <w:tcW w:w="400"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62</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36</w:t>
            </w:r>
          </w:p>
        </w:tc>
        <w:tc>
          <w:tcPr>
            <w:tcW w:w="401"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2.6</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w:t>
            </w:r>
          </w:p>
        </w:tc>
        <w:tc>
          <w:tcPr>
            <w:tcW w:w="452"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w:t>
            </w:r>
          </w:p>
        </w:tc>
      </w:tr>
      <w:tr w:rsidR="00631B23" w:rsidRPr="0083560E" w:rsidTr="00762C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Galway County</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3.62</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4.17</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6.95</w:t>
            </w:r>
          </w:p>
        </w:tc>
        <w:tc>
          <w:tcPr>
            <w:tcW w:w="367"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21.15</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17.39</w:t>
            </w:r>
          </w:p>
        </w:tc>
        <w:tc>
          <w:tcPr>
            <w:tcW w:w="400"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20.02</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17.3</w:t>
            </w:r>
          </w:p>
        </w:tc>
        <w:tc>
          <w:tcPr>
            <w:tcW w:w="401"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6.54</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2.53</w:t>
            </w:r>
          </w:p>
        </w:tc>
        <w:tc>
          <w:tcPr>
            <w:tcW w:w="452"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0.32</w:t>
            </w:r>
          </w:p>
        </w:tc>
      </w:tr>
      <w:tr w:rsidR="00631B23" w:rsidRPr="0083560E" w:rsidTr="00762CD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Kerry County</w:t>
            </w:r>
          </w:p>
        </w:tc>
        <w:tc>
          <w:tcPr>
            <w:tcW w:w="366" w:type="pct"/>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3</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3.5</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4.5</w:t>
            </w:r>
          </w:p>
        </w:tc>
        <w:tc>
          <w:tcPr>
            <w:tcW w:w="367"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17.1</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13.7</w:t>
            </w:r>
          </w:p>
        </w:tc>
        <w:tc>
          <w:tcPr>
            <w:tcW w:w="400"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15.8</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26.5</w:t>
            </w:r>
          </w:p>
        </w:tc>
        <w:tc>
          <w:tcPr>
            <w:tcW w:w="401"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7.5</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7.9</w:t>
            </w:r>
          </w:p>
        </w:tc>
        <w:tc>
          <w:tcPr>
            <w:tcW w:w="452"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0.4</w:t>
            </w:r>
          </w:p>
        </w:tc>
      </w:tr>
      <w:tr w:rsidR="00631B23" w:rsidRPr="0083560E" w:rsidTr="00762C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Kildare County</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2.56</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7.69</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10.26</w:t>
            </w:r>
          </w:p>
        </w:tc>
        <w:tc>
          <w:tcPr>
            <w:tcW w:w="367"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17.95</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15.38</w:t>
            </w:r>
          </w:p>
        </w:tc>
        <w:tc>
          <w:tcPr>
            <w:tcW w:w="400"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7.69</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12.82</w:t>
            </w:r>
          </w:p>
        </w:tc>
        <w:tc>
          <w:tcPr>
            <w:tcW w:w="401"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20.51</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2.56</w:t>
            </w:r>
          </w:p>
        </w:tc>
        <w:tc>
          <w:tcPr>
            <w:tcW w:w="452"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2.56</w:t>
            </w:r>
          </w:p>
        </w:tc>
      </w:tr>
      <w:tr w:rsidR="00631B23" w:rsidRPr="0083560E" w:rsidTr="00762CD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Kilkenny County</w:t>
            </w:r>
          </w:p>
        </w:tc>
        <w:tc>
          <w:tcPr>
            <w:tcW w:w="366" w:type="pct"/>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8</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28</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7</w:t>
            </w:r>
          </w:p>
        </w:tc>
        <w:tc>
          <w:tcPr>
            <w:tcW w:w="367"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4</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6</w:t>
            </w:r>
          </w:p>
        </w:tc>
        <w:tc>
          <w:tcPr>
            <w:tcW w:w="400"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3</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19</w:t>
            </w:r>
          </w:p>
        </w:tc>
        <w:tc>
          <w:tcPr>
            <w:tcW w:w="401"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4</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20</w:t>
            </w:r>
          </w:p>
        </w:tc>
        <w:tc>
          <w:tcPr>
            <w:tcW w:w="452"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w:t>
            </w:r>
          </w:p>
        </w:tc>
      </w:tr>
      <w:tr w:rsidR="00631B23" w:rsidRPr="0083560E" w:rsidTr="00762C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Laois County</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3</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5</w:t>
            </w:r>
          </w:p>
        </w:tc>
        <w:tc>
          <w:tcPr>
            <w:tcW w:w="367"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15</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17</w:t>
            </w:r>
          </w:p>
        </w:tc>
        <w:tc>
          <w:tcPr>
            <w:tcW w:w="400"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16</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19</w:t>
            </w:r>
          </w:p>
        </w:tc>
        <w:tc>
          <w:tcPr>
            <w:tcW w:w="401"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9</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13</w:t>
            </w:r>
          </w:p>
        </w:tc>
        <w:tc>
          <w:tcPr>
            <w:tcW w:w="452"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w:t>
            </w:r>
          </w:p>
        </w:tc>
      </w:tr>
      <w:tr w:rsidR="00631B23" w:rsidRPr="0083560E" w:rsidTr="00762CD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Leitrim County</w:t>
            </w:r>
          </w:p>
        </w:tc>
        <w:tc>
          <w:tcPr>
            <w:tcW w:w="366" w:type="pct"/>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3</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4</w:t>
            </w:r>
          </w:p>
        </w:tc>
        <w:tc>
          <w:tcPr>
            <w:tcW w:w="367"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13</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25</w:t>
            </w:r>
          </w:p>
        </w:tc>
        <w:tc>
          <w:tcPr>
            <w:tcW w:w="400"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26</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18</w:t>
            </w:r>
          </w:p>
        </w:tc>
        <w:tc>
          <w:tcPr>
            <w:tcW w:w="401"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8</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w:t>
            </w:r>
          </w:p>
        </w:tc>
        <w:tc>
          <w:tcPr>
            <w:tcW w:w="452" w:type="pct"/>
            <w:noWrap/>
            <w:hideMark/>
          </w:tcPr>
          <w:p w:rsidR="0083560E" w:rsidRPr="00CA455B"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vertAlign w:val="superscript"/>
                <w:lang w:eastAsia="en-IE"/>
              </w:rPr>
            </w:pPr>
            <w:r w:rsidRPr="0083560E">
              <w:rPr>
                <w:rFonts w:ascii="Calibri" w:eastAsia="Times New Roman" w:hAnsi="Calibri" w:cs="Calibri"/>
                <w:color w:val="000000"/>
                <w:sz w:val="18"/>
                <w:szCs w:val="18"/>
                <w:lang w:eastAsia="en-IE"/>
              </w:rPr>
              <w:t>0</w:t>
            </w:r>
          </w:p>
        </w:tc>
      </w:tr>
      <w:tr w:rsidR="00631B23" w:rsidRPr="0083560E" w:rsidTr="00762C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Limerick City &amp; County</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4.42</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2.94</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4.02</w:t>
            </w:r>
          </w:p>
        </w:tc>
        <w:tc>
          <w:tcPr>
            <w:tcW w:w="367"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16.05</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18.24</w:t>
            </w:r>
          </w:p>
        </w:tc>
        <w:tc>
          <w:tcPr>
            <w:tcW w:w="400"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25.25</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21.41</w:t>
            </w:r>
          </w:p>
        </w:tc>
        <w:tc>
          <w:tcPr>
            <w:tcW w:w="401"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6.05</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1.63</w:t>
            </w:r>
          </w:p>
        </w:tc>
        <w:tc>
          <w:tcPr>
            <w:tcW w:w="452" w:type="pct"/>
            <w:hideMark/>
          </w:tcPr>
          <w:p w:rsidR="0083560E" w:rsidRPr="00CA455B"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vertAlign w:val="superscript"/>
                <w:lang w:eastAsia="en-IE"/>
              </w:rPr>
            </w:pPr>
            <w:r w:rsidRPr="0083560E">
              <w:rPr>
                <w:rFonts w:ascii="Calibri" w:eastAsia="Times New Roman" w:hAnsi="Calibri" w:cs="Calibri"/>
                <w:color w:val="000000"/>
                <w:sz w:val="18"/>
                <w:szCs w:val="18"/>
                <w:lang w:eastAsia="en-IE"/>
              </w:rPr>
              <w:t>0</w:t>
            </w:r>
          </w:p>
        </w:tc>
      </w:tr>
      <w:tr w:rsidR="00631B23" w:rsidRPr="0083560E" w:rsidTr="00762CD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Longford County</w:t>
            </w:r>
          </w:p>
        </w:tc>
        <w:tc>
          <w:tcPr>
            <w:tcW w:w="366" w:type="pct"/>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w:t>
            </w:r>
          </w:p>
        </w:tc>
        <w:tc>
          <w:tcPr>
            <w:tcW w:w="367"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w:t>
            </w:r>
          </w:p>
        </w:tc>
        <w:tc>
          <w:tcPr>
            <w:tcW w:w="400"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22</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18</w:t>
            </w:r>
          </w:p>
        </w:tc>
        <w:tc>
          <w:tcPr>
            <w:tcW w:w="401"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16</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42</w:t>
            </w:r>
          </w:p>
        </w:tc>
        <w:tc>
          <w:tcPr>
            <w:tcW w:w="452"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w:t>
            </w:r>
          </w:p>
        </w:tc>
      </w:tr>
      <w:tr w:rsidR="00631B23" w:rsidRPr="0083560E" w:rsidTr="00762C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Louth County</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5</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7</w:t>
            </w:r>
          </w:p>
        </w:tc>
        <w:tc>
          <w:tcPr>
            <w:tcW w:w="367"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18</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24</w:t>
            </w:r>
          </w:p>
        </w:tc>
        <w:tc>
          <w:tcPr>
            <w:tcW w:w="400"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34</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7</w:t>
            </w:r>
          </w:p>
        </w:tc>
        <w:tc>
          <w:tcPr>
            <w:tcW w:w="401"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4</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w:t>
            </w:r>
          </w:p>
        </w:tc>
        <w:tc>
          <w:tcPr>
            <w:tcW w:w="452"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w:t>
            </w:r>
          </w:p>
        </w:tc>
      </w:tr>
      <w:tr w:rsidR="00631B23" w:rsidRPr="0083560E" w:rsidTr="00762CD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Mayo County</w:t>
            </w:r>
          </w:p>
        </w:tc>
        <w:tc>
          <w:tcPr>
            <w:tcW w:w="366" w:type="pct"/>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16.32</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3.69</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7.28</w:t>
            </w:r>
          </w:p>
        </w:tc>
        <w:tc>
          <w:tcPr>
            <w:tcW w:w="367"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8.53</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2.56</w:t>
            </w:r>
          </w:p>
        </w:tc>
        <w:tc>
          <w:tcPr>
            <w:tcW w:w="400"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5.69</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8.92</w:t>
            </w:r>
          </w:p>
        </w:tc>
        <w:tc>
          <w:tcPr>
            <w:tcW w:w="401"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28.3</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5.19</w:t>
            </w:r>
          </w:p>
        </w:tc>
        <w:tc>
          <w:tcPr>
            <w:tcW w:w="452"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13.52</w:t>
            </w:r>
          </w:p>
        </w:tc>
      </w:tr>
      <w:tr w:rsidR="00762CD3" w:rsidRPr="0083560E" w:rsidTr="005D01A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762CD3" w:rsidRPr="0083560E" w:rsidRDefault="00762CD3"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Meath County</w:t>
            </w:r>
          </w:p>
        </w:tc>
        <w:tc>
          <w:tcPr>
            <w:tcW w:w="366" w:type="pct"/>
            <w:vAlign w:val="center"/>
            <w:hideMark/>
          </w:tcPr>
          <w:p w:rsidR="00762CD3" w:rsidRDefault="00762CD3" w:rsidP="005D01AB">
            <w:pPr>
              <w:jc w:val="center"/>
              <w:cnfStyle w:val="000000100000" w:firstRow="0" w:lastRow="0" w:firstColumn="0" w:lastColumn="0" w:oddVBand="0" w:evenVBand="0" w:oddHBand="1" w:evenHBand="0" w:firstRowFirstColumn="0" w:firstRowLastColumn="0" w:lastRowFirstColumn="0" w:lastRowLastColumn="0"/>
            </w:pPr>
            <w:r w:rsidRPr="008D1341">
              <w:rPr>
                <w:rFonts w:ascii="Calibri" w:eastAsia="Times New Roman" w:hAnsi="Calibri" w:cs="Calibri"/>
                <w:color w:val="000000"/>
                <w:sz w:val="18"/>
                <w:szCs w:val="18"/>
                <w:lang w:eastAsia="en-IE"/>
              </w:rPr>
              <w:t>N/A</w:t>
            </w:r>
          </w:p>
        </w:tc>
        <w:tc>
          <w:tcPr>
            <w:tcW w:w="366" w:type="pct"/>
            <w:vAlign w:val="center"/>
            <w:hideMark/>
          </w:tcPr>
          <w:p w:rsidR="00762CD3" w:rsidRDefault="00762CD3" w:rsidP="005D01AB">
            <w:pPr>
              <w:jc w:val="center"/>
              <w:cnfStyle w:val="000000100000" w:firstRow="0" w:lastRow="0" w:firstColumn="0" w:lastColumn="0" w:oddVBand="0" w:evenVBand="0" w:oddHBand="1" w:evenHBand="0" w:firstRowFirstColumn="0" w:firstRowLastColumn="0" w:lastRowFirstColumn="0" w:lastRowLastColumn="0"/>
            </w:pPr>
            <w:r w:rsidRPr="008D1341">
              <w:rPr>
                <w:rFonts w:ascii="Calibri" w:eastAsia="Times New Roman" w:hAnsi="Calibri" w:cs="Calibri"/>
                <w:color w:val="000000"/>
                <w:sz w:val="18"/>
                <w:szCs w:val="18"/>
                <w:lang w:eastAsia="en-IE"/>
              </w:rPr>
              <w:t>N/A</w:t>
            </w:r>
          </w:p>
        </w:tc>
        <w:tc>
          <w:tcPr>
            <w:tcW w:w="366" w:type="pct"/>
            <w:vAlign w:val="center"/>
            <w:hideMark/>
          </w:tcPr>
          <w:p w:rsidR="00762CD3" w:rsidRDefault="00762CD3" w:rsidP="005D01AB">
            <w:pPr>
              <w:jc w:val="center"/>
              <w:cnfStyle w:val="000000100000" w:firstRow="0" w:lastRow="0" w:firstColumn="0" w:lastColumn="0" w:oddVBand="0" w:evenVBand="0" w:oddHBand="1" w:evenHBand="0" w:firstRowFirstColumn="0" w:firstRowLastColumn="0" w:lastRowFirstColumn="0" w:lastRowLastColumn="0"/>
            </w:pPr>
            <w:r w:rsidRPr="008D1341">
              <w:rPr>
                <w:rFonts w:ascii="Calibri" w:eastAsia="Times New Roman" w:hAnsi="Calibri" w:cs="Calibri"/>
                <w:color w:val="000000"/>
                <w:sz w:val="18"/>
                <w:szCs w:val="18"/>
                <w:lang w:eastAsia="en-IE"/>
              </w:rPr>
              <w:t>N/A</w:t>
            </w:r>
          </w:p>
        </w:tc>
        <w:tc>
          <w:tcPr>
            <w:tcW w:w="367" w:type="pct"/>
            <w:vAlign w:val="center"/>
            <w:hideMark/>
          </w:tcPr>
          <w:p w:rsidR="00762CD3" w:rsidRDefault="00762CD3" w:rsidP="005D01AB">
            <w:pPr>
              <w:jc w:val="center"/>
              <w:cnfStyle w:val="000000100000" w:firstRow="0" w:lastRow="0" w:firstColumn="0" w:lastColumn="0" w:oddVBand="0" w:evenVBand="0" w:oddHBand="1" w:evenHBand="0" w:firstRowFirstColumn="0" w:firstRowLastColumn="0" w:lastRowFirstColumn="0" w:lastRowLastColumn="0"/>
            </w:pPr>
            <w:r w:rsidRPr="008D1341">
              <w:rPr>
                <w:rFonts w:ascii="Calibri" w:eastAsia="Times New Roman" w:hAnsi="Calibri" w:cs="Calibri"/>
                <w:color w:val="000000"/>
                <w:sz w:val="18"/>
                <w:szCs w:val="18"/>
                <w:lang w:eastAsia="en-IE"/>
              </w:rPr>
              <w:t>N/A</w:t>
            </w:r>
          </w:p>
        </w:tc>
        <w:tc>
          <w:tcPr>
            <w:tcW w:w="366" w:type="pct"/>
            <w:vAlign w:val="center"/>
            <w:hideMark/>
          </w:tcPr>
          <w:p w:rsidR="00762CD3" w:rsidRDefault="00762CD3" w:rsidP="005D01AB">
            <w:pPr>
              <w:jc w:val="center"/>
              <w:cnfStyle w:val="000000100000" w:firstRow="0" w:lastRow="0" w:firstColumn="0" w:lastColumn="0" w:oddVBand="0" w:evenVBand="0" w:oddHBand="1" w:evenHBand="0" w:firstRowFirstColumn="0" w:firstRowLastColumn="0" w:lastRowFirstColumn="0" w:lastRowLastColumn="0"/>
            </w:pPr>
            <w:r w:rsidRPr="008D1341">
              <w:rPr>
                <w:rFonts w:ascii="Calibri" w:eastAsia="Times New Roman" w:hAnsi="Calibri" w:cs="Calibri"/>
                <w:color w:val="000000"/>
                <w:sz w:val="18"/>
                <w:szCs w:val="18"/>
                <w:lang w:eastAsia="en-IE"/>
              </w:rPr>
              <w:t>N/A</w:t>
            </w:r>
          </w:p>
        </w:tc>
        <w:tc>
          <w:tcPr>
            <w:tcW w:w="400" w:type="pct"/>
            <w:vAlign w:val="center"/>
            <w:hideMark/>
          </w:tcPr>
          <w:p w:rsidR="00762CD3" w:rsidRDefault="00762CD3" w:rsidP="005D01AB">
            <w:pPr>
              <w:jc w:val="center"/>
              <w:cnfStyle w:val="000000100000" w:firstRow="0" w:lastRow="0" w:firstColumn="0" w:lastColumn="0" w:oddVBand="0" w:evenVBand="0" w:oddHBand="1" w:evenHBand="0" w:firstRowFirstColumn="0" w:firstRowLastColumn="0" w:lastRowFirstColumn="0" w:lastRowLastColumn="0"/>
            </w:pPr>
            <w:r w:rsidRPr="008D1341">
              <w:rPr>
                <w:rFonts w:ascii="Calibri" w:eastAsia="Times New Roman" w:hAnsi="Calibri" w:cs="Calibri"/>
                <w:color w:val="000000"/>
                <w:sz w:val="18"/>
                <w:szCs w:val="18"/>
                <w:lang w:eastAsia="en-IE"/>
              </w:rPr>
              <w:t>N/A</w:t>
            </w:r>
          </w:p>
        </w:tc>
        <w:tc>
          <w:tcPr>
            <w:tcW w:w="366" w:type="pct"/>
            <w:vAlign w:val="center"/>
            <w:hideMark/>
          </w:tcPr>
          <w:p w:rsidR="00762CD3" w:rsidRDefault="00762CD3" w:rsidP="005D01AB">
            <w:pPr>
              <w:jc w:val="center"/>
              <w:cnfStyle w:val="000000100000" w:firstRow="0" w:lastRow="0" w:firstColumn="0" w:lastColumn="0" w:oddVBand="0" w:evenVBand="0" w:oddHBand="1" w:evenHBand="0" w:firstRowFirstColumn="0" w:firstRowLastColumn="0" w:lastRowFirstColumn="0" w:lastRowLastColumn="0"/>
            </w:pPr>
            <w:r w:rsidRPr="008D1341">
              <w:rPr>
                <w:rFonts w:ascii="Calibri" w:eastAsia="Times New Roman" w:hAnsi="Calibri" w:cs="Calibri"/>
                <w:color w:val="000000"/>
                <w:sz w:val="18"/>
                <w:szCs w:val="18"/>
                <w:lang w:eastAsia="en-IE"/>
              </w:rPr>
              <w:t>N/A</w:t>
            </w:r>
          </w:p>
        </w:tc>
        <w:tc>
          <w:tcPr>
            <w:tcW w:w="401" w:type="pct"/>
            <w:vAlign w:val="center"/>
            <w:hideMark/>
          </w:tcPr>
          <w:p w:rsidR="00762CD3" w:rsidRDefault="00762CD3" w:rsidP="005D01AB">
            <w:pPr>
              <w:jc w:val="center"/>
              <w:cnfStyle w:val="000000100000" w:firstRow="0" w:lastRow="0" w:firstColumn="0" w:lastColumn="0" w:oddVBand="0" w:evenVBand="0" w:oddHBand="1" w:evenHBand="0" w:firstRowFirstColumn="0" w:firstRowLastColumn="0" w:lastRowFirstColumn="0" w:lastRowLastColumn="0"/>
            </w:pPr>
            <w:r w:rsidRPr="008D1341">
              <w:rPr>
                <w:rFonts w:ascii="Calibri" w:eastAsia="Times New Roman" w:hAnsi="Calibri" w:cs="Calibri"/>
                <w:color w:val="000000"/>
                <w:sz w:val="18"/>
                <w:szCs w:val="18"/>
                <w:lang w:eastAsia="en-IE"/>
              </w:rPr>
              <w:t>N/A</w:t>
            </w:r>
          </w:p>
        </w:tc>
        <w:tc>
          <w:tcPr>
            <w:tcW w:w="366" w:type="pct"/>
            <w:vAlign w:val="center"/>
            <w:hideMark/>
          </w:tcPr>
          <w:p w:rsidR="00762CD3" w:rsidRDefault="00762CD3" w:rsidP="005D01AB">
            <w:pPr>
              <w:jc w:val="center"/>
              <w:cnfStyle w:val="000000100000" w:firstRow="0" w:lastRow="0" w:firstColumn="0" w:lastColumn="0" w:oddVBand="0" w:evenVBand="0" w:oddHBand="1" w:evenHBand="0" w:firstRowFirstColumn="0" w:firstRowLastColumn="0" w:lastRowFirstColumn="0" w:lastRowLastColumn="0"/>
            </w:pPr>
            <w:r w:rsidRPr="008D1341">
              <w:rPr>
                <w:rFonts w:ascii="Calibri" w:eastAsia="Times New Roman" w:hAnsi="Calibri" w:cs="Calibri"/>
                <w:color w:val="000000"/>
                <w:sz w:val="18"/>
                <w:szCs w:val="18"/>
                <w:lang w:eastAsia="en-IE"/>
              </w:rPr>
              <w:t>N/A</w:t>
            </w:r>
          </w:p>
        </w:tc>
        <w:tc>
          <w:tcPr>
            <w:tcW w:w="452" w:type="pct"/>
            <w:vAlign w:val="center"/>
            <w:hideMark/>
          </w:tcPr>
          <w:p w:rsidR="00762CD3" w:rsidRDefault="00762CD3" w:rsidP="005D01AB">
            <w:pPr>
              <w:jc w:val="center"/>
              <w:cnfStyle w:val="000000100000" w:firstRow="0" w:lastRow="0" w:firstColumn="0" w:lastColumn="0" w:oddVBand="0" w:evenVBand="0" w:oddHBand="1" w:evenHBand="0" w:firstRowFirstColumn="0" w:firstRowLastColumn="0" w:lastRowFirstColumn="0" w:lastRowLastColumn="0"/>
            </w:pPr>
            <w:r w:rsidRPr="008D1341">
              <w:rPr>
                <w:rFonts w:ascii="Calibri" w:eastAsia="Times New Roman" w:hAnsi="Calibri" w:cs="Calibri"/>
                <w:color w:val="000000"/>
                <w:sz w:val="18"/>
                <w:szCs w:val="18"/>
                <w:lang w:eastAsia="en-IE"/>
              </w:rPr>
              <w:t>N/A</w:t>
            </w:r>
          </w:p>
        </w:tc>
      </w:tr>
      <w:tr w:rsidR="00631B23" w:rsidRPr="0083560E" w:rsidTr="00762CD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Monaghan County</w:t>
            </w:r>
          </w:p>
        </w:tc>
        <w:tc>
          <w:tcPr>
            <w:tcW w:w="366" w:type="pct"/>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4</w:t>
            </w:r>
          </w:p>
        </w:tc>
        <w:tc>
          <w:tcPr>
            <w:tcW w:w="367"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15</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w:t>
            </w:r>
          </w:p>
        </w:tc>
        <w:tc>
          <w:tcPr>
            <w:tcW w:w="400"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35</w:t>
            </w:r>
          </w:p>
        </w:tc>
        <w:tc>
          <w:tcPr>
            <w:tcW w:w="401"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23</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15</w:t>
            </w:r>
          </w:p>
        </w:tc>
        <w:tc>
          <w:tcPr>
            <w:tcW w:w="452"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w:t>
            </w:r>
          </w:p>
        </w:tc>
      </w:tr>
      <w:tr w:rsidR="00631B23" w:rsidRPr="0083560E" w:rsidTr="00762C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Offaly County</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3.57</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3.31</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11.75</w:t>
            </w:r>
          </w:p>
        </w:tc>
        <w:tc>
          <w:tcPr>
            <w:tcW w:w="367"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29.43</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7.2</w:t>
            </w:r>
          </w:p>
        </w:tc>
        <w:tc>
          <w:tcPr>
            <w:tcW w:w="400"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7.9</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10.57</w:t>
            </w:r>
          </w:p>
        </w:tc>
        <w:tc>
          <w:tcPr>
            <w:tcW w:w="401"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5.49</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18.82</w:t>
            </w:r>
          </w:p>
        </w:tc>
        <w:tc>
          <w:tcPr>
            <w:tcW w:w="452"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1.95</w:t>
            </w:r>
          </w:p>
        </w:tc>
      </w:tr>
      <w:tr w:rsidR="00631B23" w:rsidRPr="0083560E" w:rsidTr="00762CD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Roscommon County</w:t>
            </w:r>
          </w:p>
        </w:tc>
        <w:tc>
          <w:tcPr>
            <w:tcW w:w="366" w:type="pct"/>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w:t>
            </w:r>
          </w:p>
        </w:tc>
        <w:tc>
          <w:tcPr>
            <w:tcW w:w="367"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w:t>
            </w:r>
          </w:p>
        </w:tc>
        <w:tc>
          <w:tcPr>
            <w:tcW w:w="400"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w:t>
            </w:r>
          </w:p>
        </w:tc>
        <w:tc>
          <w:tcPr>
            <w:tcW w:w="401"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w:t>
            </w:r>
          </w:p>
        </w:tc>
        <w:tc>
          <w:tcPr>
            <w:tcW w:w="452"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w:t>
            </w:r>
          </w:p>
        </w:tc>
      </w:tr>
      <w:tr w:rsidR="00631B23" w:rsidRPr="0083560E" w:rsidTr="00762C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Sligo County</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11</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4</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8</w:t>
            </w:r>
          </w:p>
        </w:tc>
        <w:tc>
          <w:tcPr>
            <w:tcW w:w="367"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19</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13</w:t>
            </w:r>
          </w:p>
        </w:tc>
        <w:tc>
          <w:tcPr>
            <w:tcW w:w="400"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11</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17</w:t>
            </w:r>
          </w:p>
        </w:tc>
        <w:tc>
          <w:tcPr>
            <w:tcW w:w="401"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6</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10</w:t>
            </w:r>
          </w:p>
        </w:tc>
        <w:tc>
          <w:tcPr>
            <w:tcW w:w="452"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w:t>
            </w:r>
          </w:p>
        </w:tc>
      </w:tr>
      <w:tr w:rsidR="00631B23" w:rsidRPr="0083560E" w:rsidTr="00762CD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South Dublin County</w:t>
            </w:r>
          </w:p>
        </w:tc>
        <w:tc>
          <w:tcPr>
            <w:tcW w:w="366" w:type="pct"/>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vertAlign w:val="superscript"/>
                <w:lang w:eastAsia="en-IE"/>
              </w:rPr>
            </w:pPr>
            <w:r w:rsidRPr="0083560E">
              <w:rPr>
                <w:rFonts w:ascii="Calibri" w:eastAsia="Times New Roman" w:hAnsi="Calibri" w:cs="Calibri"/>
                <w:color w:val="000000"/>
                <w:sz w:val="18"/>
                <w:szCs w:val="18"/>
                <w:lang w:eastAsia="en-IE"/>
              </w:rPr>
              <w:t>N/A</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N/A</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N/A</w:t>
            </w:r>
          </w:p>
        </w:tc>
        <w:tc>
          <w:tcPr>
            <w:tcW w:w="367"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N/A</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N/A</w:t>
            </w:r>
          </w:p>
        </w:tc>
        <w:tc>
          <w:tcPr>
            <w:tcW w:w="400"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N/A</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N/A</w:t>
            </w:r>
          </w:p>
        </w:tc>
        <w:tc>
          <w:tcPr>
            <w:tcW w:w="401"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N/A</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N/A</w:t>
            </w:r>
          </w:p>
        </w:tc>
        <w:tc>
          <w:tcPr>
            <w:tcW w:w="452" w:type="pct"/>
            <w:noWrap/>
            <w:hideMark/>
          </w:tcPr>
          <w:p w:rsidR="0083560E" w:rsidRPr="00CA455B"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vertAlign w:val="superscript"/>
                <w:lang w:eastAsia="en-IE"/>
              </w:rPr>
            </w:pPr>
            <w:r w:rsidRPr="0083560E">
              <w:rPr>
                <w:rFonts w:ascii="Calibri" w:eastAsia="Times New Roman" w:hAnsi="Calibri" w:cs="Calibri"/>
                <w:color w:val="000000"/>
                <w:sz w:val="18"/>
                <w:szCs w:val="18"/>
                <w:lang w:eastAsia="en-IE"/>
              </w:rPr>
              <w:t>N/A</w:t>
            </w:r>
          </w:p>
        </w:tc>
      </w:tr>
      <w:tr w:rsidR="00631B23" w:rsidRPr="0083560E" w:rsidTr="00762C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Tipperary County</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4</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9</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10</w:t>
            </w:r>
          </w:p>
        </w:tc>
        <w:tc>
          <w:tcPr>
            <w:tcW w:w="367"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24</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9</w:t>
            </w:r>
          </w:p>
        </w:tc>
        <w:tc>
          <w:tcPr>
            <w:tcW w:w="400"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13</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14</w:t>
            </w:r>
          </w:p>
        </w:tc>
        <w:tc>
          <w:tcPr>
            <w:tcW w:w="401"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9</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6</w:t>
            </w:r>
          </w:p>
        </w:tc>
        <w:tc>
          <w:tcPr>
            <w:tcW w:w="452"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3</w:t>
            </w:r>
          </w:p>
        </w:tc>
      </w:tr>
      <w:tr w:rsidR="00631B23" w:rsidRPr="0083560E" w:rsidTr="00762CD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Waterford City &amp; County</w:t>
            </w:r>
          </w:p>
        </w:tc>
        <w:tc>
          <w:tcPr>
            <w:tcW w:w="366" w:type="pct"/>
            <w:hideMark/>
          </w:tcPr>
          <w:p w:rsidR="0083560E" w:rsidRPr="0083560E" w:rsidRDefault="000060D8"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4</w:t>
            </w:r>
          </w:p>
        </w:tc>
        <w:tc>
          <w:tcPr>
            <w:tcW w:w="366" w:type="pct"/>
            <w:noWrap/>
            <w:hideMark/>
          </w:tcPr>
          <w:p w:rsidR="0083560E" w:rsidRPr="0083560E" w:rsidRDefault="000060D8"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1</w:t>
            </w:r>
          </w:p>
        </w:tc>
        <w:tc>
          <w:tcPr>
            <w:tcW w:w="366" w:type="pct"/>
            <w:noWrap/>
            <w:hideMark/>
          </w:tcPr>
          <w:p w:rsidR="0083560E" w:rsidRPr="0083560E" w:rsidRDefault="000060D8"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2</w:t>
            </w:r>
          </w:p>
        </w:tc>
        <w:tc>
          <w:tcPr>
            <w:tcW w:w="367" w:type="pct"/>
            <w:noWrap/>
            <w:hideMark/>
          </w:tcPr>
          <w:p w:rsidR="0083560E" w:rsidRPr="0083560E" w:rsidRDefault="000060D8"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7</w:t>
            </w:r>
          </w:p>
        </w:tc>
        <w:tc>
          <w:tcPr>
            <w:tcW w:w="366" w:type="pct"/>
            <w:noWrap/>
            <w:hideMark/>
          </w:tcPr>
          <w:p w:rsidR="0083560E" w:rsidRPr="0083560E" w:rsidRDefault="000060D8"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9</w:t>
            </w:r>
          </w:p>
        </w:tc>
        <w:tc>
          <w:tcPr>
            <w:tcW w:w="400" w:type="pct"/>
            <w:noWrap/>
            <w:hideMark/>
          </w:tcPr>
          <w:p w:rsidR="0083560E" w:rsidRPr="0083560E" w:rsidRDefault="000060D8"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17</w:t>
            </w:r>
          </w:p>
        </w:tc>
        <w:tc>
          <w:tcPr>
            <w:tcW w:w="366" w:type="pct"/>
            <w:noWrap/>
            <w:hideMark/>
          </w:tcPr>
          <w:p w:rsidR="0083560E" w:rsidRPr="0083560E" w:rsidRDefault="000060D8"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29</w:t>
            </w:r>
          </w:p>
        </w:tc>
        <w:tc>
          <w:tcPr>
            <w:tcW w:w="401" w:type="pct"/>
            <w:noWrap/>
            <w:hideMark/>
          </w:tcPr>
          <w:p w:rsidR="0083560E" w:rsidRPr="0083560E" w:rsidRDefault="000060D8"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15</w:t>
            </w:r>
          </w:p>
        </w:tc>
        <w:tc>
          <w:tcPr>
            <w:tcW w:w="366" w:type="pct"/>
            <w:noWrap/>
            <w:hideMark/>
          </w:tcPr>
          <w:p w:rsidR="0083560E" w:rsidRPr="0083560E" w:rsidRDefault="000060D8"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12</w:t>
            </w:r>
          </w:p>
        </w:tc>
        <w:tc>
          <w:tcPr>
            <w:tcW w:w="452" w:type="pct"/>
            <w:noWrap/>
            <w:hideMark/>
          </w:tcPr>
          <w:p w:rsidR="0083560E" w:rsidRPr="0083560E" w:rsidRDefault="000060D8"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6</w:t>
            </w:r>
          </w:p>
        </w:tc>
      </w:tr>
      <w:tr w:rsidR="00631B23" w:rsidRPr="0083560E" w:rsidTr="00762C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Westmeath County</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7</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9</w:t>
            </w:r>
          </w:p>
        </w:tc>
        <w:tc>
          <w:tcPr>
            <w:tcW w:w="367"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19</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21</w:t>
            </w:r>
          </w:p>
        </w:tc>
        <w:tc>
          <w:tcPr>
            <w:tcW w:w="400"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16</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24</w:t>
            </w:r>
          </w:p>
        </w:tc>
        <w:tc>
          <w:tcPr>
            <w:tcW w:w="401"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w:t>
            </w:r>
          </w:p>
        </w:tc>
        <w:tc>
          <w:tcPr>
            <w:tcW w:w="452"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w:t>
            </w:r>
          </w:p>
        </w:tc>
      </w:tr>
      <w:tr w:rsidR="00631B23" w:rsidRPr="0083560E" w:rsidTr="00762CD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Wexford County</w:t>
            </w:r>
          </w:p>
        </w:tc>
        <w:tc>
          <w:tcPr>
            <w:tcW w:w="366" w:type="pct"/>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7</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11</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13</w:t>
            </w:r>
          </w:p>
        </w:tc>
        <w:tc>
          <w:tcPr>
            <w:tcW w:w="367"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25</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5</w:t>
            </w:r>
          </w:p>
        </w:tc>
        <w:tc>
          <w:tcPr>
            <w:tcW w:w="400"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7</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12</w:t>
            </w:r>
          </w:p>
        </w:tc>
        <w:tc>
          <w:tcPr>
            <w:tcW w:w="401"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8</w:t>
            </w:r>
          </w:p>
        </w:tc>
        <w:tc>
          <w:tcPr>
            <w:tcW w:w="366"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10</w:t>
            </w:r>
          </w:p>
        </w:tc>
        <w:tc>
          <w:tcPr>
            <w:tcW w:w="452" w:type="pct"/>
            <w:noWrap/>
            <w:hideMark/>
          </w:tcPr>
          <w:p w:rsidR="0083560E" w:rsidRPr="0083560E" w:rsidRDefault="0083560E" w:rsidP="0083560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w:t>
            </w:r>
          </w:p>
        </w:tc>
      </w:tr>
      <w:tr w:rsidR="00631B23" w:rsidRPr="0083560E" w:rsidTr="00762C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4" w:type="pct"/>
            <w:noWrap/>
            <w:hideMark/>
          </w:tcPr>
          <w:p w:rsidR="0083560E" w:rsidRPr="0083560E" w:rsidRDefault="0083560E" w:rsidP="0083560E">
            <w:pPr>
              <w:rPr>
                <w:rFonts w:ascii="Calibri" w:eastAsia="Times New Roman" w:hAnsi="Calibri" w:cs="Calibri"/>
                <w:color w:val="000000"/>
                <w:sz w:val="20"/>
                <w:szCs w:val="20"/>
                <w:lang w:eastAsia="en-IE"/>
              </w:rPr>
            </w:pPr>
            <w:r w:rsidRPr="0083560E">
              <w:rPr>
                <w:rFonts w:ascii="Calibri" w:eastAsia="Times New Roman" w:hAnsi="Calibri" w:cs="Calibri"/>
                <w:color w:val="000000"/>
                <w:sz w:val="20"/>
                <w:szCs w:val="20"/>
                <w:lang w:eastAsia="en-IE"/>
              </w:rPr>
              <w:t>Wicklow County</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13.48</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18.48</w:t>
            </w:r>
          </w:p>
        </w:tc>
        <w:tc>
          <w:tcPr>
            <w:tcW w:w="367"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8.26</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3.55</w:t>
            </w:r>
          </w:p>
        </w:tc>
        <w:tc>
          <w:tcPr>
            <w:tcW w:w="400"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27.84</w:t>
            </w:r>
          </w:p>
        </w:tc>
        <w:tc>
          <w:tcPr>
            <w:tcW w:w="401"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28.39</w:t>
            </w:r>
          </w:p>
        </w:tc>
        <w:tc>
          <w:tcPr>
            <w:tcW w:w="366"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w:t>
            </w:r>
          </w:p>
        </w:tc>
        <w:tc>
          <w:tcPr>
            <w:tcW w:w="452" w:type="pct"/>
            <w:hideMark/>
          </w:tcPr>
          <w:p w:rsidR="0083560E" w:rsidRPr="0083560E" w:rsidRDefault="0083560E" w:rsidP="008356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IE"/>
              </w:rPr>
            </w:pPr>
            <w:r w:rsidRPr="0083560E">
              <w:rPr>
                <w:rFonts w:ascii="Calibri" w:eastAsia="Times New Roman" w:hAnsi="Calibri" w:cs="Calibri"/>
                <w:color w:val="000000"/>
                <w:sz w:val="18"/>
                <w:szCs w:val="18"/>
                <w:lang w:eastAsia="en-IE"/>
              </w:rPr>
              <w:t>0</w:t>
            </w:r>
          </w:p>
        </w:tc>
      </w:tr>
    </w:tbl>
    <w:p w:rsidR="00201EC9" w:rsidRDefault="00201EC9">
      <w:pPr>
        <w:rPr>
          <w:rFonts w:cstheme="minorHAnsi"/>
          <w:b/>
        </w:rPr>
      </w:pPr>
    </w:p>
    <w:p w:rsidR="00A01594" w:rsidRDefault="00A01594">
      <w:pPr>
        <w:rPr>
          <w:rFonts w:cstheme="minorHAnsi"/>
          <w:b/>
        </w:rPr>
      </w:pPr>
    </w:p>
    <w:p w:rsidR="007B6923" w:rsidRPr="00B97E75" w:rsidRDefault="007B6923">
      <w:pPr>
        <w:rPr>
          <w:rFonts w:cstheme="minorHAnsi"/>
          <w:b/>
        </w:rPr>
      </w:pPr>
    </w:p>
    <w:tbl>
      <w:tblPr>
        <w:tblW w:w="5822" w:type="dxa"/>
        <w:tblInd w:w="98" w:type="dxa"/>
        <w:tblLook w:val="04A0" w:firstRow="1" w:lastRow="0" w:firstColumn="1" w:lastColumn="0" w:noHBand="0" w:noVBand="1"/>
      </w:tblPr>
      <w:tblGrid>
        <w:gridCol w:w="2460"/>
        <w:gridCol w:w="960"/>
        <w:gridCol w:w="2402"/>
      </w:tblGrid>
      <w:tr w:rsidR="0083560E" w:rsidRPr="0083560E" w:rsidTr="006E71D8">
        <w:trPr>
          <w:trHeight w:val="315"/>
        </w:trPr>
        <w:tc>
          <w:tcPr>
            <w:tcW w:w="58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lastRenderedPageBreak/>
              <w:t>Ratings in Pavement Surface Condition Index - Local Tertiary</w:t>
            </w:r>
          </w:p>
        </w:tc>
      </w:tr>
      <w:tr w:rsidR="0083560E" w:rsidRPr="0083560E" w:rsidTr="006E71D8">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Cat 1</w:t>
            </w:r>
          </w:p>
        </w:tc>
        <w:tc>
          <w:tcPr>
            <w:tcW w:w="2402" w:type="dxa"/>
            <w:tcBorders>
              <w:top w:val="nil"/>
              <w:left w:val="nil"/>
              <w:bottom w:val="single" w:sz="8" w:space="0" w:color="auto"/>
              <w:right w:val="single" w:sz="8" w:space="0" w:color="auto"/>
            </w:tcBorders>
            <w:shd w:val="clear" w:color="auto" w:fill="B6DDE8" w:themeFill="accent5" w:themeFillTint="66"/>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2014</w:t>
            </w:r>
          </w:p>
        </w:tc>
      </w:tr>
      <w:tr w:rsidR="0083560E"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N</w:t>
            </w:r>
          </w:p>
        </w:tc>
        <w:tc>
          <w:tcPr>
            <w:tcW w:w="960" w:type="dxa"/>
            <w:tcBorders>
              <w:top w:val="nil"/>
              <w:left w:val="nil"/>
              <w:bottom w:val="single" w:sz="8" w:space="0" w:color="auto"/>
              <w:right w:val="nil"/>
            </w:tcBorders>
            <w:shd w:val="clear" w:color="auto" w:fill="auto"/>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Valid</w:t>
            </w:r>
          </w:p>
        </w:tc>
        <w:tc>
          <w:tcPr>
            <w:tcW w:w="2402" w:type="dxa"/>
            <w:tcBorders>
              <w:top w:val="nil"/>
              <w:left w:val="single" w:sz="8" w:space="0" w:color="auto"/>
              <w:bottom w:val="single" w:sz="8" w:space="0" w:color="auto"/>
              <w:right w:val="single" w:sz="8" w:space="0" w:color="auto"/>
            </w:tcBorders>
            <w:shd w:val="clear" w:color="auto" w:fill="auto"/>
            <w:vAlign w:val="center"/>
            <w:hideMark/>
          </w:tcPr>
          <w:p w:rsidR="0083560E" w:rsidRPr="0083560E" w:rsidRDefault="00762CD3" w:rsidP="0082378C">
            <w:pPr>
              <w:spacing w:after="0" w:line="240" w:lineRule="auto"/>
              <w:rPr>
                <w:rFonts w:eastAsia="Times New Roman" w:cstheme="minorHAnsi"/>
                <w:color w:val="000000"/>
                <w:lang w:eastAsia="en-IE"/>
              </w:rPr>
            </w:pPr>
            <w:r>
              <w:rPr>
                <w:rFonts w:eastAsia="Times New Roman" w:cstheme="minorHAnsi"/>
                <w:color w:val="000000"/>
                <w:lang w:eastAsia="en-IE"/>
              </w:rPr>
              <w:t>26</w:t>
            </w:r>
          </w:p>
        </w:tc>
      </w:tr>
      <w:tr w:rsidR="0083560E"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 </w:t>
            </w:r>
          </w:p>
        </w:tc>
        <w:tc>
          <w:tcPr>
            <w:tcW w:w="960" w:type="dxa"/>
            <w:tcBorders>
              <w:top w:val="nil"/>
              <w:left w:val="nil"/>
              <w:bottom w:val="single" w:sz="8" w:space="0" w:color="auto"/>
              <w:right w:val="nil"/>
            </w:tcBorders>
            <w:shd w:val="clear" w:color="auto" w:fill="auto"/>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Missing</w:t>
            </w:r>
          </w:p>
        </w:tc>
        <w:tc>
          <w:tcPr>
            <w:tcW w:w="2402" w:type="dxa"/>
            <w:tcBorders>
              <w:top w:val="nil"/>
              <w:left w:val="single" w:sz="8" w:space="0" w:color="auto"/>
              <w:bottom w:val="single" w:sz="8" w:space="0" w:color="auto"/>
              <w:right w:val="single" w:sz="8" w:space="0" w:color="auto"/>
            </w:tcBorders>
            <w:shd w:val="clear" w:color="auto" w:fill="auto"/>
            <w:vAlign w:val="center"/>
            <w:hideMark/>
          </w:tcPr>
          <w:p w:rsidR="0083560E" w:rsidRPr="0083560E" w:rsidRDefault="00762CD3" w:rsidP="0082378C">
            <w:pPr>
              <w:spacing w:after="0" w:line="240" w:lineRule="auto"/>
              <w:rPr>
                <w:rFonts w:eastAsia="Times New Roman" w:cstheme="minorHAnsi"/>
                <w:color w:val="000000"/>
                <w:lang w:eastAsia="en-IE"/>
              </w:rPr>
            </w:pPr>
            <w:r>
              <w:rPr>
                <w:rFonts w:eastAsia="Times New Roman" w:cstheme="minorHAnsi"/>
                <w:color w:val="000000"/>
                <w:lang w:eastAsia="en-IE"/>
              </w:rPr>
              <w:t>5</w:t>
            </w:r>
          </w:p>
        </w:tc>
      </w:tr>
      <w:tr w:rsidR="0083560E"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Average</w:t>
            </w:r>
          </w:p>
        </w:tc>
        <w:tc>
          <w:tcPr>
            <w:tcW w:w="960" w:type="dxa"/>
            <w:tcBorders>
              <w:top w:val="nil"/>
              <w:left w:val="nil"/>
              <w:bottom w:val="single" w:sz="8" w:space="0" w:color="auto"/>
              <w:right w:val="nil"/>
            </w:tcBorders>
            <w:shd w:val="clear" w:color="auto" w:fill="auto"/>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Median</w:t>
            </w:r>
          </w:p>
        </w:tc>
        <w:tc>
          <w:tcPr>
            <w:tcW w:w="2402" w:type="dxa"/>
            <w:tcBorders>
              <w:top w:val="nil"/>
              <w:left w:val="single" w:sz="8" w:space="0" w:color="auto"/>
              <w:bottom w:val="single" w:sz="8" w:space="0" w:color="auto"/>
              <w:right w:val="single" w:sz="8" w:space="0" w:color="auto"/>
            </w:tcBorders>
            <w:shd w:val="clear" w:color="auto" w:fill="auto"/>
            <w:vAlign w:val="center"/>
            <w:hideMark/>
          </w:tcPr>
          <w:p w:rsidR="0083560E" w:rsidRPr="0083560E" w:rsidRDefault="00762CD3" w:rsidP="0082378C">
            <w:pPr>
              <w:spacing w:after="0" w:line="240" w:lineRule="auto"/>
              <w:rPr>
                <w:rFonts w:eastAsia="Times New Roman" w:cstheme="minorHAnsi"/>
                <w:b/>
                <w:bCs/>
                <w:color w:val="000000"/>
                <w:lang w:eastAsia="en-IE"/>
              </w:rPr>
            </w:pPr>
            <w:r>
              <w:rPr>
                <w:rFonts w:eastAsia="Times New Roman" w:cstheme="minorHAnsi"/>
                <w:b/>
                <w:bCs/>
                <w:color w:val="000000"/>
                <w:lang w:eastAsia="en-IE"/>
              </w:rPr>
              <w:t>3.00</w:t>
            </w:r>
          </w:p>
        </w:tc>
      </w:tr>
      <w:tr w:rsidR="0083560E"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 </w:t>
            </w:r>
          </w:p>
        </w:tc>
        <w:tc>
          <w:tcPr>
            <w:tcW w:w="960" w:type="dxa"/>
            <w:tcBorders>
              <w:top w:val="nil"/>
              <w:left w:val="nil"/>
              <w:bottom w:val="single" w:sz="8" w:space="0" w:color="auto"/>
              <w:right w:val="nil"/>
            </w:tcBorders>
            <w:shd w:val="clear" w:color="auto" w:fill="auto"/>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Mean</w:t>
            </w:r>
          </w:p>
        </w:tc>
        <w:tc>
          <w:tcPr>
            <w:tcW w:w="2402" w:type="dxa"/>
            <w:tcBorders>
              <w:top w:val="nil"/>
              <w:left w:val="single" w:sz="8" w:space="0" w:color="auto"/>
              <w:bottom w:val="single" w:sz="8" w:space="0" w:color="auto"/>
              <w:right w:val="single" w:sz="8" w:space="0" w:color="auto"/>
            </w:tcBorders>
            <w:shd w:val="clear" w:color="auto" w:fill="auto"/>
            <w:vAlign w:val="center"/>
            <w:hideMark/>
          </w:tcPr>
          <w:p w:rsidR="0083560E" w:rsidRPr="0083560E" w:rsidRDefault="00762CD3" w:rsidP="0082378C">
            <w:pPr>
              <w:spacing w:after="0" w:line="240" w:lineRule="auto"/>
              <w:rPr>
                <w:rFonts w:eastAsia="Times New Roman" w:cstheme="minorHAnsi"/>
                <w:color w:val="000000"/>
                <w:lang w:eastAsia="en-IE"/>
              </w:rPr>
            </w:pPr>
            <w:r>
              <w:rPr>
                <w:rFonts w:eastAsia="Times New Roman" w:cstheme="minorHAnsi"/>
                <w:color w:val="000000"/>
                <w:lang w:eastAsia="en-IE"/>
              </w:rPr>
              <w:t>4.40</w:t>
            </w:r>
          </w:p>
        </w:tc>
      </w:tr>
      <w:tr w:rsidR="0083560E" w:rsidRPr="0083560E" w:rsidTr="006E71D8">
        <w:trPr>
          <w:trHeight w:val="315"/>
        </w:trPr>
        <w:tc>
          <w:tcPr>
            <w:tcW w:w="3420" w:type="dxa"/>
            <w:gridSpan w:val="2"/>
            <w:tcBorders>
              <w:top w:val="single" w:sz="8" w:space="0" w:color="auto"/>
              <w:left w:val="single" w:sz="8" w:space="0" w:color="auto"/>
              <w:bottom w:val="single" w:sz="8" w:space="0" w:color="auto"/>
              <w:right w:val="nil"/>
            </w:tcBorders>
            <w:shd w:val="clear" w:color="auto" w:fill="B6DDE8" w:themeFill="accent5" w:themeFillTint="66"/>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Cat 2</w:t>
            </w:r>
          </w:p>
        </w:tc>
        <w:tc>
          <w:tcPr>
            <w:tcW w:w="2402" w:type="dxa"/>
            <w:tcBorders>
              <w:top w:val="nil"/>
              <w:left w:val="single" w:sz="8" w:space="0" w:color="auto"/>
              <w:bottom w:val="single" w:sz="8" w:space="0" w:color="auto"/>
              <w:right w:val="single" w:sz="8" w:space="0" w:color="auto"/>
            </w:tcBorders>
            <w:shd w:val="clear" w:color="auto" w:fill="B6DDE8" w:themeFill="accent5" w:themeFillTint="66"/>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2014</w:t>
            </w:r>
          </w:p>
        </w:tc>
      </w:tr>
      <w:tr w:rsidR="00762CD3"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N</w:t>
            </w:r>
          </w:p>
        </w:tc>
        <w:tc>
          <w:tcPr>
            <w:tcW w:w="960" w:type="dxa"/>
            <w:tcBorders>
              <w:top w:val="nil"/>
              <w:left w:val="nil"/>
              <w:bottom w:val="single" w:sz="8" w:space="0" w:color="auto"/>
              <w:right w:val="nil"/>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Valid</w:t>
            </w:r>
          </w:p>
        </w:tc>
        <w:tc>
          <w:tcPr>
            <w:tcW w:w="2402" w:type="dxa"/>
            <w:tcBorders>
              <w:top w:val="nil"/>
              <w:left w:val="single" w:sz="8" w:space="0" w:color="auto"/>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Pr>
                <w:rFonts w:eastAsia="Times New Roman" w:cstheme="minorHAnsi"/>
                <w:color w:val="000000"/>
                <w:lang w:eastAsia="en-IE"/>
              </w:rPr>
              <w:t>26</w:t>
            </w:r>
          </w:p>
        </w:tc>
      </w:tr>
      <w:tr w:rsidR="00762CD3"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 </w:t>
            </w:r>
          </w:p>
        </w:tc>
        <w:tc>
          <w:tcPr>
            <w:tcW w:w="960" w:type="dxa"/>
            <w:tcBorders>
              <w:top w:val="nil"/>
              <w:left w:val="nil"/>
              <w:bottom w:val="single" w:sz="8" w:space="0" w:color="auto"/>
              <w:right w:val="nil"/>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Missing</w:t>
            </w:r>
          </w:p>
        </w:tc>
        <w:tc>
          <w:tcPr>
            <w:tcW w:w="2402" w:type="dxa"/>
            <w:tcBorders>
              <w:top w:val="nil"/>
              <w:left w:val="single" w:sz="8" w:space="0" w:color="auto"/>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Pr>
                <w:rFonts w:eastAsia="Times New Roman" w:cstheme="minorHAnsi"/>
                <w:color w:val="000000"/>
                <w:lang w:eastAsia="en-IE"/>
              </w:rPr>
              <w:t>5</w:t>
            </w:r>
          </w:p>
        </w:tc>
      </w:tr>
      <w:tr w:rsidR="0083560E"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Median</w:t>
            </w:r>
          </w:p>
        </w:tc>
        <w:tc>
          <w:tcPr>
            <w:tcW w:w="2402" w:type="dxa"/>
            <w:tcBorders>
              <w:top w:val="nil"/>
              <w:left w:val="nil"/>
              <w:bottom w:val="single" w:sz="8" w:space="0" w:color="auto"/>
              <w:right w:val="single" w:sz="8" w:space="0" w:color="auto"/>
            </w:tcBorders>
            <w:shd w:val="clear" w:color="auto" w:fill="auto"/>
            <w:vAlign w:val="center"/>
            <w:hideMark/>
          </w:tcPr>
          <w:p w:rsidR="0083560E" w:rsidRPr="0083560E" w:rsidRDefault="00762CD3" w:rsidP="0082378C">
            <w:pPr>
              <w:spacing w:after="0" w:line="240" w:lineRule="auto"/>
              <w:rPr>
                <w:rFonts w:eastAsia="Times New Roman" w:cstheme="minorHAnsi"/>
                <w:b/>
                <w:bCs/>
                <w:color w:val="000000"/>
                <w:lang w:eastAsia="en-IE"/>
              </w:rPr>
            </w:pPr>
            <w:r>
              <w:rPr>
                <w:rFonts w:eastAsia="Times New Roman" w:cstheme="minorHAnsi"/>
                <w:b/>
                <w:bCs/>
                <w:color w:val="000000"/>
                <w:lang w:eastAsia="en-IE"/>
              </w:rPr>
              <w:t>3.85</w:t>
            </w:r>
          </w:p>
        </w:tc>
      </w:tr>
      <w:tr w:rsidR="0083560E"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Mean</w:t>
            </w:r>
          </w:p>
        </w:tc>
        <w:tc>
          <w:tcPr>
            <w:tcW w:w="2402" w:type="dxa"/>
            <w:tcBorders>
              <w:top w:val="nil"/>
              <w:left w:val="nil"/>
              <w:bottom w:val="single" w:sz="8" w:space="0" w:color="auto"/>
              <w:right w:val="single" w:sz="8" w:space="0" w:color="auto"/>
            </w:tcBorders>
            <w:shd w:val="clear" w:color="auto" w:fill="auto"/>
            <w:vAlign w:val="center"/>
            <w:hideMark/>
          </w:tcPr>
          <w:p w:rsidR="0083560E" w:rsidRPr="0083560E" w:rsidRDefault="00762CD3" w:rsidP="0082378C">
            <w:pPr>
              <w:spacing w:after="0" w:line="240" w:lineRule="auto"/>
              <w:rPr>
                <w:rFonts w:eastAsia="Times New Roman" w:cstheme="minorHAnsi"/>
                <w:color w:val="000000"/>
                <w:lang w:eastAsia="en-IE"/>
              </w:rPr>
            </w:pPr>
            <w:r>
              <w:rPr>
                <w:rFonts w:eastAsia="Times New Roman" w:cstheme="minorHAnsi"/>
                <w:color w:val="000000"/>
                <w:lang w:eastAsia="en-IE"/>
              </w:rPr>
              <w:t>5.34</w:t>
            </w:r>
          </w:p>
        </w:tc>
      </w:tr>
      <w:tr w:rsidR="0083560E" w:rsidRPr="0083560E" w:rsidTr="006E71D8">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Cat 3</w:t>
            </w:r>
          </w:p>
        </w:tc>
        <w:tc>
          <w:tcPr>
            <w:tcW w:w="2402" w:type="dxa"/>
            <w:tcBorders>
              <w:top w:val="nil"/>
              <w:left w:val="nil"/>
              <w:bottom w:val="single" w:sz="8" w:space="0" w:color="auto"/>
              <w:right w:val="single" w:sz="8" w:space="0" w:color="auto"/>
            </w:tcBorders>
            <w:shd w:val="clear" w:color="auto" w:fill="B6DDE8" w:themeFill="accent5" w:themeFillTint="66"/>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2014</w:t>
            </w:r>
          </w:p>
        </w:tc>
      </w:tr>
      <w:tr w:rsidR="00762CD3"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Valid</w:t>
            </w:r>
          </w:p>
        </w:tc>
        <w:tc>
          <w:tcPr>
            <w:tcW w:w="2402"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Pr>
                <w:rFonts w:eastAsia="Times New Roman" w:cstheme="minorHAnsi"/>
                <w:color w:val="000000"/>
                <w:lang w:eastAsia="en-IE"/>
              </w:rPr>
              <w:t>26</w:t>
            </w:r>
          </w:p>
        </w:tc>
      </w:tr>
      <w:tr w:rsidR="00762CD3"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Missing</w:t>
            </w:r>
          </w:p>
        </w:tc>
        <w:tc>
          <w:tcPr>
            <w:tcW w:w="2402"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Pr>
                <w:rFonts w:eastAsia="Times New Roman" w:cstheme="minorHAnsi"/>
                <w:color w:val="000000"/>
                <w:lang w:eastAsia="en-IE"/>
              </w:rPr>
              <w:t>5</w:t>
            </w:r>
          </w:p>
        </w:tc>
      </w:tr>
      <w:tr w:rsidR="0083560E"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Median</w:t>
            </w:r>
          </w:p>
        </w:tc>
        <w:tc>
          <w:tcPr>
            <w:tcW w:w="2402"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b/>
                <w:bCs/>
                <w:color w:val="000000"/>
                <w:lang w:eastAsia="en-IE"/>
              </w:rPr>
            </w:pPr>
            <w:r>
              <w:rPr>
                <w:rFonts w:eastAsia="Times New Roman" w:cstheme="minorHAnsi"/>
                <w:b/>
                <w:bCs/>
                <w:color w:val="000000"/>
                <w:lang w:eastAsia="en-IE"/>
              </w:rPr>
              <w:t>6.48</w:t>
            </w:r>
          </w:p>
        </w:tc>
      </w:tr>
      <w:tr w:rsidR="0083560E"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Mean</w:t>
            </w:r>
          </w:p>
        </w:tc>
        <w:tc>
          <w:tcPr>
            <w:tcW w:w="2402" w:type="dxa"/>
            <w:tcBorders>
              <w:top w:val="nil"/>
              <w:left w:val="nil"/>
              <w:bottom w:val="single" w:sz="8" w:space="0" w:color="auto"/>
              <w:right w:val="single" w:sz="8" w:space="0" w:color="auto"/>
            </w:tcBorders>
            <w:shd w:val="clear" w:color="auto" w:fill="auto"/>
            <w:vAlign w:val="center"/>
            <w:hideMark/>
          </w:tcPr>
          <w:p w:rsidR="0083560E" w:rsidRPr="0083560E" w:rsidRDefault="00762CD3" w:rsidP="0082378C">
            <w:pPr>
              <w:spacing w:after="0" w:line="240" w:lineRule="auto"/>
              <w:rPr>
                <w:rFonts w:eastAsia="Times New Roman" w:cstheme="minorHAnsi"/>
                <w:color w:val="000000"/>
                <w:lang w:eastAsia="en-IE"/>
              </w:rPr>
            </w:pPr>
            <w:r>
              <w:rPr>
                <w:rFonts w:eastAsia="Times New Roman" w:cstheme="minorHAnsi"/>
                <w:color w:val="000000"/>
                <w:lang w:eastAsia="en-IE"/>
              </w:rPr>
              <w:t>6.16</w:t>
            </w:r>
          </w:p>
        </w:tc>
      </w:tr>
      <w:tr w:rsidR="0083560E" w:rsidRPr="0083560E" w:rsidTr="006E71D8">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Cat 4</w:t>
            </w:r>
          </w:p>
        </w:tc>
        <w:tc>
          <w:tcPr>
            <w:tcW w:w="2402" w:type="dxa"/>
            <w:tcBorders>
              <w:top w:val="nil"/>
              <w:left w:val="nil"/>
              <w:bottom w:val="single" w:sz="8" w:space="0" w:color="auto"/>
              <w:right w:val="single" w:sz="8" w:space="0" w:color="auto"/>
            </w:tcBorders>
            <w:shd w:val="clear" w:color="auto" w:fill="B6DDE8" w:themeFill="accent5" w:themeFillTint="66"/>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2014</w:t>
            </w:r>
          </w:p>
        </w:tc>
      </w:tr>
      <w:tr w:rsidR="00762CD3"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Valid</w:t>
            </w:r>
          </w:p>
        </w:tc>
        <w:tc>
          <w:tcPr>
            <w:tcW w:w="2402"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Pr>
                <w:rFonts w:eastAsia="Times New Roman" w:cstheme="minorHAnsi"/>
                <w:color w:val="000000"/>
                <w:lang w:eastAsia="en-IE"/>
              </w:rPr>
              <w:t>26</w:t>
            </w:r>
          </w:p>
        </w:tc>
      </w:tr>
      <w:tr w:rsidR="00762CD3"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Missing</w:t>
            </w:r>
          </w:p>
        </w:tc>
        <w:tc>
          <w:tcPr>
            <w:tcW w:w="2402"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Pr>
                <w:rFonts w:eastAsia="Times New Roman" w:cstheme="minorHAnsi"/>
                <w:color w:val="000000"/>
                <w:lang w:eastAsia="en-IE"/>
              </w:rPr>
              <w:t>5</w:t>
            </w:r>
          </w:p>
        </w:tc>
      </w:tr>
      <w:tr w:rsidR="0083560E"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Median</w:t>
            </w:r>
          </w:p>
        </w:tc>
        <w:tc>
          <w:tcPr>
            <w:tcW w:w="2402" w:type="dxa"/>
            <w:tcBorders>
              <w:top w:val="nil"/>
              <w:left w:val="nil"/>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15.00</w:t>
            </w:r>
          </w:p>
        </w:tc>
      </w:tr>
      <w:tr w:rsidR="0083560E"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Mean</w:t>
            </w:r>
          </w:p>
        </w:tc>
        <w:tc>
          <w:tcPr>
            <w:tcW w:w="2402" w:type="dxa"/>
            <w:tcBorders>
              <w:top w:val="nil"/>
              <w:left w:val="nil"/>
              <w:bottom w:val="single" w:sz="8" w:space="0" w:color="auto"/>
              <w:right w:val="single" w:sz="8" w:space="0" w:color="auto"/>
            </w:tcBorders>
            <w:shd w:val="clear" w:color="auto" w:fill="auto"/>
            <w:vAlign w:val="center"/>
            <w:hideMark/>
          </w:tcPr>
          <w:p w:rsidR="0083560E" w:rsidRPr="0083560E" w:rsidRDefault="007E38EF" w:rsidP="0082378C">
            <w:pPr>
              <w:spacing w:after="0" w:line="240" w:lineRule="auto"/>
              <w:rPr>
                <w:rFonts w:eastAsia="Times New Roman" w:cstheme="minorHAnsi"/>
                <w:color w:val="000000"/>
                <w:lang w:eastAsia="en-IE"/>
              </w:rPr>
            </w:pPr>
            <w:r>
              <w:rPr>
                <w:rFonts w:eastAsia="Times New Roman" w:cstheme="minorHAnsi"/>
                <w:color w:val="000000"/>
                <w:lang w:eastAsia="en-IE"/>
              </w:rPr>
              <w:t>1</w:t>
            </w:r>
            <w:r w:rsidR="00762CD3">
              <w:rPr>
                <w:rFonts w:eastAsia="Times New Roman" w:cstheme="minorHAnsi"/>
                <w:color w:val="000000"/>
                <w:lang w:eastAsia="en-IE"/>
              </w:rPr>
              <w:t>3.95</w:t>
            </w:r>
          </w:p>
        </w:tc>
      </w:tr>
      <w:tr w:rsidR="0083560E" w:rsidRPr="0083560E" w:rsidTr="006E71D8">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Cat 5</w:t>
            </w:r>
          </w:p>
        </w:tc>
        <w:tc>
          <w:tcPr>
            <w:tcW w:w="2402" w:type="dxa"/>
            <w:tcBorders>
              <w:top w:val="nil"/>
              <w:left w:val="nil"/>
              <w:bottom w:val="single" w:sz="8" w:space="0" w:color="auto"/>
              <w:right w:val="single" w:sz="8" w:space="0" w:color="auto"/>
            </w:tcBorders>
            <w:shd w:val="clear" w:color="auto" w:fill="B6DDE8" w:themeFill="accent5" w:themeFillTint="66"/>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2014</w:t>
            </w:r>
          </w:p>
        </w:tc>
      </w:tr>
      <w:tr w:rsidR="00762CD3"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Valid</w:t>
            </w:r>
          </w:p>
        </w:tc>
        <w:tc>
          <w:tcPr>
            <w:tcW w:w="2402"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Pr>
                <w:rFonts w:eastAsia="Times New Roman" w:cstheme="minorHAnsi"/>
                <w:color w:val="000000"/>
                <w:lang w:eastAsia="en-IE"/>
              </w:rPr>
              <w:t>26</w:t>
            </w:r>
          </w:p>
        </w:tc>
      </w:tr>
      <w:tr w:rsidR="00762CD3"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Missing</w:t>
            </w:r>
          </w:p>
        </w:tc>
        <w:tc>
          <w:tcPr>
            <w:tcW w:w="2402"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Pr>
                <w:rFonts w:eastAsia="Times New Roman" w:cstheme="minorHAnsi"/>
                <w:color w:val="000000"/>
                <w:lang w:eastAsia="en-IE"/>
              </w:rPr>
              <w:t>5</w:t>
            </w:r>
          </w:p>
        </w:tc>
      </w:tr>
      <w:tr w:rsidR="0083560E"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Median</w:t>
            </w:r>
          </w:p>
        </w:tc>
        <w:tc>
          <w:tcPr>
            <w:tcW w:w="2402" w:type="dxa"/>
            <w:tcBorders>
              <w:top w:val="nil"/>
              <w:left w:val="nil"/>
              <w:bottom w:val="single" w:sz="8" w:space="0" w:color="auto"/>
              <w:right w:val="single" w:sz="8" w:space="0" w:color="auto"/>
            </w:tcBorders>
            <w:shd w:val="clear" w:color="auto" w:fill="auto"/>
            <w:vAlign w:val="center"/>
            <w:hideMark/>
          </w:tcPr>
          <w:p w:rsidR="0083560E" w:rsidRPr="0083560E" w:rsidRDefault="007E38EF" w:rsidP="0082378C">
            <w:pPr>
              <w:spacing w:after="0" w:line="240" w:lineRule="auto"/>
              <w:rPr>
                <w:rFonts w:eastAsia="Times New Roman" w:cstheme="minorHAnsi"/>
                <w:b/>
                <w:bCs/>
                <w:color w:val="000000"/>
                <w:lang w:eastAsia="en-IE"/>
              </w:rPr>
            </w:pPr>
            <w:r>
              <w:rPr>
                <w:rFonts w:eastAsia="Times New Roman" w:cstheme="minorHAnsi"/>
                <w:b/>
                <w:bCs/>
                <w:color w:val="000000"/>
                <w:lang w:eastAsia="en-IE"/>
              </w:rPr>
              <w:t>1</w:t>
            </w:r>
            <w:r w:rsidR="00762CD3">
              <w:rPr>
                <w:rFonts w:eastAsia="Times New Roman" w:cstheme="minorHAnsi"/>
                <w:b/>
                <w:bCs/>
                <w:color w:val="000000"/>
                <w:lang w:eastAsia="en-IE"/>
              </w:rPr>
              <w:t>2.30</w:t>
            </w:r>
          </w:p>
        </w:tc>
      </w:tr>
      <w:tr w:rsidR="0083560E"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Mean</w:t>
            </w:r>
          </w:p>
        </w:tc>
        <w:tc>
          <w:tcPr>
            <w:tcW w:w="2402" w:type="dxa"/>
            <w:tcBorders>
              <w:top w:val="nil"/>
              <w:left w:val="nil"/>
              <w:bottom w:val="single" w:sz="8" w:space="0" w:color="auto"/>
              <w:right w:val="single" w:sz="8" w:space="0" w:color="auto"/>
            </w:tcBorders>
            <w:shd w:val="clear" w:color="auto" w:fill="auto"/>
            <w:vAlign w:val="center"/>
            <w:hideMark/>
          </w:tcPr>
          <w:p w:rsidR="0083560E" w:rsidRPr="0083560E" w:rsidRDefault="007E38EF" w:rsidP="0082378C">
            <w:pPr>
              <w:spacing w:after="0" w:line="240" w:lineRule="auto"/>
              <w:rPr>
                <w:rFonts w:eastAsia="Times New Roman" w:cstheme="minorHAnsi"/>
                <w:color w:val="000000"/>
                <w:lang w:eastAsia="en-IE"/>
              </w:rPr>
            </w:pPr>
            <w:r>
              <w:rPr>
                <w:rFonts w:eastAsia="Times New Roman" w:cstheme="minorHAnsi"/>
                <w:color w:val="000000"/>
                <w:lang w:eastAsia="en-IE"/>
              </w:rPr>
              <w:t>1</w:t>
            </w:r>
            <w:r w:rsidR="00762CD3">
              <w:rPr>
                <w:rFonts w:eastAsia="Times New Roman" w:cstheme="minorHAnsi"/>
                <w:color w:val="000000"/>
                <w:lang w:eastAsia="en-IE"/>
              </w:rPr>
              <w:t>2.52</w:t>
            </w:r>
          </w:p>
        </w:tc>
      </w:tr>
      <w:tr w:rsidR="0083560E" w:rsidRPr="0083560E" w:rsidTr="006E71D8">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Cat 6</w:t>
            </w:r>
          </w:p>
        </w:tc>
        <w:tc>
          <w:tcPr>
            <w:tcW w:w="2402" w:type="dxa"/>
            <w:tcBorders>
              <w:top w:val="single" w:sz="4" w:space="0" w:color="auto"/>
              <w:left w:val="nil"/>
              <w:bottom w:val="single" w:sz="8" w:space="0" w:color="auto"/>
              <w:right w:val="single" w:sz="8" w:space="0" w:color="auto"/>
            </w:tcBorders>
            <w:shd w:val="clear" w:color="auto" w:fill="B6DDE8" w:themeFill="accent5" w:themeFillTint="66"/>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2014</w:t>
            </w:r>
          </w:p>
        </w:tc>
      </w:tr>
      <w:tr w:rsidR="00762CD3"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Valid</w:t>
            </w:r>
          </w:p>
        </w:tc>
        <w:tc>
          <w:tcPr>
            <w:tcW w:w="2402"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Pr>
                <w:rFonts w:eastAsia="Times New Roman" w:cstheme="minorHAnsi"/>
                <w:color w:val="000000"/>
                <w:lang w:eastAsia="en-IE"/>
              </w:rPr>
              <w:t>26</w:t>
            </w:r>
          </w:p>
        </w:tc>
      </w:tr>
      <w:tr w:rsidR="00762CD3"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Missing</w:t>
            </w:r>
          </w:p>
        </w:tc>
        <w:tc>
          <w:tcPr>
            <w:tcW w:w="2402"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Pr>
                <w:rFonts w:eastAsia="Times New Roman" w:cstheme="minorHAnsi"/>
                <w:color w:val="000000"/>
                <w:lang w:eastAsia="en-IE"/>
              </w:rPr>
              <w:t>5</w:t>
            </w:r>
          </w:p>
        </w:tc>
      </w:tr>
      <w:tr w:rsidR="0083560E"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Median</w:t>
            </w:r>
          </w:p>
        </w:tc>
        <w:tc>
          <w:tcPr>
            <w:tcW w:w="2402" w:type="dxa"/>
            <w:tcBorders>
              <w:top w:val="nil"/>
              <w:left w:val="nil"/>
              <w:bottom w:val="single" w:sz="8" w:space="0" w:color="auto"/>
              <w:right w:val="single" w:sz="8" w:space="0" w:color="auto"/>
            </w:tcBorders>
            <w:shd w:val="clear" w:color="auto" w:fill="auto"/>
            <w:vAlign w:val="center"/>
            <w:hideMark/>
          </w:tcPr>
          <w:p w:rsidR="0083560E" w:rsidRPr="0083560E" w:rsidRDefault="00762CD3" w:rsidP="0082378C">
            <w:pPr>
              <w:spacing w:after="0" w:line="240" w:lineRule="auto"/>
              <w:rPr>
                <w:rFonts w:eastAsia="Times New Roman" w:cstheme="minorHAnsi"/>
                <w:b/>
                <w:bCs/>
                <w:color w:val="000000"/>
                <w:lang w:eastAsia="en-IE"/>
              </w:rPr>
            </w:pPr>
            <w:r>
              <w:rPr>
                <w:rFonts w:eastAsia="Times New Roman" w:cstheme="minorHAnsi"/>
                <w:b/>
                <w:bCs/>
                <w:color w:val="000000"/>
                <w:lang w:eastAsia="en-IE"/>
              </w:rPr>
              <w:t>15.14</w:t>
            </w:r>
          </w:p>
        </w:tc>
      </w:tr>
      <w:tr w:rsidR="0083560E"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Mean</w:t>
            </w:r>
          </w:p>
        </w:tc>
        <w:tc>
          <w:tcPr>
            <w:tcW w:w="2402" w:type="dxa"/>
            <w:tcBorders>
              <w:top w:val="nil"/>
              <w:left w:val="nil"/>
              <w:bottom w:val="single" w:sz="8" w:space="0" w:color="auto"/>
              <w:right w:val="single" w:sz="8" w:space="0" w:color="auto"/>
            </w:tcBorders>
            <w:shd w:val="clear" w:color="auto" w:fill="auto"/>
            <w:vAlign w:val="center"/>
            <w:hideMark/>
          </w:tcPr>
          <w:p w:rsidR="0083560E" w:rsidRPr="0083560E" w:rsidRDefault="007E38EF" w:rsidP="0082378C">
            <w:pPr>
              <w:spacing w:after="0" w:line="240" w:lineRule="auto"/>
              <w:rPr>
                <w:rFonts w:eastAsia="Times New Roman" w:cstheme="minorHAnsi"/>
                <w:color w:val="000000"/>
                <w:lang w:eastAsia="en-IE"/>
              </w:rPr>
            </w:pPr>
            <w:r>
              <w:rPr>
                <w:rFonts w:eastAsia="Times New Roman" w:cstheme="minorHAnsi"/>
                <w:color w:val="000000"/>
                <w:lang w:eastAsia="en-IE"/>
              </w:rPr>
              <w:t>1</w:t>
            </w:r>
            <w:r w:rsidR="00762CD3">
              <w:rPr>
                <w:rFonts w:eastAsia="Times New Roman" w:cstheme="minorHAnsi"/>
                <w:color w:val="000000"/>
                <w:lang w:eastAsia="en-IE"/>
              </w:rPr>
              <w:t>6.69</w:t>
            </w:r>
          </w:p>
        </w:tc>
      </w:tr>
      <w:tr w:rsidR="0083560E" w:rsidRPr="0083560E" w:rsidTr="006E71D8">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Cat 7</w:t>
            </w:r>
          </w:p>
        </w:tc>
        <w:tc>
          <w:tcPr>
            <w:tcW w:w="2402" w:type="dxa"/>
            <w:tcBorders>
              <w:top w:val="nil"/>
              <w:left w:val="nil"/>
              <w:bottom w:val="single" w:sz="8" w:space="0" w:color="auto"/>
              <w:right w:val="single" w:sz="8" w:space="0" w:color="auto"/>
            </w:tcBorders>
            <w:shd w:val="clear" w:color="auto" w:fill="B6DDE8" w:themeFill="accent5" w:themeFillTint="66"/>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2014</w:t>
            </w:r>
          </w:p>
        </w:tc>
      </w:tr>
      <w:tr w:rsidR="00762CD3"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Valid</w:t>
            </w:r>
          </w:p>
        </w:tc>
        <w:tc>
          <w:tcPr>
            <w:tcW w:w="2402"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Pr>
                <w:rFonts w:eastAsia="Times New Roman" w:cstheme="minorHAnsi"/>
                <w:color w:val="000000"/>
                <w:lang w:eastAsia="en-IE"/>
              </w:rPr>
              <w:t>26</w:t>
            </w:r>
          </w:p>
        </w:tc>
      </w:tr>
      <w:tr w:rsidR="00762CD3"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Missing</w:t>
            </w:r>
          </w:p>
        </w:tc>
        <w:tc>
          <w:tcPr>
            <w:tcW w:w="2402"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Pr>
                <w:rFonts w:eastAsia="Times New Roman" w:cstheme="minorHAnsi"/>
                <w:color w:val="000000"/>
                <w:lang w:eastAsia="en-IE"/>
              </w:rPr>
              <w:t>5</w:t>
            </w:r>
          </w:p>
        </w:tc>
      </w:tr>
      <w:tr w:rsidR="0083560E"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Median</w:t>
            </w:r>
          </w:p>
        </w:tc>
        <w:tc>
          <w:tcPr>
            <w:tcW w:w="2402" w:type="dxa"/>
            <w:tcBorders>
              <w:top w:val="nil"/>
              <w:left w:val="nil"/>
              <w:bottom w:val="single" w:sz="8" w:space="0" w:color="auto"/>
              <w:right w:val="single" w:sz="8" w:space="0" w:color="auto"/>
            </w:tcBorders>
            <w:shd w:val="clear" w:color="auto" w:fill="auto"/>
            <w:vAlign w:val="center"/>
            <w:hideMark/>
          </w:tcPr>
          <w:p w:rsidR="0083560E" w:rsidRPr="0083560E" w:rsidRDefault="007E38EF" w:rsidP="0082378C">
            <w:pPr>
              <w:spacing w:after="0" w:line="240" w:lineRule="auto"/>
              <w:rPr>
                <w:rFonts w:eastAsia="Times New Roman" w:cstheme="minorHAnsi"/>
                <w:b/>
                <w:bCs/>
                <w:color w:val="000000"/>
                <w:lang w:eastAsia="en-IE"/>
              </w:rPr>
            </w:pPr>
            <w:r>
              <w:rPr>
                <w:rFonts w:eastAsia="Times New Roman" w:cstheme="minorHAnsi"/>
                <w:b/>
                <w:bCs/>
                <w:color w:val="000000"/>
                <w:lang w:eastAsia="en-IE"/>
              </w:rPr>
              <w:t>1</w:t>
            </w:r>
            <w:r w:rsidR="00762CD3">
              <w:rPr>
                <w:rFonts w:eastAsia="Times New Roman" w:cstheme="minorHAnsi"/>
                <w:b/>
                <w:bCs/>
                <w:color w:val="000000"/>
                <w:lang w:eastAsia="en-IE"/>
              </w:rPr>
              <w:t>8.00</w:t>
            </w:r>
          </w:p>
        </w:tc>
      </w:tr>
      <w:tr w:rsidR="0083560E"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Mean</w:t>
            </w:r>
          </w:p>
        </w:tc>
        <w:tc>
          <w:tcPr>
            <w:tcW w:w="2402" w:type="dxa"/>
            <w:tcBorders>
              <w:top w:val="nil"/>
              <w:left w:val="nil"/>
              <w:bottom w:val="single" w:sz="8" w:space="0" w:color="auto"/>
              <w:right w:val="single" w:sz="8" w:space="0" w:color="auto"/>
            </w:tcBorders>
            <w:shd w:val="clear" w:color="auto" w:fill="auto"/>
            <w:vAlign w:val="center"/>
            <w:hideMark/>
          </w:tcPr>
          <w:p w:rsidR="0083560E" w:rsidRPr="0083560E" w:rsidRDefault="007E38EF" w:rsidP="0082378C">
            <w:pPr>
              <w:spacing w:after="0" w:line="240" w:lineRule="auto"/>
              <w:rPr>
                <w:rFonts w:eastAsia="Times New Roman" w:cstheme="minorHAnsi"/>
                <w:color w:val="000000"/>
                <w:lang w:eastAsia="en-IE"/>
              </w:rPr>
            </w:pPr>
            <w:r>
              <w:rPr>
                <w:rFonts w:eastAsia="Times New Roman" w:cstheme="minorHAnsi"/>
                <w:color w:val="000000"/>
                <w:lang w:eastAsia="en-IE"/>
              </w:rPr>
              <w:t>1</w:t>
            </w:r>
            <w:r w:rsidR="00762CD3">
              <w:rPr>
                <w:rFonts w:eastAsia="Times New Roman" w:cstheme="minorHAnsi"/>
                <w:color w:val="000000"/>
                <w:lang w:eastAsia="en-IE"/>
              </w:rPr>
              <w:t>8.29</w:t>
            </w:r>
          </w:p>
        </w:tc>
      </w:tr>
      <w:tr w:rsidR="0083560E" w:rsidRPr="0083560E" w:rsidTr="006E71D8">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Cat 8</w:t>
            </w:r>
          </w:p>
        </w:tc>
        <w:tc>
          <w:tcPr>
            <w:tcW w:w="2402" w:type="dxa"/>
            <w:tcBorders>
              <w:top w:val="nil"/>
              <w:left w:val="nil"/>
              <w:bottom w:val="single" w:sz="8" w:space="0" w:color="auto"/>
              <w:right w:val="single" w:sz="8" w:space="0" w:color="auto"/>
            </w:tcBorders>
            <w:shd w:val="clear" w:color="auto" w:fill="B6DDE8" w:themeFill="accent5" w:themeFillTint="66"/>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2014</w:t>
            </w:r>
          </w:p>
        </w:tc>
      </w:tr>
      <w:tr w:rsidR="00762CD3"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Valid</w:t>
            </w:r>
          </w:p>
        </w:tc>
        <w:tc>
          <w:tcPr>
            <w:tcW w:w="2402"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Pr>
                <w:rFonts w:eastAsia="Times New Roman" w:cstheme="minorHAnsi"/>
                <w:color w:val="000000"/>
                <w:lang w:eastAsia="en-IE"/>
              </w:rPr>
              <w:t>26</w:t>
            </w:r>
          </w:p>
        </w:tc>
      </w:tr>
      <w:tr w:rsidR="00762CD3"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Missing</w:t>
            </w:r>
          </w:p>
        </w:tc>
        <w:tc>
          <w:tcPr>
            <w:tcW w:w="2402"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Pr>
                <w:rFonts w:eastAsia="Times New Roman" w:cstheme="minorHAnsi"/>
                <w:color w:val="000000"/>
                <w:lang w:eastAsia="en-IE"/>
              </w:rPr>
              <w:t>5</w:t>
            </w:r>
          </w:p>
        </w:tc>
      </w:tr>
      <w:tr w:rsidR="0083560E"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Median</w:t>
            </w:r>
          </w:p>
        </w:tc>
        <w:tc>
          <w:tcPr>
            <w:tcW w:w="2402" w:type="dxa"/>
            <w:tcBorders>
              <w:top w:val="nil"/>
              <w:left w:val="nil"/>
              <w:bottom w:val="single" w:sz="8" w:space="0" w:color="auto"/>
              <w:right w:val="single" w:sz="8" w:space="0" w:color="auto"/>
            </w:tcBorders>
            <w:shd w:val="clear" w:color="auto" w:fill="auto"/>
            <w:vAlign w:val="center"/>
            <w:hideMark/>
          </w:tcPr>
          <w:p w:rsidR="0083560E" w:rsidRPr="0083560E" w:rsidRDefault="00762CD3" w:rsidP="0082378C">
            <w:pPr>
              <w:spacing w:after="0" w:line="240" w:lineRule="auto"/>
              <w:rPr>
                <w:rFonts w:eastAsia="Times New Roman" w:cstheme="minorHAnsi"/>
                <w:b/>
                <w:bCs/>
                <w:color w:val="000000"/>
                <w:lang w:eastAsia="en-IE"/>
              </w:rPr>
            </w:pPr>
            <w:r>
              <w:rPr>
                <w:rFonts w:eastAsia="Times New Roman" w:cstheme="minorHAnsi"/>
                <w:b/>
                <w:bCs/>
                <w:color w:val="000000"/>
                <w:lang w:eastAsia="en-IE"/>
              </w:rPr>
              <w:t>8.00</w:t>
            </w:r>
          </w:p>
        </w:tc>
      </w:tr>
      <w:tr w:rsidR="0083560E"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Mean</w:t>
            </w:r>
          </w:p>
        </w:tc>
        <w:tc>
          <w:tcPr>
            <w:tcW w:w="2402" w:type="dxa"/>
            <w:tcBorders>
              <w:top w:val="nil"/>
              <w:left w:val="nil"/>
              <w:bottom w:val="single" w:sz="8" w:space="0" w:color="auto"/>
              <w:right w:val="single" w:sz="8" w:space="0" w:color="auto"/>
            </w:tcBorders>
            <w:shd w:val="clear" w:color="auto" w:fill="auto"/>
            <w:vAlign w:val="center"/>
            <w:hideMark/>
          </w:tcPr>
          <w:p w:rsidR="0083560E" w:rsidRPr="0083560E" w:rsidRDefault="00762CD3" w:rsidP="0082378C">
            <w:pPr>
              <w:spacing w:after="0" w:line="240" w:lineRule="auto"/>
              <w:rPr>
                <w:rFonts w:eastAsia="Times New Roman" w:cstheme="minorHAnsi"/>
                <w:color w:val="000000"/>
                <w:lang w:eastAsia="en-IE"/>
              </w:rPr>
            </w:pPr>
            <w:r>
              <w:rPr>
                <w:rFonts w:eastAsia="Times New Roman" w:cstheme="minorHAnsi"/>
                <w:color w:val="000000"/>
                <w:lang w:eastAsia="en-IE"/>
              </w:rPr>
              <w:t>10.07</w:t>
            </w:r>
          </w:p>
        </w:tc>
      </w:tr>
      <w:tr w:rsidR="0083560E" w:rsidRPr="0083560E" w:rsidTr="006E71D8">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lastRenderedPageBreak/>
              <w:t>Cat 9</w:t>
            </w:r>
          </w:p>
        </w:tc>
        <w:tc>
          <w:tcPr>
            <w:tcW w:w="2402" w:type="dxa"/>
            <w:tcBorders>
              <w:top w:val="single" w:sz="4" w:space="0" w:color="auto"/>
              <w:left w:val="nil"/>
              <w:bottom w:val="single" w:sz="8" w:space="0" w:color="auto"/>
              <w:right w:val="single" w:sz="8" w:space="0" w:color="auto"/>
            </w:tcBorders>
            <w:shd w:val="clear" w:color="auto" w:fill="B6DDE8" w:themeFill="accent5" w:themeFillTint="66"/>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2014</w:t>
            </w:r>
          </w:p>
        </w:tc>
      </w:tr>
      <w:tr w:rsidR="00762CD3"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Valid</w:t>
            </w:r>
          </w:p>
        </w:tc>
        <w:tc>
          <w:tcPr>
            <w:tcW w:w="2402"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Pr>
                <w:rFonts w:eastAsia="Times New Roman" w:cstheme="minorHAnsi"/>
                <w:color w:val="000000"/>
                <w:lang w:eastAsia="en-IE"/>
              </w:rPr>
              <w:t>26</w:t>
            </w:r>
          </w:p>
        </w:tc>
      </w:tr>
      <w:tr w:rsidR="00762CD3"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Missing</w:t>
            </w:r>
          </w:p>
        </w:tc>
        <w:tc>
          <w:tcPr>
            <w:tcW w:w="2402"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Pr>
                <w:rFonts w:eastAsia="Times New Roman" w:cstheme="minorHAnsi"/>
                <w:color w:val="000000"/>
                <w:lang w:eastAsia="en-IE"/>
              </w:rPr>
              <w:t>5</w:t>
            </w:r>
          </w:p>
        </w:tc>
      </w:tr>
      <w:tr w:rsidR="0083560E"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Median</w:t>
            </w:r>
          </w:p>
        </w:tc>
        <w:tc>
          <w:tcPr>
            <w:tcW w:w="2402" w:type="dxa"/>
            <w:tcBorders>
              <w:top w:val="nil"/>
              <w:left w:val="nil"/>
              <w:bottom w:val="single" w:sz="8" w:space="0" w:color="auto"/>
              <w:right w:val="single" w:sz="8" w:space="0" w:color="auto"/>
            </w:tcBorders>
            <w:shd w:val="clear" w:color="auto" w:fill="auto"/>
            <w:vAlign w:val="center"/>
            <w:hideMark/>
          </w:tcPr>
          <w:p w:rsidR="0083560E" w:rsidRPr="0083560E" w:rsidRDefault="00762CD3" w:rsidP="0082378C">
            <w:pPr>
              <w:spacing w:after="0" w:line="240" w:lineRule="auto"/>
              <w:rPr>
                <w:rFonts w:eastAsia="Times New Roman" w:cstheme="minorHAnsi"/>
                <w:b/>
                <w:bCs/>
                <w:color w:val="000000"/>
                <w:lang w:eastAsia="en-IE"/>
              </w:rPr>
            </w:pPr>
            <w:r>
              <w:rPr>
                <w:rFonts w:eastAsia="Times New Roman" w:cstheme="minorHAnsi"/>
                <w:b/>
                <w:bCs/>
                <w:color w:val="000000"/>
                <w:lang w:eastAsia="en-IE"/>
              </w:rPr>
              <w:t>6.00</w:t>
            </w:r>
          </w:p>
        </w:tc>
      </w:tr>
      <w:tr w:rsidR="0083560E"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Mean</w:t>
            </w:r>
          </w:p>
        </w:tc>
        <w:tc>
          <w:tcPr>
            <w:tcW w:w="2402" w:type="dxa"/>
            <w:tcBorders>
              <w:top w:val="nil"/>
              <w:left w:val="nil"/>
              <w:bottom w:val="single" w:sz="8" w:space="0" w:color="auto"/>
              <w:right w:val="single" w:sz="8" w:space="0" w:color="auto"/>
            </w:tcBorders>
            <w:shd w:val="clear" w:color="auto" w:fill="auto"/>
            <w:vAlign w:val="center"/>
            <w:hideMark/>
          </w:tcPr>
          <w:p w:rsidR="0083560E" w:rsidRPr="0083560E" w:rsidRDefault="00762CD3" w:rsidP="0082378C">
            <w:pPr>
              <w:spacing w:after="0" w:line="240" w:lineRule="auto"/>
              <w:rPr>
                <w:rFonts w:eastAsia="Times New Roman" w:cstheme="minorHAnsi"/>
                <w:color w:val="000000"/>
                <w:lang w:eastAsia="en-IE"/>
              </w:rPr>
            </w:pPr>
            <w:r>
              <w:rPr>
                <w:rFonts w:eastAsia="Times New Roman" w:cstheme="minorHAnsi"/>
                <w:color w:val="000000"/>
                <w:lang w:eastAsia="en-IE"/>
              </w:rPr>
              <w:t>8.28</w:t>
            </w:r>
          </w:p>
        </w:tc>
      </w:tr>
      <w:tr w:rsidR="0083560E" w:rsidRPr="0083560E" w:rsidTr="006E71D8">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Cat 10</w:t>
            </w:r>
          </w:p>
        </w:tc>
        <w:tc>
          <w:tcPr>
            <w:tcW w:w="2402" w:type="dxa"/>
            <w:tcBorders>
              <w:top w:val="nil"/>
              <w:left w:val="nil"/>
              <w:bottom w:val="single" w:sz="8" w:space="0" w:color="auto"/>
              <w:right w:val="single" w:sz="8" w:space="0" w:color="auto"/>
            </w:tcBorders>
            <w:shd w:val="clear" w:color="auto" w:fill="B6DDE8" w:themeFill="accent5" w:themeFillTint="66"/>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2014</w:t>
            </w:r>
          </w:p>
        </w:tc>
      </w:tr>
      <w:tr w:rsidR="00762CD3"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Valid</w:t>
            </w:r>
          </w:p>
        </w:tc>
        <w:tc>
          <w:tcPr>
            <w:tcW w:w="2402"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Pr>
                <w:rFonts w:eastAsia="Times New Roman" w:cstheme="minorHAnsi"/>
                <w:color w:val="000000"/>
                <w:lang w:eastAsia="en-IE"/>
              </w:rPr>
              <w:t>26</w:t>
            </w:r>
          </w:p>
        </w:tc>
      </w:tr>
      <w:tr w:rsidR="00762CD3"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Missing</w:t>
            </w:r>
          </w:p>
        </w:tc>
        <w:tc>
          <w:tcPr>
            <w:tcW w:w="2402" w:type="dxa"/>
            <w:tcBorders>
              <w:top w:val="nil"/>
              <w:left w:val="nil"/>
              <w:bottom w:val="single" w:sz="8" w:space="0" w:color="auto"/>
              <w:right w:val="single" w:sz="8" w:space="0" w:color="auto"/>
            </w:tcBorders>
            <w:shd w:val="clear" w:color="auto" w:fill="auto"/>
            <w:vAlign w:val="center"/>
            <w:hideMark/>
          </w:tcPr>
          <w:p w:rsidR="00762CD3" w:rsidRPr="0083560E" w:rsidRDefault="00762CD3" w:rsidP="0082378C">
            <w:pPr>
              <w:spacing w:after="0" w:line="240" w:lineRule="auto"/>
              <w:rPr>
                <w:rFonts w:eastAsia="Times New Roman" w:cstheme="minorHAnsi"/>
                <w:color w:val="000000"/>
                <w:lang w:eastAsia="en-IE"/>
              </w:rPr>
            </w:pPr>
            <w:r>
              <w:rPr>
                <w:rFonts w:eastAsia="Times New Roman" w:cstheme="minorHAnsi"/>
                <w:color w:val="000000"/>
                <w:lang w:eastAsia="en-IE"/>
              </w:rPr>
              <w:t>5</w:t>
            </w:r>
          </w:p>
        </w:tc>
      </w:tr>
      <w:tr w:rsidR="0083560E"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b/>
                <w:bCs/>
                <w:color w:val="000000"/>
                <w:lang w:eastAsia="en-IE"/>
              </w:rPr>
            </w:pPr>
            <w:r w:rsidRPr="0083560E">
              <w:rPr>
                <w:rFonts w:eastAsia="Times New Roman" w:cstheme="minorHAnsi"/>
                <w:b/>
                <w:bCs/>
                <w:color w:val="000000"/>
                <w:lang w:eastAsia="en-IE"/>
              </w:rPr>
              <w:t>Median</w:t>
            </w:r>
          </w:p>
        </w:tc>
        <w:tc>
          <w:tcPr>
            <w:tcW w:w="2402" w:type="dxa"/>
            <w:tcBorders>
              <w:top w:val="nil"/>
              <w:left w:val="nil"/>
              <w:bottom w:val="single" w:sz="8" w:space="0" w:color="auto"/>
              <w:right w:val="single" w:sz="8" w:space="0" w:color="auto"/>
            </w:tcBorders>
            <w:shd w:val="clear" w:color="auto" w:fill="auto"/>
            <w:vAlign w:val="center"/>
            <w:hideMark/>
          </w:tcPr>
          <w:p w:rsidR="0083560E" w:rsidRPr="0083560E" w:rsidRDefault="00762CD3" w:rsidP="0082378C">
            <w:pPr>
              <w:spacing w:after="0" w:line="240" w:lineRule="auto"/>
              <w:rPr>
                <w:rFonts w:eastAsia="Times New Roman" w:cstheme="minorHAnsi"/>
                <w:b/>
                <w:bCs/>
                <w:color w:val="000000"/>
                <w:lang w:eastAsia="en-IE"/>
              </w:rPr>
            </w:pPr>
            <w:r>
              <w:rPr>
                <w:rFonts w:eastAsia="Times New Roman" w:cstheme="minorHAnsi"/>
                <w:b/>
                <w:bCs/>
                <w:color w:val="000000"/>
                <w:lang w:eastAsia="en-IE"/>
              </w:rPr>
              <w:t>1.26</w:t>
            </w:r>
          </w:p>
        </w:tc>
      </w:tr>
      <w:tr w:rsidR="0083560E" w:rsidRPr="0083560E" w:rsidTr="006E71D8">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83560E" w:rsidRPr="0083560E" w:rsidRDefault="0083560E" w:rsidP="0082378C">
            <w:pPr>
              <w:spacing w:after="0" w:line="240" w:lineRule="auto"/>
              <w:rPr>
                <w:rFonts w:eastAsia="Times New Roman" w:cstheme="minorHAnsi"/>
                <w:color w:val="000000"/>
                <w:lang w:eastAsia="en-IE"/>
              </w:rPr>
            </w:pPr>
            <w:r w:rsidRPr="0083560E">
              <w:rPr>
                <w:rFonts w:eastAsia="Times New Roman" w:cstheme="minorHAnsi"/>
                <w:color w:val="000000"/>
                <w:lang w:eastAsia="en-IE"/>
              </w:rPr>
              <w:t>Mean</w:t>
            </w:r>
          </w:p>
        </w:tc>
        <w:tc>
          <w:tcPr>
            <w:tcW w:w="2402" w:type="dxa"/>
            <w:tcBorders>
              <w:top w:val="nil"/>
              <w:left w:val="nil"/>
              <w:bottom w:val="single" w:sz="8" w:space="0" w:color="auto"/>
              <w:right w:val="single" w:sz="8" w:space="0" w:color="auto"/>
            </w:tcBorders>
            <w:shd w:val="clear" w:color="auto" w:fill="auto"/>
            <w:vAlign w:val="center"/>
            <w:hideMark/>
          </w:tcPr>
          <w:p w:rsidR="0083560E" w:rsidRPr="0083560E" w:rsidRDefault="00762CD3" w:rsidP="0082378C">
            <w:pPr>
              <w:spacing w:after="0" w:line="240" w:lineRule="auto"/>
              <w:rPr>
                <w:rFonts w:eastAsia="Times New Roman" w:cstheme="minorHAnsi"/>
                <w:color w:val="000000"/>
                <w:lang w:eastAsia="en-IE"/>
              </w:rPr>
            </w:pPr>
            <w:r>
              <w:rPr>
                <w:rFonts w:eastAsia="Times New Roman" w:cstheme="minorHAnsi"/>
                <w:color w:val="000000"/>
                <w:lang w:eastAsia="en-IE"/>
              </w:rPr>
              <w:t>1.93</w:t>
            </w:r>
          </w:p>
        </w:tc>
      </w:tr>
    </w:tbl>
    <w:p w:rsidR="00201EC9" w:rsidRPr="00B97E75" w:rsidRDefault="00201EC9">
      <w:pPr>
        <w:rPr>
          <w:rFonts w:cstheme="minorHAnsi"/>
          <w:b/>
        </w:rPr>
      </w:pPr>
    </w:p>
    <w:p w:rsidR="00201EC9" w:rsidRPr="00B97E75" w:rsidRDefault="00201EC9">
      <w:pPr>
        <w:rPr>
          <w:rFonts w:cstheme="minorHAnsi"/>
          <w:b/>
        </w:rPr>
      </w:pPr>
    </w:p>
    <w:p w:rsidR="00201EC9" w:rsidRDefault="00201EC9">
      <w:pPr>
        <w:rPr>
          <w:rFonts w:cstheme="minorHAnsi"/>
          <w:b/>
        </w:rPr>
      </w:pPr>
    </w:p>
    <w:p w:rsidR="004C099D" w:rsidRDefault="004C099D">
      <w:pPr>
        <w:rPr>
          <w:rFonts w:cstheme="minorHAnsi"/>
          <w:b/>
        </w:rPr>
      </w:pPr>
    </w:p>
    <w:p w:rsidR="004C099D" w:rsidRDefault="004C099D">
      <w:pPr>
        <w:rPr>
          <w:rFonts w:cstheme="minorHAnsi"/>
          <w:b/>
        </w:rPr>
      </w:pPr>
    </w:p>
    <w:p w:rsidR="004C099D" w:rsidRDefault="004C099D">
      <w:pPr>
        <w:rPr>
          <w:rFonts w:cstheme="minorHAnsi"/>
          <w:b/>
        </w:rPr>
      </w:pPr>
    </w:p>
    <w:p w:rsidR="004C099D" w:rsidRDefault="004C099D">
      <w:pPr>
        <w:rPr>
          <w:rFonts w:cstheme="minorHAnsi"/>
          <w:b/>
        </w:rPr>
      </w:pPr>
    </w:p>
    <w:p w:rsidR="004C099D" w:rsidRDefault="004C099D">
      <w:pPr>
        <w:rPr>
          <w:rFonts w:cstheme="minorHAnsi"/>
          <w:b/>
        </w:rPr>
      </w:pPr>
    </w:p>
    <w:p w:rsidR="004C099D" w:rsidRDefault="004C099D">
      <w:pPr>
        <w:rPr>
          <w:rFonts w:cstheme="minorHAnsi"/>
          <w:b/>
        </w:rPr>
      </w:pPr>
    </w:p>
    <w:p w:rsidR="004C099D" w:rsidRDefault="004C099D">
      <w:pPr>
        <w:rPr>
          <w:rFonts w:cstheme="minorHAnsi"/>
          <w:b/>
        </w:rPr>
      </w:pPr>
    </w:p>
    <w:p w:rsidR="004C099D" w:rsidRDefault="004C099D">
      <w:pPr>
        <w:rPr>
          <w:rFonts w:cstheme="minorHAnsi"/>
          <w:b/>
        </w:rPr>
      </w:pPr>
    </w:p>
    <w:p w:rsidR="004C099D" w:rsidRDefault="004C099D">
      <w:pPr>
        <w:rPr>
          <w:rFonts w:cstheme="minorHAnsi"/>
          <w:b/>
        </w:rPr>
      </w:pPr>
    </w:p>
    <w:p w:rsidR="004C099D" w:rsidRDefault="004C099D">
      <w:pPr>
        <w:rPr>
          <w:rFonts w:cstheme="minorHAnsi"/>
          <w:b/>
        </w:rPr>
      </w:pPr>
    </w:p>
    <w:p w:rsidR="004C099D" w:rsidRDefault="004C099D">
      <w:pPr>
        <w:rPr>
          <w:rFonts w:cstheme="minorHAnsi"/>
          <w:b/>
        </w:rPr>
      </w:pPr>
    </w:p>
    <w:p w:rsidR="004C099D" w:rsidRDefault="004C099D">
      <w:pPr>
        <w:rPr>
          <w:rFonts w:cstheme="minorHAnsi"/>
          <w:b/>
        </w:rPr>
      </w:pPr>
    </w:p>
    <w:p w:rsidR="004C099D" w:rsidRDefault="004C099D">
      <w:pPr>
        <w:rPr>
          <w:rFonts w:cstheme="minorHAnsi"/>
          <w:b/>
        </w:rPr>
      </w:pPr>
    </w:p>
    <w:p w:rsidR="007B6923" w:rsidRDefault="007B6923" w:rsidP="00E97F2C">
      <w:pPr>
        <w:pStyle w:val="PITableHeading"/>
        <w:rPr>
          <w:rFonts w:asciiTheme="minorHAnsi" w:eastAsiaTheme="minorHAnsi" w:hAnsiTheme="minorHAnsi" w:cstheme="minorHAnsi"/>
          <w:bCs w:val="0"/>
          <w:color w:val="auto"/>
          <w:sz w:val="22"/>
          <w:szCs w:val="22"/>
          <w:lang w:eastAsia="en-US"/>
        </w:rPr>
      </w:pPr>
    </w:p>
    <w:p w:rsidR="007B6923" w:rsidRDefault="007B6923" w:rsidP="00E97F2C">
      <w:pPr>
        <w:pStyle w:val="PITableHeading"/>
        <w:rPr>
          <w:rFonts w:asciiTheme="minorHAnsi" w:eastAsiaTheme="minorHAnsi" w:hAnsiTheme="minorHAnsi" w:cstheme="minorHAnsi"/>
          <w:bCs w:val="0"/>
          <w:color w:val="auto"/>
          <w:sz w:val="22"/>
          <w:szCs w:val="22"/>
          <w:lang w:eastAsia="en-US"/>
        </w:rPr>
      </w:pPr>
    </w:p>
    <w:p w:rsidR="006E71D8" w:rsidRDefault="006E71D8" w:rsidP="00E97F2C">
      <w:pPr>
        <w:pStyle w:val="PITableHeading"/>
        <w:rPr>
          <w:rFonts w:asciiTheme="minorHAnsi" w:hAnsiTheme="minorHAnsi" w:cstheme="minorHAnsi"/>
          <w:sz w:val="22"/>
          <w:szCs w:val="22"/>
        </w:rPr>
      </w:pPr>
    </w:p>
    <w:p w:rsidR="006E71D8" w:rsidRDefault="006E71D8" w:rsidP="00E97F2C">
      <w:pPr>
        <w:pStyle w:val="PITableHeading"/>
        <w:rPr>
          <w:rFonts w:asciiTheme="minorHAnsi" w:hAnsiTheme="minorHAnsi" w:cstheme="minorHAnsi"/>
          <w:sz w:val="22"/>
          <w:szCs w:val="22"/>
        </w:rPr>
      </w:pPr>
    </w:p>
    <w:p w:rsidR="006E71D8" w:rsidRDefault="006E71D8" w:rsidP="00E97F2C">
      <w:pPr>
        <w:pStyle w:val="PITableHeading"/>
        <w:rPr>
          <w:rFonts w:asciiTheme="minorHAnsi" w:hAnsiTheme="minorHAnsi" w:cstheme="minorHAnsi"/>
          <w:sz w:val="22"/>
          <w:szCs w:val="22"/>
        </w:rPr>
      </w:pPr>
    </w:p>
    <w:p w:rsidR="006E71D8" w:rsidRDefault="006E71D8" w:rsidP="00E97F2C">
      <w:pPr>
        <w:pStyle w:val="PITableHeading"/>
        <w:rPr>
          <w:rFonts w:asciiTheme="minorHAnsi" w:hAnsiTheme="minorHAnsi" w:cstheme="minorHAnsi"/>
          <w:sz w:val="22"/>
          <w:szCs w:val="22"/>
        </w:rPr>
      </w:pPr>
    </w:p>
    <w:p w:rsidR="003454C5" w:rsidRPr="000F78DF" w:rsidRDefault="00B70292" w:rsidP="00E97F2C">
      <w:pPr>
        <w:pStyle w:val="PITableHeading"/>
        <w:rPr>
          <w:rFonts w:asciiTheme="minorHAnsi" w:hAnsiTheme="minorHAnsi" w:cstheme="minorHAnsi"/>
          <w:b w:val="0"/>
          <w:sz w:val="22"/>
          <w:szCs w:val="22"/>
        </w:rPr>
      </w:pPr>
      <w:r>
        <w:rPr>
          <w:rFonts w:asciiTheme="minorHAnsi" w:hAnsiTheme="minorHAnsi" w:cstheme="minorHAnsi"/>
          <w:sz w:val="22"/>
          <w:szCs w:val="22"/>
        </w:rPr>
        <w:lastRenderedPageBreak/>
        <w:t>Table 10</w:t>
      </w:r>
      <w:r w:rsidR="003454C5" w:rsidRPr="00B97E75">
        <w:rPr>
          <w:rFonts w:asciiTheme="minorHAnsi" w:hAnsiTheme="minorHAnsi" w:cstheme="minorHAnsi"/>
          <w:sz w:val="22"/>
          <w:szCs w:val="22"/>
        </w:rPr>
        <w:t xml:space="preserve">: </w:t>
      </w:r>
      <w:r w:rsidR="003454C5" w:rsidRPr="003E001D">
        <w:rPr>
          <w:rFonts w:asciiTheme="minorHAnsi" w:hAnsiTheme="minorHAnsi" w:cstheme="minorHAnsi"/>
          <w:b w:val="0"/>
          <w:sz w:val="22"/>
          <w:szCs w:val="22"/>
        </w:rPr>
        <w:t xml:space="preserve">Percentage of Motor Tax Transactions </w:t>
      </w:r>
      <w:r w:rsidR="007C3912" w:rsidRPr="003E001D">
        <w:rPr>
          <w:rFonts w:asciiTheme="minorHAnsi" w:hAnsiTheme="minorHAnsi" w:cstheme="minorHAnsi"/>
          <w:b w:val="0"/>
          <w:sz w:val="22"/>
          <w:szCs w:val="22"/>
        </w:rPr>
        <w:t>performed</w:t>
      </w:r>
      <w:r w:rsidR="003454C5" w:rsidRPr="003E001D">
        <w:rPr>
          <w:rFonts w:asciiTheme="minorHAnsi" w:hAnsiTheme="minorHAnsi" w:cstheme="minorHAnsi"/>
          <w:b w:val="0"/>
          <w:sz w:val="22"/>
          <w:szCs w:val="22"/>
        </w:rPr>
        <w:t xml:space="preserve"> online</w:t>
      </w:r>
      <w:r w:rsidR="000F78DF">
        <w:rPr>
          <w:rFonts w:asciiTheme="minorHAnsi" w:hAnsiTheme="minorHAnsi" w:cstheme="minorHAnsi"/>
          <w:b w:val="0"/>
          <w:sz w:val="22"/>
          <w:szCs w:val="22"/>
        </w:rPr>
        <w:t xml:space="preserve"> </w:t>
      </w:r>
      <w:r w:rsidR="000F78DF" w:rsidRPr="000F78DF">
        <w:rPr>
          <w:rFonts w:cstheme="minorHAnsi"/>
          <w:b w:val="0"/>
        </w:rPr>
        <w:t>as at 31/12/2014</w:t>
      </w:r>
    </w:p>
    <w:tbl>
      <w:tblPr>
        <w:tblStyle w:val="LightGrid-Accent5"/>
        <w:tblW w:w="0" w:type="auto"/>
        <w:tblLook w:val="04A0" w:firstRow="1" w:lastRow="0" w:firstColumn="1" w:lastColumn="0" w:noHBand="0" w:noVBand="1"/>
      </w:tblPr>
      <w:tblGrid>
        <w:gridCol w:w="2530"/>
        <w:gridCol w:w="3136"/>
      </w:tblGrid>
      <w:tr w:rsidR="003454C5" w:rsidRPr="005C4524" w:rsidTr="00771880">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3454C5" w:rsidRPr="00D36D20" w:rsidRDefault="00D36D20" w:rsidP="00771880">
            <w:pPr>
              <w:rPr>
                <w:rFonts w:asciiTheme="minorHAnsi" w:eastAsia="Times New Roman" w:hAnsiTheme="minorHAnsi" w:cstheme="minorHAnsi"/>
                <w:color w:val="000000"/>
                <w:lang w:eastAsia="en-IE"/>
              </w:rPr>
            </w:pPr>
            <w:r w:rsidRPr="00D36D20">
              <w:rPr>
                <w:rFonts w:asciiTheme="minorHAnsi" w:eastAsia="Times New Roman" w:hAnsiTheme="minorHAnsi" w:cstheme="minorHAnsi"/>
                <w:color w:val="000000"/>
                <w:lang w:eastAsia="en-IE"/>
              </w:rPr>
              <w:t>Authority</w:t>
            </w:r>
          </w:p>
        </w:tc>
        <w:tc>
          <w:tcPr>
            <w:tcW w:w="0" w:type="auto"/>
            <w:vAlign w:val="center"/>
            <w:hideMark/>
          </w:tcPr>
          <w:p w:rsidR="003454C5" w:rsidRPr="005C4524" w:rsidRDefault="005656E8"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eastAsia="en-IE"/>
              </w:rPr>
            </w:pPr>
            <w:r w:rsidRPr="005C4524">
              <w:rPr>
                <w:rFonts w:asciiTheme="minorHAnsi" w:hAnsiTheme="minorHAnsi" w:cstheme="minorHAnsi"/>
              </w:rPr>
              <w:t>Percentage of Motor Tax Online</w:t>
            </w:r>
          </w:p>
        </w:tc>
      </w:tr>
      <w:tr w:rsidR="003454C5"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3454C5">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 </w:t>
            </w:r>
          </w:p>
        </w:tc>
        <w:tc>
          <w:tcPr>
            <w:tcW w:w="0" w:type="auto"/>
            <w:hideMark/>
          </w:tcPr>
          <w:p w:rsidR="003454C5" w:rsidRPr="005C4524" w:rsidRDefault="003454C5" w:rsidP="003454C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r>
      <w:tr w:rsidR="003454C5" w:rsidRPr="005C4524" w:rsidTr="0010610F">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Carlow County</w:t>
            </w:r>
          </w:p>
        </w:tc>
        <w:tc>
          <w:tcPr>
            <w:tcW w:w="0" w:type="auto"/>
            <w:hideMark/>
          </w:tcPr>
          <w:p w:rsidR="003454C5" w:rsidRPr="005C4524" w:rsidRDefault="003454C5" w:rsidP="005656E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43.31</w:t>
            </w:r>
          </w:p>
        </w:tc>
      </w:tr>
      <w:tr w:rsidR="003454C5" w:rsidRPr="005C4524" w:rsidTr="0010610F">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Cavan County</w:t>
            </w:r>
          </w:p>
        </w:tc>
        <w:tc>
          <w:tcPr>
            <w:tcW w:w="0" w:type="auto"/>
            <w:hideMark/>
          </w:tcPr>
          <w:p w:rsidR="003454C5" w:rsidRPr="005C4524" w:rsidRDefault="003454C5" w:rsidP="005656E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49.57</w:t>
            </w:r>
          </w:p>
        </w:tc>
      </w:tr>
      <w:tr w:rsidR="003454C5" w:rsidRPr="005C4524" w:rsidTr="0010610F">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Clare County</w:t>
            </w:r>
          </w:p>
        </w:tc>
        <w:tc>
          <w:tcPr>
            <w:tcW w:w="0" w:type="auto"/>
            <w:hideMark/>
          </w:tcPr>
          <w:p w:rsidR="003454C5" w:rsidRPr="005C4524" w:rsidRDefault="003454C5" w:rsidP="005656E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51.85</w:t>
            </w:r>
          </w:p>
        </w:tc>
      </w:tr>
      <w:tr w:rsidR="003454C5" w:rsidRPr="005C4524" w:rsidTr="0010610F">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Cork City</w:t>
            </w:r>
          </w:p>
        </w:tc>
        <w:tc>
          <w:tcPr>
            <w:tcW w:w="0" w:type="auto"/>
            <w:hideMark/>
          </w:tcPr>
          <w:p w:rsidR="003454C5" w:rsidRPr="005C4524" w:rsidRDefault="003454C5" w:rsidP="005656E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r>
      <w:tr w:rsidR="003454C5" w:rsidRPr="005C4524" w:rsidTr="0010610F">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Cork County</w:t>
            </w:r>
          </w:p>
        </w:tc>
        <w:tc>
          <w:tcPr>
            <w:tcW w:w="0" w:type="auto"/>
            <w:hideMark/>
          </w:tcPr>
          <w:p w:rsidR="003454C5" w:rsidRPr="007C3912" w:rsidRDefault="003454C5" w:rsidP="005656E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62.96</w:t>
            </w:r>
            <w:r w:rsidR="007C3912">
              <w:rPr>
                <w:rFonts w:eastAsia="Times New Roman" w:cstheme="minorHAnsi"/>
                <w:color w:val="000000"/>
                <w:vertAlign w:val="superscript"/>
                <w:lang w:eastAsia="en-IE"/>
              </w:rPr>
              <w:t>a</w:t>
            </w:r>
          </w:p>
        </w:tc>
      </w:tr>
      <w:tr w:rsidR="003454C5" w:rsidRPr="005C4524" w:rsidTr="0010610F">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Donegal County</w:t>
            </w:r>
          </w:p>
        </w:tc>
        <w:tc>
          <w:tcPr>
            <w:tcW w:w="0" w:type="auto"/>
            <w:hideMark/>
          </w:tcPr>
          <w:p w:rsidR="003454C5" w:rsidRPr="005C4524" w:rsidRDefault="003454C5" w:rsidP="005656E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35.8</w:t>
            </w:r>
          </w:p>
        </w:tc>
      </w:tr>
      <w:tr w:rsidR="003454C5" w:rsidRPr="005C4524" w:rsidTr="0010610F">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Dublin City</w:t>
            </w:r>
          </w:p>
        </w:tc>
        <w:tc>
          <w:tcPr>
            <w:tcW w:w="0" w:type="auto"/>
            <w:hideMark/>
          </w:tcPr>
          <w:p w:rsidR="003454C5" w:rsidRPr="007C3912" w:rsidRDefault="003454C5" w:rsidP="005656E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71.79</w:t>
            </w:r>
            <w:r w:rsidR="007C3912">
              <w:rPr>
                <w:rFonts w:eastAsia="Times New Roman" w:cstheme="minorHAnsi"/>
                <w:color w:val="000000"/>
                <w:vertAlign w:val="superscript"/>
                <w:lang w:eastAsia="en-IE"/>
              </w:rPr>
              <w:t>b</w:t>
            </w:r>
          </w:p>
        </w:tc>
      </w:tr>
      <w:tr w:rsidR="003454C5" w:rsidRPr="005C4524" w:rsidTr="0010610F">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 xml:space="preserve">Dun Laoghaire </w:t>
            </w:r>
            <w:proofErr w:type="spellStart"/>
            <w:r w:rsidRPr="005C4524">
              <w:rPr>
                <w:rFonts w:asciiTheme="minorHAnsi" w:eastAsia="Times New Roman" w:hAnsiTheme="minorHAnsi" w:cstheme="minorHAnsi"/>
                <w:color w:val="000000"/>
                <w:lang w:eastAsia="en-IE"/>
              </w:rPr>
              <w:t>Rathdown</w:t>
            </w:r>
            <w:proofErr w:type="spellEnd"/>
          </w:p>
        </w:tc>
        <w:tc>
          <w:tcPr>
            <w:tcW w:w="0" w:type="auto"/>
            <w:hideMark/>
          </w:tcPr>
          <w:p w:rsidR="003454C5" w:rsidRPr="007C7A2E" w:rsidRDefault="003454C5" w:rsidP="005656E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N/A</w:t>
            </w:r>
            <w:r w:rsidR="007C7A2E">
              <w:rPr>
                <w:rFonts w:eastAsia="Times New Roman" w:cstheme="minorHAnsi"/>
                <w:color w:val="000000"/>
                <w:vertAlign w:val="superscript"/>
                <w:lang w:eastAsia="en-IE"/>
              </w:rPr>
              <w:t>c</w:t>
            </w:r>
          </w:p>
        </w:tc>
      </w:tr>
      <w:tr w:rsidR="003454C5" w:rsidRPr="005C4524" w:rsidTr="0010610F">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proofErr w:type="spellStart"/>
            <w:r w:rsidRPr="005C4524">
              <w:rPr>
                <w:rFonts w:asciiTheme="minorHAnsi" w:eastAsia="Times New Roman" w:hAnsiTheme="minorHAnsi" w:cstheme="minorHAnsi"/>
                <w:color w:val="000000"/>
                <w:lang w:eastAsia="en-IE"/>
              </w:rPr>
              <w:t>Fingal</w:t>
            </w:r>
            <w:proofErr w:type="spellEnd"/>
            <w:r w:rsidRPr="005C4524">
              <w:rPr>
                <w:rFonts w:asciiTheme="minorHAnsi" w:eastAsia="Times New Roman" w:hAnsiTheme="minorHAnsi" w:cstheme="minorHAnsi"/>
                <w:color w:val="000000"/>
                <w:lang w:eastAsia="en-IE"/>
              </w:rPr>
              <w:t xml:space="preserve"> County</w:t>
            </w:r>
          </w:p>
        </w:tc>
        <w:tc>
          <w:tcPr>
            <w:tcW w:w="0" w:type="auto"/>
            <w:hideMark/>
          </w:tcPr>
          <w:p w:rsidR="003454C5" w:rsidRPr="007C7A2E" w:rsidRDefault="003454C5" w:rsidP="005656E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N/A</w:t>
            </w:r>
            <w:r w:rsidR="007C7A2E">
              <w:rPr>
                <w:rFonts w:eastAsia="Times New Roman" w:cstheme="minorHAnsi"/>
                <w:color w:val="000000"/>
                <w:vertAlign w:val="superscript"/>
                <w:lang w:eastAsia="en-IE"/>
              </w:rPr>
              <w:t>c</w:t>
            </w:r>
          </w:p>
        </w:tc>
      </w:tr>
      <w:tr w:rsidR="003454C5" w:rsidRPr="005C4524" w:rsidTr="0010610F">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Galway City</w:t>
            </w:r>
          </w:p>
        </w:tc>
        <w:tc>
          <w:tcPr>
            <w:tcW w:w="0" w:type="auto"/>
            <w:hideMark/>
          </w:tcPr>
          <w:p w:rsidR="003454C5" w:rsidRPr="007C7A2E" w:rsidRDefault="003454C5" w:rsidP="005656E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N/A</w:t>
            </w:r>
            <w:r w:rsidR="007C7A2E">
              <w:rPr>
                <w:rFonts w:eastAsia="Times New Roman" w:cstheme="minorHAnsi"/>
                <w:color w:val="000000"/>
                <w:vertAlign w:val="superscript"/>
                <w:lang w:eastAsia="en-IE"/>
              </w:rPr>
              <w:t>c</w:t>
            </w:r>
          </w:p>
        </w:tc>
      </w:tr>
      <w:tr w:rsidR="003454C5" w:rsidRPr="005C4524" w:rsidTr="0010610F">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Galway County</w:t>
            </w:r>
          </w:p>
        </w:tc>
        <w:tc>
          <w:tcPr>
            <w:tcW w:w="0" w:type="auto"/>
            <w:hideMark/>
          </w:tcPr>
          <w:p w:rsidR="003454C5" w:rsidRPr="005C4524" w:rsidRDefault="003454C5" w:rsidP="005656E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52.52</w:t>
            </w:r>
          </w:p>
        </w:tc>
      </w:tr>
      <w:tr w:rsidR="003454C5" w:rsidRPr="005C4524" w:rsidTr="0010610F">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Kerry County</w:t>
            </w:r>
          </w:p>
        </w:tc>
        <w:tc>
          <w:tcPr>
            <w:tcW w:w="0" w:type="auto"/>
            <w:hideMark/>
          </w:tcPr>
          <w:p w:rsidR="003454C5" w:rsidRPr="005C4524" w:rsidRDefault="003454C5" w:rsidP="005656E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59.88</w:t>
            </w:r>
          </w:p>
        </w:tc>
      </w:tr>
      <w:tr w:rsidR="003454C5" w:rsidRPr="005C4524" w:rsidTr="0010610F">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Kildare County</w:t>
            </w:r>
          </w:p>
        </w:tc>
        <w:tc>
          <w:tcPr>
            <w:tcW w:w="0" w:type="auto"/>
            <w:hideMark/>
          </w:tcPr>
          <w:p w:rsidR="003454C5" w:rsidRPr="005C4524" w:rsidRDefault="00E74952" w:rsidP="005656E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66.73</w:t>
            </w:r>
          </w:p>
        </w:tc>
      </w:tr>
      <w:tr w:rsidR="003454C5" w:rsidRPr="005C4524" w:rsidTr="0010610F">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Kilkenny County</w:t>
            </w:r>
          </w:p>
        </w:tc>
        <w:tc>
          <w:tcPr>
            <w:tcW w:w="0" w:type="auto"/>
            <w:hideMark/>
          </w:tcPr>
          <w:p w:rsidR="003454C5" w:rsidRPr="005C4524" w:rsidRDefault="003454C5" w:rsidP="005656E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52.93</w:t>
            </w:r>
          </w:p>
        </w:tc>
      </w:tr>
      <w:tr w:rsidR="003454C5" w:rsidRPr="005C4524" w:rsidTr="0010610F">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Laois County</w:t>
            </w:r>
          </w:p>
        </w:tc>
        <w:tc>
          <w:tcPr>
            <w:tcW w:w="0" w:type="auto"/>
            <w:hideMark/>
          </w:tcPr>
          <w:p w:rsidR="003454C5" w:rsidRPr="005C4524" w:rsidRDefault="003454C5" w:rsidP="005656E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42.74</w:t>
            </w:r>
          </w:p>
        </w:tc>
      </w:tr>
      <w:tr w:rsidR="003454C5" w:rsidRPr="005C4524" w:rsidTr="0010610F">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Leitrim County</w:t>
            </w:r>
          </w:p>
        </w:tc>
        <w:tc>
          <w:tcPr>
            <w:tcW w:w="0" w:type="auto"/>
            <w:hideMark/>
          </w:tcPr>
          <w:p w:rsidR="003454C5" w:rsidRPr="005C4524" w:rsidRDefault="003454C5" w:rsidP="005656E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44.02</w:t>
            </w:r>
          </w:p>
        </w:tc>
      </w:tr>
      <w:tr w:rsidR="003454C5" w:rsidRPr="005C4524" w:rsidTr="0010610F">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Limerick City &amp; County</w:t>
            </w:r>
          </w:p>
        </w:tc>
        <w:tc>
          <w:tcPr>
            <w:tcW w:w="0" w:type="auto"/>
            <w:hideMark/>
          </w:tcPr>
          <w:p w:rsidR="003454C5" w:rsidRPr="005C4524" w:rsidRDefault="003454C5" w:rsidP="005656E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50.46</w:t>
            </w:r>
          </w:p>
        </w:tc>
      </w:tr>
      <w:tr w:rsidR="003454C5" w:rsidRPr="005C4524" w:rsidTr="0010610F">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Longford County</w:t>
            </w:r>
          </w:p>
        </w:tc>
        <w:tc>
          <w:tcPr>
            <w:tcW w:w="0" w:type="auto"/>
            <w:hideMark/>
          </w:tcPr>
          <w:p w:rsidR="003454C5" w:rsidRPr="005C4524" w:rsidRDefault="003454C5" w:rsidP="005656E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38.57</w:t>
            </w:r>
          </w:p>
        </w:tc>
      </w:tr>
      <w:tr w:rsidR="003454C5" w:rsidRPr="005C4524" w:rsidTr="0010610F">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Louth County</w:t>
            </w:r>
          </w:p>
        </w:tc>
        <w:tc>
          <w:tcPr>
            <w:tcW w:w="0" w:type="auto"/>
            <w:hideMark/>
          </w:tcPr>
          <w:p w:rsidR="003454C5" w:rsidRPr="005C4524" w:rsidRDefault="003454C5" w:rsidP="005656E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47.42</w:t>
            </w:r>
          </w:p>
        </w:tc>
      </w:tr>
      <w:tr w:rsidR="003454C5" w:rsidRPr="005C4524" w:rsidTr="0010610F">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Mayo County</w:t>
            </w:r>
          </w:p>
        </w:tc>
        <w:tc>
          <w:tcPr>
            <w:tcW w:w="0" w:type="auto"/>
            <w:hideMark/>
          </w:tcPr>
          <w:p w:rsidR="003454C5" w:rsidRPr="005C4524" w:rsidRDefault="003454C5" w:rsidP="005656E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46.26</w:t>
            </w:r>
          </w:p>
        </w:tc>
      </w:tr>
      <w:tr w:rsidR="003454C5" w:rsidRPr="005C4524" w:rsidTr="0010610F">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Meath County</w:t>
            </w:r>
          </w:p>
        </w:tc>
        <w:tc>
          <w:tcPr>
            <w:tcW w:w="0" w:type="auto"/>
            <w:hideMark/>
          </w:tcPr>
          <w:p w:rsidR="003454C5" w:rsidRPr="005C4524" w:rsidRDefault="003454C5" w:rsidP="005656E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66.31</w:t>
            </w:r>
          </w:p>
        </w:tc>
      </w:tr>
      <w:tr w:rsidR="003454C5" w:rsidRPr="005C4524" w:rsidTr="0010610F">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Monaghan County</w:t>
            </w:r>
          </w:p>
        </w:tc>
        <w:tc>
          <w:tcPr>
            <w:tcW w:w="0" w:type="auto"/>
            <w:hideMark/>
          </w:tcPr>
          <w:p w:rsidR="003454C5" w:rsidRPr="005C4524" w:rsidRDefault="003454C5" w:rsidP="005656E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39.66</w:t>
            </w:r>
          </w:p>
        </w:tc>
      </w:tr>
      <w:tr w:rsidR="003454C5" w:rsidRPr="005C4524" w:rsidTr="0010610F">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Offaly County</w:t>
            </w:r>
          </w:p>
        </w:tc>
        <w:tc>
          <w:tcPr>
            <w:tcW w:w="0" w:type="auto"/>
            <w:hideMark/>
          </w:tcPr>
          <w:p w:rsidR="003454C5" w:rsidRPr="005C4524" w:rsidRDefault="003454C5" w:rsidP="005656E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47.24</w:t>
            </w:r>
          </w:p>
        </w:tc>
      </w:tr>
      <w:tr w:rsidR="003454C5" w:rsidRPr="005C4524" w:rsidTr="0010610F">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Roscommon County</w:t>
            </w:r>
          </w:p>
        </w:tc>
        <w:tc>
          <w:tcPr>
            <w:tcW w:w="0" w:type="auto"/>
            <w:hideMark/>
          </w:tcPr>
          <w:p w:rsidR="003454C5" w:rsidRPr="005C4524" w:rsidRDefault="003454C5" w:rsidP="005656E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39.81</w:t>
            </w:r>
          </w:p>
        </w:tc>
      </w:tr>
      <w:tr w:rsidR="003454C5" w:rsidRPr="005C4524" w:rsidTr="0010610F">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Sligo County</w:t>
            </w:r>
          </w:p>
        </w:tc>
        <w:tc>
          <w:tcPr>
            <w:tcW w:w="0" w:type="auto"/>
            <w:hideMark/>
          </w:tcPr>
          <w:p w:rsidR="003454C5" w:rsidRPr="005C4524" w:rsidRDefault="003454C5" w:rsidP="005656E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43.65</w:t>
            </w:r>
          </w:p>
        </w:tc>
      </w:tr>
      <w:tr w:rsidR="003454C5" w:rsidRPr="005C4524" w:rsidTr="0010610F">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South Dublin County</w:t>
            </w:r>
          </w:p>
        </w:tc>
        <w:tc>
          <w:tcPr>
            <w:tcW w:w="0" w:type="auto"/>
            <w:hideMark/>
          </w:tcPr>
          <w:p w:rsidR="003454C5" w:rsidRPr="007C7A2E" w:rsidRDefault="003454C5" w:rsidP="005656E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N/A</w:t>
            </w:r>
            <w:r w:rsidR="007C7A2E">
              <w:rPr>
                <w:rFonts w:eastAsia="Times New Roman" w:cstheme="minorHAnsi"/>
                <w:color w:val="000000"/>
                <w:vertAlign w:val="superscript"/>
                <w:lang w:eastAsia="en-IE"/>
              </w:rPr>
              <w:t>c</w:t>
            </w:r>
          </w:p>
        </w:tc>
      </w:tr>
      <w:tr w:rsidR="003454C5" w:rsidRPr="005C4524" w:rsidTr="0010610F">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Tipperary County</w:t>
            </w:r>
          </w:p>
        </w:tc>
        <w:tc>
          <w:tcPr>
            <w:tcW w:w="0" w:type="auto"/>
            <w:hideMark/>
          </w:tcPr>
          <w:p w:rsidR="003454C5" w:rsidRPr="005C4524" w:rsidRDefault="003454C5" w:rsidP="005656E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57.71</w:t>
            </w:r>
          </w:p>
        </w:tc>
      </w:tr>
      <w:tr w:rsidR="003454C5" w:rsidRPr="005C4524" w:rsidTr="0010610F">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Waterford City &amp; County</w:t>
            </w:r>
          </w:p>
        </w:tc>
        <w:tc>
          <w:tcPr>
            <w:tcW w:w="0" w:type="auto"/>
            <w:hideMark/>
          </w:tcPr>
          <w:p w:rsidR="003454C5" w:rsidRPr="005C4524" w:rsidRDefault="003454C5" w:rsidP="005656E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55.25</w:t>
            </w:r>
          </w:p>
        </w:tc>
      </w:tr>
      <w:tr w:rsidR="003454C5" w:rsidRPr="005C4524" w:rsidTr="0010610F">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Westmeath County</w:t>
            </w:r>
          </w:p>
        </w:tc>
        <w:tc>
          <w:tcPr>
            <w:tcW w:w="0" w:type="auto"/>
            <w:hideMark/>
          </w:tcPr>
          <w:p w:rsidR="003454C5" w:rsidRPr="005C4524" w:rsidRDefault="003454C5" w:rsidP="005656E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41.34</w:t>
            </w:r>
          </w:p>
        </w:tc>
      </w:tr>
      <w:tr w:rsidR="003454C5" w:rsidRPr="005C4524" w:rsidTr="0010610F">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5656E8">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Wexford County</w:t>
            </w:r>
          </w:p>
        </w:tc>
        <w:tc>
          <w:tcPr>
            <w:tcW w:w="0" w:type="auto"/>
            <w:hideMark/>
          </w:tcPr>
          <w:p w:rsidR="003454C5" w:rsidRPr="005C4524" w:rsidRDefault="003454C5" w:rsidP="005656E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53.39</w:t>
            </w:r>
          </w:p>
        </w:tc>
      </w:tr>
      <w:tr w:rsidR="003454C5" w:rsidRPr="005C4524" w:rsidTr="0010610F">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noWrap/>
            <w:hideMark/>
          </w:tcPr>
          <w:p w:rsidR="003454C5" w:rsidRPr="005C4524" w:rsidRDefault="003454C5" w:rsidP="006B2CE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Wicklow County</w:t>
            </w:r>
          </w:p>
        </w:tc>
        <w:tc>
          <w:tcPr>
            <w:tcW w:w="0" w:type="auto"/>
            <w:hideMark/>
          </w:tcPr>
          <w:p w:rsidR="003454C5" w:rsidRPr="005C4524" w:rsidRDefault="003454C5" w:rsidP="003454C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61.06</w:t>
            </w:r>
          </w:p>
        </w:tc>
      </w:tr>
    </w:tbl>
    <w:p w:rsidR="003454C5" w:rsidRDefault="003454C5">
      <w:pPr>
        <w:rPr>
          <w:rFonts w:cstheme="minorHAnsi"/>
          <w:b/>
        </w:rPr>
      </w:pPr>
    </w:p>
    <w:p w:rsidR="007C3912" w:rsidRDefault="007C3912">
      <w:pPr>
        <w:rPr>
          <w:rFonts w:cstheme="minorHAnsi"/>
          <w:b/>
        </w:rPr>
      </w:pPr>
    </w:p>
    <w:p w:rsidR="009660A3" w:rsidRDefault="007C3912" w:rsidP="009660A3">
      <w:pPr>
        <w:spacing w:after="0" w:line="240" w:lineRule="auto"/>
        <w:jc w:val="both"/>
        <w:rPr>
          <w:rFonts w:cstheme="minorHAnsi"/>
          <w:sz w:val="18"/>
          <w:szCs w:val="18"/>
        </w:rPr>
      </w:pPr>
      <w:proofErr w:type="gramStart"/>
      <w:r w:rsidRPr="009660A3">
        <w:rPr>
          <w:rFonts w:cstheme="minorHAnsi"/>
          <w:sz w:val="18"/>
          <w:szCs w:val="18"/>
          <w:vertAlign w:val="superscript"/>
        </w:rPr>
        <w:lastRenderedPageBreak/>
        <w:t>a</w:t>
      </w:r>
      <w:proofErr w:type="gramEnd"/>
      <w:r w:rsidRPr="009660A3">
        <w:rPr>
          <w:rFonts w:cstheme="minorHAnsi"/>
          <w:sz w:val="18"/>
          <w:szCs w:val="18"/>
          <w:u w:val="single"/>
        </w:rPr>
        <w:t xml:space="preserve"> Cork County; </w:t>
      </w:r>
      <w:r w:rsidRPr="009660A3">
        <w:rPr>
          <w:rFonts w:cstheme="minorHAnsi"/>
          <w:sz w:val="18"/>
          <w:szCs w:val="18"/>
        </w:rPr>
        <w:t>Cork County Council administers the motor tax service on behalf of Cork City Council</w:t>
      </w:r>
    </w:p>
    <w:p w:rsidR="007C3912" w:rsidRDefault="007C3912" w:rsidP="009660A3">
      <w:pPr>
        <w:spacing w:after="0" w:line="240" w:lineRule="auto"/>
        <w:jc w:val="both"/>
        <w:rPr>
          <w:rFonts w:cstheme="minorHAnsi"/>
          <w:sz w:val="18"/>
          <w:szCs w:val="18"/>
        </w:rPr>
      </w:pPr>
      <w:proofErr w:type="gramStart"/>
      <w:r w:rsidRPr="009660A3">
        <w:rPr>
          <w:rFonts w:cstheme="minorHAnsi"/>
          <w:sz w:val="18"/>
          <w:szCs w:val="18"/>
          <w:vertAlign w:val="superscript"/>
        </w:rPr>
        <w:t>b</w:t>
      </w:r>
      <w:proofErr w:type="gramEnd"/>
      <w:r w:rsidRPr="009660A3">
        <w:rPr>
          <w:rFonts w:cstheme="minorHAnsi"/>
          <w:sz w:val="18"/>
          <w:szCs w:val="18"/>
          <w:vertAlign w:val="superscript"/>
        </w:rPr>
        <w:t xml:space="preserve"> </w:t>
      </w:r>
      <w:r w:rsidRPr="009660A3">
        <w:rPr>
          <w:rFonts w:cstheme="minorHAnsi"/>
          <w:sz w:val="18"/>
          <w:szCs w:val="18"/>
          <w:u w:val="single"/>
        </w:rPr>
        <w:t xml:space="preserve">Dublin; </w:t>
      </w:r>
      <w:r w:rsidRPr="009660A3">
        <w:rPr>
          <w:rFonts w:cstheme="minorHAnsi"/>
          <w:sz w:val="18"/>
          <w:szCs w:val="18"/>
        </w:rPr>
        <w:t xml:space="preserve">Dublin City Council administers the motor tax service on behalf of DLR, </w:t>
      </w:r>
      <w:proofErr w:type="spellStart"/>
      <w:r w:rsidRPr="009660A3">
        <w:rPr>
          <w:rFonts w:cstheme="minorHAnsi"/>
          <w:sz w:val="18"/>
          <w:szCs w:val="18"/>
        </w:rPr>
        <w:t>Fingal</w:t>
      </w:r>
      <w:proofErr w:type="spellEnd"/>
      <w:r w:rsidRPr="009660A3">
        <w:rPr>
          <w:rFonts w:cstheme="minorHAnsi"/>
          <w:sz w:val="18"/>
          <w:szCs w:val="18"/>
        </w:rPr>
        <w:t xml:space="preserve"> &amp; South Dublin County Councils</w:t>
      </w:r>
    </w:p>
    <w:p w:rsidR="007C7A2E" w:rsidRPr="007C7A2E" w:rsidRDefault="007C7A2E" w:rsidP="009660A3">
      <w:pPr>
        <w:spacing w:after="0" w:line="240" w:lineRule="auto"/>
        <w:jc w:val="both"/>
        <w:rPr>
          <w:rFonts w:cstheme="minorHAnsi"/>
          <w:sz w:val="18"/>
          <w:szCs w:val="18"/>
        </w:rPr>
      </w:pPr>
      <w:proofErr w:type="spellStart"/>
      <w:proofErr w:type="gramStart"/>
      <w:r>
        <w:rPr>
          <w:rFonts w:cstheme="minorHAnsi"/>
          <w:sz w:val="18"/>
          <w:szCs w:val="18"/>
          <w:vertAlign w:val="superscript"/>
        </w:rPr>
        <w:t>c</w:t>
      </w:r>
      <w:r>
        <w:rPr>
          <w:rFonts w:cstheme="minorHAnsi"/>
          <w:sz w:val="18"/>
          <w:szCs w:val="18"/>
          <w:u w:val="single"/>
        </w:rPr>
        <w:t>N</w:t>
      </w:r>
      <w:proofErr w:type="spellEnd"/>
      <w:r>
        <w:rPr>
          <w:rFonts w:cstheme="minorHAnsi"/>
          <w:sz w:val="18"/>
          <w:szCs w:val="18"/>
          <w:u w:val="single"/>
        </w:rPr>
        <w:t>/</w:t>
      </w:r>
      <w:proofErr w:type="gramEnd"/>
      <w:r>
        <w:rPr>
          <w:rFonts w:cstheme="minorHAnsi"/>
          <w:sz w:val="18"/>
          <w:szCs w:val="18"/>
          <w:u w:val="single"/>
        </w:rPr>
        <w:t xml:space="preserve">A: </w:t>
      </w:r>
      <w:r>
        <w:rPr>
          <w:rFonts w:cstheme="minorHAnsi"/>
          <w:sz w:val="18"/>
          <w:szCs w:val="18"/>
        </w:rPr>
        <w:t>Not Applicable as per above notes</w:t>
      </w:r>
    </w:p>
    <w:p w:rsidR="00201EC9" w:rsidRPr="00B97E75" w:rsidRDefault="00201EC9">
      <w:pPr>
        <w:rPr>
          <w:rFonts w:cstheme="minorHAnsi"/>
          <w:b/>
        </w:rPr>
      </w:pPr>
    </w:p>
    <w:tbl>
      <w:tblPr>
        <w:tblW w:w="8420" w:type="dxa"/>
        <w:tblInd w:w="98" w:type="dxa"/>
        <w:tblLook w:val="04A0" w:firstRow="1" w:lastRow="0" w:firstColumn="1" w:lastColumn="0" w:noHBand="0" w:noVBand="1"/>
      </w:tblPr>
      <w:tblGrid>
        <w:gridCol w:w="967"/>
        <w:gridCol w:w="2460"/>
        <w:gridCol w:w="960"/>
        <w:gridCol w:w="960"/>
        <w:gridCol w:w="1140"/>
        <w:gridCol w:w="1000"/>
        <w:gridCol w:w="940"/>
      </w:tblGrid>
      <w:tr w:rsidR="006C0F86" w:rsidRPr="00B97E75" w:rsidTr="0082378C">
        <w:trPr>
          <w:trHeight w:val="240"/>
        </w:trPr>
        <w:tc>
          <w:tcPr>
            <w:tcW w:w="8420" w:type="dxa"/>
            <w:gridSpan w:val="7"/>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C0F86" w:rsidRPr="00B97E75" w:rsidRDefault="006C0F86" w:rsidP="0082378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Summary Statistics 2010 - 2014</w:t>
            </w:r>
          </w:p>
        </w:tc>
      </w:tr>
      <w:tr w:rsidR="006C0F86" w:rsidRPr="00B97E75" w:rsidTr="0082378C">
        <w:trPr>
          <w:trHeight w:val="511"/>
        </w:trPr>
        <w:tc>
          <w:tcPr>
            <w:tcW w:w="3420" w:type="dxa"/>
            <w:gridSpan w:val="2"/>
            <w:tcBorders>
              <w:top w:val="single" w:sz="8" w:space="0" w:color="auto"/>
              <w:left w:val="single" w:sz="8" w:space="0" w:color="auto"/>
              <w:bottom w:val="single" w:sz="4" w:space="0" w:color="auto"/>
              <w:right w:val="single" w:sz="4" w:space="0" w:color="auto"/>
            </w:tcBorders>
            <w:shd w:val="clear" w:color="auto" w:fill="B6DDE8" w:themeFill="accent5" w:themeFillTint="66"/>
            <w:noWrap/>
            <w:vAlign w:val="center"/>
            <w:hideMark/>
          </w:tcPr>
          <w:p w:rsidR="006C0F86" w:rsidRPr="00B97E75" w:rsidRDefault="006C0F86" w:rsidP="0082378C">
            <w:pPr>
              <w:spacing w:after="0" w:line="240" w:lineRule="auto"/>
              <w:rPr>
                <w:rFonts w:eastAsia="Times New Roman" w:cstheme="minorHAnsi"/>
                <w:b/>
                <w:bCs/>
                <w:color w:val="000000"/>
                <w:lang w:eastAsia="en-IE"/>
              </w:rPr>
            </w:pPr>
            <w:r w:rsidRPr="00B97E75">
              <w:rPr>
                <w:rFonts w:cstheme="minorHAnsi"/>
                <w:b/>
              </w:rPr>
              <w:t>Percentage of Motor</w:t>
            </w:r>
            <w:r w:rsidR="007C3912">
              <w:rPr>
                <w:rFonts w:cstheme="minorHAnsi"/>
                <w:b/>
              </w:rPr>
              <w:t xml:space="preserve"> </w:t>
            </w:r>
            <w:r w:rsidRPr="00B97E75">
              <w:rPr>
                <w:rFonts w:cstheme="minorHAnsi"/>
                <w:b/>
              </w:rPr>
              <w:t xml:space="preserve">Tax Transactions </w:t>
            </w:r>
            <w:r w:rsidR="007C3912">
              <w:rPr>
                <w:rFonts w:cstheme="minorHAnsi"/>
                <w:b/>
              </w:rPr>
              <w:t>performed</w:t>
            </w:r>
            <w:r w:rsidRPr="00B97E75">
              <w:rPr>
                <w:rFonts w:cstheme="minorHAnsi"/>
                <w:b/>
              </w:rPr>
              <w:t xml:space="preserve"> online</w:t>
            </w:r>
          </w:p>
        </w:tc>
        <w:tc>
          <w:tcPr>
            <w:tcW w:w="960"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6C0F86" w:rsidRPr="00B97E75" w:rsidRDefault="006C0F86" w:rsidP="0082378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2010</w:t>
            </w:r>
          </w:p>
        </w:tc>
        <w:tc>
          <w:tcPr>
            <w:tcW w:w="960"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6C0F86" w:rsidRPr="00B97E75" w:rsidRDefault="006C0F86" w:rsidP="0082378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2011</w:t>
            </w:r>
          </w:p>
        </w:tc>
        <w:tc>
          <w:tcPr>
            <w:tcW w:w="1140"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6C0F86" w:rsidRPr="00B97E75" w:rsidRDefault="006C0F86" w:rsidP="0082378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2012</w:t>
            </w:r>
          </w:p>
        </w:tc>
        <w:tc>
          <w:tcPr>
            <w:tcW w:w="1000"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6C0F86" w:rsidRPr="00B97E75" w:rsidRDefault="006C0F86" w:rsidP="0082378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2013</w:t>
            </w:r>
          </w:p>
        </w:tc>
        <w:tc>
          <w:tcPr>
            <w:tcW w:w="940" w:type="dxa"/>
            <w:tcBorders>
              <w:top w:val="single" w:sz="8" w:space="0" w:color="auto"/>
              <w:left w:val="nil"/>
              <w:bottom w:val="single" w:sz="4" w:space="0" w:color="auto"/>
              <w:right w:val="single" w:sz="8" w:space="0" w:color="auto"/>
            </w:tcBorders>
            <w:shd w:val="clear" w:color="auto" w:fill="B6DDE8" w:themeFill="accent5" w:themeFillTint="66"/>
            <w:noWrap/>
            <w:vAlign w:val="center"/>
            <w:hideMark/>
          </w:tcPr>
          <w:p w:rsidR="006C0F86" w:rsidRPr="00B97E75" w:rsidRDefault="006C0F86" w:rsidP="0082378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2014</w:t>
            </w:r>
          </w:p>
        </w:tc>
      </w:tr>
      <w:tr w:rsidR="006B2CEC" w:rsidRPr="00B97E75" w:rsidTr="0082378C">
        <w:trPr>
          <w:trHeight w:val="24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B2CEC" w:rsidRPr="00B97E75" w:rsidRDefault="006B2CEC"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2460" w:type="dxa"/>
            <w:tcBorders>
              <w:top w:val="nil"/>
              <w:left w:val="nil"/>
              <w:bottom w:val="single" w:sz="4" w:space="0" w:color="auto"/>
              <w:right w:val="single" w:sz="4" w:space="0" w:color="auto"/>
            </w:tcBorders>
            <w:shd w:val="clear" w:color="auto" w:fill="auto"/>
            <w:noWrap/>
            <w:vAlign w:val="center"/>
            <w:hideMark/>
          </w:tcPr>
          <w:p w:rsidR="006B2CEC" w:rsidRPr="00B97E75" w:rsidRDefault="006B2CEC" w:rsidP="0082378C">
            <w:pPr>
              <w:spacing w:after="0" w:line="240" w:lineRule="auto"/>
              <w:rPr>
                <w:rFonts w:eastAsia="Times New Roman" w:cstheme="minorHAnsi"/>
                <w:bCs/>
                <w:color w:val="000000"/>
                <w:lang w:eastAsia="en-IE"/>
              </w:rPr>
            </w:pPr>
            <w:r w:rsidRPr="00B97E75">
              <w:rPr>
                <w:rFonts w:eastAsia="Times New Roman" w:cstheme="minorHAnsi"/>
                <w:bCs/>
                <w:color w:val="000000"/>
                <w:lang w:eastAsia="en-IE"/>
              </w:rPr>
              <w:t>Valid</w:t>
            </w:r>
          </w:p>
        </w:tc>
        <w:tc>
          <w:tcPr>
            <w:tcW w:w="960" w:type="dxa"/>
            <w:tcBorders>
              <w:top w:val="nil"/>
              <w:left w:val="nil"/>
              <w:bottom w:val="single" w:sz="4" w:space="0" w:color="auto"/>
              <w:right w:val="single" w:sz="4" w:space="0" w:color="auto"/>
            </w:tcBorders>
            <w:shd w:val="clear" w:color="auto" w:fill="auto"/>
            <w:noWrap/>
            <w:vAlign w:val="center"/>
            <w:hideMark/>
          </w:tcPr>
          <w:p w:rsidR="006B2CEC" w:rsidRPr="00B97E75" w:rsidRDefault="006B2CEC"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29</w:t>
            </w:r>
          </w:p>
        </w:tc>
        <w:tc>
          <w:tcPr>
            <w:tcW w:w="960" w:type="dxa"/>
            <w:tcBorders>
              <w:top w:val="nil"/>
              <w:left w:val="nil"/>
              <w:bottom w:val="single" w:sz="4" w:space="0" w:color="auto"/>
              <w:right w:val="single" w:sz="4" w:space="0" w:color="auto"/>
            </w:tcBorders>
            <w:shd w:val="clear" w:color="auto" w:fill="auto"/>
            <w:noWrap/>
            <w:vAlign w:val="center"/>
            <w:hideMark/>
          </w:tcPr>
          <w:p w:rsidR="006B2CEC" w:rsidRPr="00B97E75" w:rsidRDefault="006B2CEC"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29</w:t>
            </w:r>
          </w:p>
        </w:tc>
        <w:tc>
          <w:tcPr>
            <w:tcW w:w="1140" w:type="dxa"/>
            <w:tcBorders>
              <w:top w:val="nil"/>
              <w:left w:val="nil"/>
              <w:bottom w:val="single" w:sz="4" w:space="0" w:color="auto"/>
              <w:right w:val="single" w:sz="4" w:space="0" w:color="auto"/>
            </w:tcBorders>
            <w:shd w:val="clear" w:color="auto" w:fill="auto"/>
            <w:noWrap/>
            <w:vAlign w:val="center"/>
            <w:hideMark/>
          </w:tcPr>
          <w:p w:rsidR="006B2CEC" w:rsidRPr="00B97E75" w:rsidRDefault="006B2CEC"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29</w:t>
            </w:r>
          </w:p>
        </w:tc>
        <w:tc>
          <w:tcPr>
            <w:tcW w:w="1000" w:type="dxa"/>
            <w:tcBorders>
              <w:top w:val="nil"/>
              <w:left w:val="nil"/>
              <w:bottom w:val="single" w:sz="4" w:space="0" w:color="auto"/>
              <w:right w:val="single" w:sz="4" w:space="0" w:color="auto"/>
            </w:tcBorders>
            <w:shd w:val="clear" w:color="auto" w:fill="auto"/>
            <w:noWrap/>
            <w:vAlign w:val="center"/>
            <w:hideMark/>
          </w:tcPr>
          <w:p w:rsidR="006B2CEC" w:rsidRPr="00B97E75" w:rsidRDefault="006B2CEC"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29</w:t>
            </w:r>
          </w:p>
        </w:tc>
        <w:tc>
          <w:tcPr>
            <w:tcW w:w="940" w:type="dxa"/>
            <w:tcBorders>
              <w:top w:val="nil"/>
              <w:left w:val="nil"/>
              <w:bottom w:val="single" w:sz="4" w:space="0" w:color="auto"/>
              <w:right w:val="single" w:sz="8" w:space="0" w:color="auto"/>
            </w:tcBorders>
            <w:shd w:val="clear" w:color="auto" w:fill="auto"/>
            <w:noWrap/>
            <w:vAlign w:val="center"/>
            <w:hideMark/>
          </w:tcPr>
          <w:p w:rsidR="006B2CEC" w:rsidRPr="00B97E75" w:rsidRDefault="006B2CEC"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26</w:t>
            </w:r>
          </w:p>
        </w:tc>
      </w:tr>
      <w:tr w:rsidR="006B2CEC" w:rsidRPr="00B97E75" w:rsidTr="0082378C">
        <w:trPr>
          <w:trHeight w:val="24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B2CEC" w:rsidRPr="00B97E75" w:rsidRDefault="006B2CEC"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2460" w:type="dxa"/>
            <w:tcBorders>
              <w:top w:val="nil"/>
              <w:left w:val="nil"/>
              <w:bottom w:val="single" w:sz="4" w:space="0" w:color="auto"/>
              <w:right w:val="single" w:sz="4" w:space="0" w:color="auto"/>
            </w:tcBorders>
            <w:shd w:val="clear" w:color="auto" w:fill="auto"/>
            <w:noWrap/>
            <w:vAlign w:val="center"/>
            <w:hideMark/>
          </w:tcPr>
          <w:p w:rsidR="006B2CEC" w:rsidRPr="00B97E75" w:rsidRDefault="006B2CEC" w:rsidP="0082378C">
            <w:pPr>
              <w:spacing w:after="0" w:line="240" w:lineRule="auto"/>
              <w:rPr>
                <w:rFonts w:eastAsia="Times New Roman" w:cstheme="minorHAnsi"/>
                <w:bCs/>
                <w:color w:val="000000"/>
                <w:lang w:eastAsia="en-IE"/>
              </w:rPr>
            </w:pPr>
            <w:r w:rsidRPr="00B97E75">
              <w:rPr>
                <w:rFonts w:eastAsia="Times New Roman" w:cstheme="minorHAnsi"/>
                <w:bCs/>
                <w:color w:val="000000"/>
                <w:lang w:eastAsia="en-IE"/>
              </w:rPr>
              <w:t>Not Applicable</w:t>
            </w:r>
          </w:p>
        </w:tc>
        <w:tc>
          <w:tcPr>
            <w:tcW w:w="960" w:type="dxa"/>
            <w:tcBorders>
              <w:top w:val="nil"/>
              <w:left w:val="nil"/>
              <w:bottom w:val="single" w:sz="4" w:space="0" w:color="auto"/>
              <w:right w:val="single" w:sz="4" w:space="0" w:color="auto"/>
            </w:tcBorders>
            <w:shd w:val="clear" w:color="auto" w:fill="auto"/>
            <w:noWrap/>
            <w:vAlign w:val="center"/>
            <w:hideMark/>
          </w:tcPr>
          <w:p w:rsidR="006B2CEC" w:rsidRPr="00B97E75" w:rsidRDefault="006B2CEC"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5</w:t>
            </w:r>
          </w:p>
        </w:tc>
        <w:tc>
          <w:tcPr>
            <w:tcW w:w="960" w:type="dxa"/>
            <w:tcBorders>
              <w:top w:val="nil"/>
              <w:left w:val="nil"/>
              <w:bottom w:val="single" w:sz="4" w:space="0" w:color="auto"/>
              <w:right w:val="single" w:sz="4" w:space="0" w:color="auto"/>
            </w:tcBorders>
            <w:shd w:val="clear" w:color="auto" w:fill="auto"/>
            <w:noWrap/>
            <w:vAlign w:val="center"/>
            <w:hideMark/>
          </w:tcPr>
          <w:p w:rsidR="006B2CEC" w:rsidRPr="00B97E75" w:rsidRDefault="006B2CEC"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5</w:t>
            </w:r>
          </w:p>
        </w:tc>
        <w:tc>
          <w:tcPr>
            <w:tcW w:w="1140" w:type="dxa"/>
            <w:tcBorders>
              <w:top w:val="nil"/>
              <w:left w:val="nil"/>
              <w:bottom w:val="single" w:sz="4" w:space="0" w:color="auto"/>
              <w:right w:val="single" w:sz="4" w:space="0" w:color="auto"/>
            </w:tcBorders>
            <w:shd w:val="clear" w:color="auto" w:fill="auto"/>
            <w:noWrap/>
            <w:vAlign w:val="center"/>
            <w:hideMark/>
          </w:tcPr>
          <w:p w:rsidR="006B2CEC" w:rsidRPr="00B97E75" w:rsidRDefault="006B2CEC"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5</w:t>
            </w:r>
          </w:p>
        </w:tc>
        <w:tc>
          <w:tcPr>
            <w:tcW w:w="1000" w:type="dxa"/>
            <w:tcBorders>
              <w:top w:val="nil"/>
              <w:left w:val="nil"/>
              <w:bottom w:val="single" w:sz="4" w:space="0" w:color="auto"/>
              <w:right w:val="single" w:sz="4" w:space="0" w:color="auto"/>
            </w:tcBorders>
            <w:shd w:val="clear" w:color="auto" w:fill="auto"/>
            <w:noWrap/>
            <w:vAlign w:val="center"/>
            <w:hideMark/>
          </w:tcPr>
          <w:p w:rsidR="006B2CEC" w:rsidRPr="00B97E75" w:rsidRDefault="006B2CEC"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5</w:t>
            </w:r>
          </w:p>
        </w:tc>
        <w:tc>
          <w:tcPr>
            <w:tcW w:w="940" w:type="dxa"/>
            <w:tcBorders>
              <w:top w:val="nil"/>
              <w:left w:val="nil"/>
              <w:bottom w:val="single" w:sz="4" w:space="0" w:color="auto"/>
              <w:right w:val="single" w:sz="8" w:space="0" w:color="auto"/>
            </w:tcBorders>
            <w:shd w:val="clear" w:color="auto" w:fill="auto"/>
            <w:noWrap/>
            <w:vAlign w:val="center"/>
            <w:hideMark/>
          </w:tcPr>
          <w:p w:rsidR="006B2CEC" w:rsidRPr="00B97E75" w:rsidRDefault="006B2CEC"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5</w:t>
            </w:r>
          </w:p>
        </w:tc>
      </w:tr>
      <w:tr w:rsidR="006B2CEC" w:rsidRPr="00B97E75" w:rsidTr="0082378C">
        <w:trPr>
          <w:trHeight w:val="24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B2CEC" w:rsidRPr="000953A0" w:rsidRDefault="006B2CEC" w:rsidP="0082378C">
            <w:pPr>
              <w:spacing w:after="0" w:line="240" w:lineRule="auto"/>
              <w:rPr>
                <w:rFonts w:eastAsia="Times New Roman" w:cstheme="minorHAnsi"/>
                <w:b/>
                <w:color w:val="000000"/>
                <w:lang w:eastAsia="en-IE"/>
              </w:rPr>
            </w:pPr>
            <w:r w:rsidRPr="000953A0">
              <w:rPr>
                <w:rFonts w:eastAsia="Times New Roman" w:cstheme="minorHAnsi"/>
                <w:b/>
                <w:color w:val="000000"/>
                <w:lang w:eastAsia="en-IE"/>
              </w:rPr>
              <w:t>Average</w:t>
            </w:r>
          </w:p>
        </w:tc>
        <w:tc>
          <w:tcPr>
            <w:tcW w:w="2460" w:type="dxa"/>
            <w:tcBorders>
              <w:top w:val="nil"/>
              <w:left w:val="nil"/>
              <w:bottom w:val="single" w:sz="4" w:space="0" w:color="auto"/>
              <w:right w:val="single" w:sz="4" w:space="0" w:color="auto"/>
            </w:tcBorders>
            <w:shd w:val="clear" w:color="auto" w:fill="auto"/>
            <w:noWrap/>
            <w:vAlign w:val="center"/>
            <w:hideMark/>
          </w:tcPr>
          <w:p w:rsidR="006B2CEC" w:rsidRPr="00B97E75" w:rsidRDefault="006B2CEC" w:rsidP="0082378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960" w:type="dxa"/>
            <w:tcBorders>
              <w:top w:val="nil"/>
              <w:left w:val="nil"/>
              <w:bottom w:val="single" w:sz="4" w:space="0" w:color="auto"/>
              <w:right w:val="single" w:sz="4" w:space="0" w:color="auto"/>
            </w:tcBorders>
            <w:shd w:val="clear" w:color="auto" w:fill="auto"/>
            <w:noWrap/>
            <w:vAlign w:val="center"/>
            <w:hideMark/>
          </w:tcPr>
          <w:p w:rsidR="006B2CEC" w:rsidRPr="000953A0" w:rsidRDefault="006B2CEC" w:rsidP="0082378C">
            <w:pPr>
              <w:spacing w:after="0" w:line="240" w:lineRule="auto"/>
              <w:rPr>
                <w:rFonts w:eastAsia="Times New Roman" w:cstheme="minorHAnsi"/>
                <w:b/>
                <w:color w:val="000000"/>
                <w:lang w:eastAsia="en-IE"/>
              </w:rPr>
            </w:pPr>
            <w:r w:rsidRPr="000953A0">
              <w:rPr>
                <w:rFonts w:eastAsia="Times New Roman" w:cstheme="minorHAnsi"/>
                <w:b/>
                <w:color w:val="000000"/>
                <w:lang w:eastAsia="en-IE"/>
              </w:rPr>
              <w:t>29.20</w:t>
            </w:r>
          </w:p>
        </w:tc>
        <w:tc>
          <w:tcPr>
            <w:tcW w:w="960" w:type="dxa"/>
            <w:tcBorders>
              <w:top w:val="nil"/>
              <w:left w:val="nil"/>
              <w:bottom w:val="single" w:sz="4" w:space="0" w:color="auto"/>
              <w:right w:val="single" w:sz="4" w:space="0" w:color="auto"/>
            </w:tcBorders>
            <w:shd w:val="clear" w:color="auto" w:fill="auto"/>
            <w:noWrap/>
            <w:vAlign w:val="center"/>
            <w:hideMark/>
          </w:tcPr>
          <w:p w:rsidR="006B2CEC" w:rsidRPr="000953A0" w:rsidRDefault="006B2CEC" w:rsidP="0082378C">
            <w:pPr>
              <w:spacing w:after="0" w:line="240" w:lineRule="auto"/>
              <w:rPr>
                <w:rFonts w:eastAsia="Times New Roman" w:cstheme="minorHAnsi"/>
                <w:b/>
                <w:color w:val="000000"/>
                <w:lang w:eastAsia="en-IE"/>
              </w:rPr>
            </w:pPr>
            <w:r w:rsidRPr="000953A0">
              <w:rPr>
                <w:rFonts w:eastAsia="Times New Roman" w:cstheme="minorHAnsi"/>
                <w:b/>
                <w:color w:val="000000"/>
                <w:lang w:eastAsia="en-IE"/>
              </w:rPr>
              <w:t>33.00</w:t>
            </w:r>
          </w:p>
        </w:tc>
        <w:tc>
          <w:tcPr>
            <w:tcW w:w="1140" w:type="dxa"/>
            <w:tcBorders>
              <w:top w:val="nil"/>
              <w:left w:val="nil"/>
              <w:bottom w:val="single" w:sz="4" w:space="0" w:color="auto"/>
              <w:right w:val="single" w:sz="4" w:space="0" w:color="auto"/>
            </w:tcBorders>
            <w:shd w:val="clear" w:color="auto" w:fill="auto"/>
            <w:noWrap/>
            <w:vAlign w:val="center"/>
            <w:hideMark/>
          </w:tcPr>
          <w:p w:rsidR="006B2CEC" w:rsidRPr="000953A0" w:rsidRDefault="006B2CEC" w:rsidP="0082378C">
            <w:pPr>
              <w:spacing w:after="0" w:line="240" w:lineRule="auto"/>
              <w:rPr>
                <w:rFonts w:eastAsia="Times New Roman" w:cstheme="minorHAnsi"/>
                <w:b/>
                <w:color w:val="000000"/>
                <w:lang w:eastAsia="en-IE"/>
              </w:rPr>
            </w:pPr>
            <w:r w:rsidRPr="000953A0">
              <w:rPr>
                <w:rFonts w:eastAsia="Times New Roman" w:cstheme="minorHAnsi"/>
                <w:b/>
                <w:color w:val="000000"/>
                <w:lang w:eastAsia="en-IE"/>
              </w:rPr>
              <w:t>37.38</w:t>
            </w:r>
          </w:p>
        </w:tc>
        <w:tc>
          <w:tcPr>
            <w:tcW w:w="1000" w:type="dxa"/>
            <w:tcBorders>
              <w:top w:val="nil"/>
              <w:left w:val="nil"/>
              <w:bottom w:val="single" w:sz="4" w:space="0" w:color="auto"/>
              <w:right w:val="single" w:sz="4" w:space="0" w:color="auto"/>
            </w:tcBorders>
            <w:shd w:val="clear" w:color="auto" w:fill="auto"/>
            <w:noWrap/>
            <w:vAlign w:val="center"/>
            <w:hideMark/>
          </w:tcPr>
          <w:p w:rsidR="006B2CEC" w:rsidRPr="000953A0" w:rsidRDefault="006B2CEC" w:rsidP="0082378C">
            <w:pPr>
              <w:spacing w:after="0" w:line="240" w:lineRule="auto"/>
              <w:rPr>
                <w:rFonts w:eastAsia="Times New Roman" w:cstheme="minorHAnsi"/>
                <w:b/>
                <w:color w:val="000000"/>
                <w:lang w:eastAsia="en-IE"/>
              </w:rPr>
            </w:pPr>
            <w:r w:rsidRPr="000953A0">
              <w:rPr>
                <w:rFonts w:eastAsia="Times New Roman" w:cstheme="minorHAnsi"/>
                <w:b/>
                <w:color w:val="000000"/>
                <w:lang w:eastAsia="en-IE"/>
              </w:rPr>
              <w:t>40.50</w:t>
            </w:r>
          </w:p>
        </w:tc>
        <w:tc>
          <w:tcPr>
            <w:tcW w:w="940" w:type="dxa"/>
            <w:tcBorders>
              <w:top w:val="nil"/>
              <w:left w:val="nil"/>
              <w:bottom w:val="single" w:sz="4" w:space="0" w:color="auto"/>
              <w:right w:val="single" w:sz="8" w:space="0" w:color="auto"/>
            </w:tcBorders>
            <w:shd w:val="clear" w:color="auto" w:fill="auto"/>
            <w:noWrap/>
            <w:vAlign w:val="center"/>
            <w:hideMark/>
          </w:tcPr>
          <w:p w:rsidR="006B2CEC" w:rsidRPr="000953A0" w:rsidRDefault="006B2CEC" w:rsidP="0082378C">
            <w:pPr>
              <w:spacing w:after="0" w:line="240" w:lineRule="auto"/>
              <w:rPr>
                <w:rFonts w:eastAsia="Times New Roman" w:cstheme="minorHAnsi"/>
                <w:b/>
                <w:color w:val="000000"/>
                <w:lang w:eastAsia="en-IE"/>
              </w:rPr>
            </w:pPr>
            <w:r w:rsidRPr="000953A0">
              <w:rPr>
                <w:rFonts w:eastAsia="Times New Roman" w:cstheme="minorHAnsi"/>
                <w:b/>
                <w:color w:val="000000"/>
                <w:lang w:eastAsia="en-IE"/>
              </w:rPr>
              <w:t>50.02</w:t>
            </w:r>
          </w:p>
        </w:tc>
      </w:tr>
      <w:tr w:rsidR="006B2CEC" w:rsidRPr="00B97E75" w:rsidTr="0082378C">
        <w:trPr>
          <w:trHeight w:val="25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6B2CEC" w:rsidRPr="00B97E75" w:rsidRDefault="006B2CEC"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2460" w:type="dxa"/>
            <w:tcBorders>
              <w:top w:val="nil"/>
              <w:left w:val="nil"/>
              <w:bottom w:val="single" w:sz="8" w:space="0" w:color="auto"/>
              <w:right w:val="single" w:sz="4" w:space="0" w:color="auto"/>
            </w:tcBorders>
            <w:shd w:val="clear" w:color="auto" w:fill="auto"/>
            <w:noWrap/>
            <w:vAlign w:val="center"/>
            <w:hideMark/>
          </w:tcPr>
          <w:p w:rsidR="006B2CEC" w:rsidRPr="00B97E75" w:rsidRDefault="006B2CEC" w:rsidP="0082378C">
            <w:pPr>
              <w:spacing w:after="0" w:line="240" w:lineRule="auto"/>
              <w:rPr>
                <w:rFonts w:eastAsia="Times New Roman" w:cstheme="minorHAnsi"/>
                <w:bCs/>
                <w:color w:val="000000"/>
                <w:lang w:eastAsia="en-IE"/>
              </w:rPr>
            </w:pPr>
            <w:r w:rsidRPr="00B97E75">
              <w:rPr>
                <w:rFonts w:eastAsia="Times New Roman" w:cstheme="minorHAnsi"/>
                <w:bCs/>
                <w:color w:val="000000"/>
                <w:lang w:eastAsia="en-IE"/>
              </w:rPr>
              <w:t>Mean</w:t>
            </w:r>
          </w:p>
        </w:tc>
        <w:tc>
          <w:tcPr>
            <w:tcW w:w="960" w:type="dxa"/>
            <w:tcBorders>
              <w:top w:val="nil"/>
              <w:left w:val="nil"/>
              <w:bottom w:val="single" w:sz="8" w:space="0" w:color="auto"/>
              <w:right w:val="single" w:sz="4" w:space="0" w:color="auto"/>
            </w:tcBorders>
            <w:shd w:val="clear" w:color="auto" w:fill="auto"/>
            <w:noWrap/>
            <w:vAlign w:val="center"/>
            <w:hideMark/>
          </w:tcPr>
          <w:p w:rsidR="006B2CEC" w:rsidRPr="00B97E75" w:rsidRDefault="006B2CEC"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31.20</w:t>
            </w:r>
          </w:p>
        </w:tc>
        <w:tc>
          <w:tcPr>
            <w:tcW w:w="960" w:type="dxa"/>
            <w:tcBorders>
              <w:top w:val="nil"/>
              <w:left w:val="nil"/>
              <w:bottom w:val="single" w:sz="8" w:space="0" w:color="auto"/>
              <w:right w:val="single" w:sz="4" w:space="0" w:color="auto"/>
            </w:tcBorders>
            <w:shd w:val="clear" w:color="auto" w:fill="auto"/>
            <w:noWrap/>
            <w:vAlign w:val="center"/>
            <w:hideMark/>
          </w:tcPr>
          <w:p w:rsidR="006B2CEC" w:rsidRPr="00B97E75" w:rsidRDefault="006B2CEC"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34.90</w:t>
            </w:r>
          </w:p>
        </w:tc>
        <w:tc>
          <w:tcPr>
            <w:tcW w:w="1140" w:type="dxa"/>
            <w:tcBorders>
              <w:top w:val="nil"/>
              <w:left w:val="nil"/>
              <w:bottom w:val="single" w:sz="8" w:space="0" w:color="auto"/>
              <w:right w:val="single" w:sz="4" w:space="0" w:color="auto"/>
            </w:tcBorders>
            <w:shd w:val="clear" w:color="auto" w:fill="auto"/>
            <w:noWrap/>
            <w:vAlign w:val="center"/>
            <w:hideMark/>
          </w:tcPr>
          <w:p w:rsidR="006B2CEC" w:rsidRPr="00B97E75" w:rsidRDefault="006B2CEC"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38.83</w:t>
            </w:r>
          </w:p>
        </w:tc>
        <w:tc>
          <w:tcPr>
            <w:tcW w:w="1000" w:type="dxa"/>
            <w:tcBorders>
              <w:top w:val="nil"/>
              <w:left w:val="nil"/>
              <w:bottom w:val="single" w:sz="8" w:space="0" w:color="auto"/>
              <w:right w:val="single" w:sz="4" w:space="0" w:color="auto"/>
            </w:tcBorders>
            <w:shd w:val="clear" w:color="auto" w:fill="auto"/>
            <w:noWrap/>
            <w:vAlign w:val="center"/>
            <w:hideMark/>
          </w:tcPr>
          <w:p w:rsidR="006B2CEC" w:rsidRPr="00B97E75" w:rsidRDefault="006B2CEC"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41.93</w:t>
            </w:r>
          </w:p>
        </w:tc>
        <w:tc>
          <w:tcPr>
            <w:tcW w:w="940" w:type="dxa"/>
            <w:tcBorders>
              <w:top w:val="nil"/>
              <w:left w:val="nil"/>
              <w:bottom w:val="single" w:sz="8" w:space="0" w:color="auto"/>
              <w:right w:val="single" w:sz="8" w:space="0" w:color="auto"/>
            </w:tcBorders>
            <w:shd w:val="clear" w:color="auto" w:fill="auto"/>
            <w:noWrap/>
            <w:vAlign w:val="center"/>
            <w:hideMark/>
          </w:tcPr>
          <w:p w:rsidR="006B2CEC" w:rsidRPr="00B97E75" w:rsidRDefault="006B2CEC"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50.86</w:t>
            </w:r>
          </w:p>
        </w:tc>
      </w:tr>
    </w:tbl>
    <w:p w:rsidR="003454C5" w:rsidRPr="00B97E75" w:rsidRDefault="003454C5">
      <w:pPr>
        <w:rPr>
          <w:rFonts w:cstheme="minorHAnsi"/>
          <w:b/>
        </w:rPr>
      </w:pPr>
    </w:p>
    <w:p w:rsidR="00E74952" w:rsidRPr="00B97E75" w:rsidRDefault="00E74952" w:rsidP="00E80676">
      <w:pPr>
        <w:spacing w:after="0" w:line="240" w:lineRule="auto"/>
        <w:rPr>
          <w:rFonts w:eastAsia="Times New Roman" w:cstheme="minorHAnsi"/>
          <w:b/>
          <w:bCs/>
          <w:color w:val="000000"/>
          <w:lang w:eastAsia="en-IE"/>
        </w:rPr>
      </w:pPr>
    </w:p>
    <w:p w:rsidR="00E74952" w:rsidRPr="00B97E75" w:rsidRDefault="00E74952" w:rsidP="00E80676">
      <w:pPr>
        <w:spacing w:after="0" w:line="240" w:lineRule="auto"/>
        <w:rPr>
          <w:rFonts w:eastAsia="Times New Roman" w:cstheme="minorHAnsi"/>
          <w:b/>
          <w:bCs/>
          <w:color w:val="000000"/>
          <w:lang w:eastAsia="en-IE"/>
        </w:rPr>
      </w:pPr>
    </w:p>
    <w:p w:rsidR="00E74952" w:rsidRPr="00B97E75" w:rsidRDefault="006C0F86">
      <w:pPr>
        <w:rPr>
          <w:rFonts w:eastAsia="Times New Roman" w:cstheme="minorHAnsi"/>
          <w:b/>
          <w:bCs/>
          <w:color w:val="000000"/>
          <w:lang w:eastAsia="en-IE"/>
        </w:rPr>
      </w:pPr>
      <w:r w:rsidRPr="00B97E75">
        <w:rPr>
          <w:rFonts w:eastAsia="Times New Roman" w:cstheme="minorHAnsi"/>
          <w:b/>
          <w:bCs/>
          <w:color w:val="000000"/>
          <w:lang w:eastAsia="en-IE"/>
        </w:rPr>
        <w:t xml:space="preserve"> </w:t>
      </w:r>
      <w:r w:rsidR="00E74952" w:rsidRPr="00B97E75">
        <w:rPr>
          <w:rFonts w:eastAsia="Times New Roman" w:cstheme="minorHAnsi"/>
          <w:b/>
          <w:bCs/>
          <w:color w:val="000000"/>
          <w:lang w:eastAsia="en-IE"/>
        </w:rPr>
        <w:br w:type="page"/>
      </w:r>
    </w:p>
    <w:p w:rsidR="00201EC9" w:rsidRPr="009C70A3" w:rsidRDefault="00201EC9" w:rsidP="009C70A3">
      <w:pPr>
        <w:pStyle w:val="PISectionHeading"/>
      </w:pPr>
      <w:bookmarkStart w:id="3" w:name="_Toc436926479"/>
      <w:r w:rsidRPr="009C70A3">
        <w:lastRenderedPageBreak/>
        <w:t xml:space="preserve">Section </w:t>
      </w:r>
      <w:r w:rsidR="007C12D5">
        <w:t>3</w:t>
      </w:r>
      <w:r w:rsidRPr="009C70A3">
        <w:t>: Water</w:t>
      </w:r>
      <w:bookmarkEnd w:id="3"/>
    </w:p>
    <w:p w:rsidR="00201EC9" w:rsidRPr="003E001D" w:rsidRDefault="00B70292" w:rsidP="00E97F2C">
      <w:pPr>
        <w:pStyle w:val="PITableHeading"/>
        <w:rPr>
          <w:rFonts w:asciiTheme="minorHAnsi" w:hAnsiTheme="minorHAnsi" w:cstheme="minorHAnsi"/>
          <w:b w:val="0"/>
          <w:sz w:val="22"/>
          <w:szCs w:val="22"/>
        </w:rPr>
      </w:pPr>
      <w:r>
        <w:rPr>
          <w:rFonts w:asciiTheme="minorHAnsi" w:hAnsiTheme="minorHAnsi" w:cstheme="minorHAnsi"/>
          <w:sz w:val="22"/>
          <w:szCs w:val="22"/>
        </w:rPr>
        <w:t>Table 11</w:t>
      </w:r>
      <w:r w:rsidR="00201EC9" w:rsidRPr="00B97E75">
        <w:rPr>
          <w:rFonts w:asciiTheme="minorHAnsi" w:hAnsiTheme="minorHAnsi" w:cstheme="minorHAnsi"/>
          <w:sz w:val="22"/>
          <w:szCs w:val="22"/>
        </w:rPr>
        <w:t xml:space="preserve">: </w:t>
      </w:r>
      <w:r w:rsidR="005C14E3" w:rsidRPr="003E001D">
        <w:rPr>
          <w:rFonts w:asciiTheme="minorHAnsi" w:hAnsiTheme="minorHAnsi" w:cstheme="minorHAnsi"/>
          <w:b w:val="0"/>
          <w:sz w:val="22"/>
          <w:szCs w:val="22"/>
        </w:rPr>
        <w:t>Unaccounted for Water</w:t>
      </w:r>
      <w:r w:rsidR="007C12D5">
        <w:rPr>
          <w:rFonts w:asciiTheme="minorHAnsi" w:hAnsiTheme="minorHAnsi" w:cstheme="minorHAnsi"/>
          <w:b w:val="0"/>
          <w:sz w:val="22"/>
          <w:szCs w:val="22"/>
        </w:rPr>
        <w:t xml:space="preserve"> (UFW)</w:t>
      </w:r>
      <w:r w:rsidR="005C14E3" w:rsidRPr="003E001D">
        <w:rPr>
          <w:rFonts w:asciiTheme="minorHAnsi" w:hAnsiTheme="minorHAnsi" w:cstheme="minorHAnsi"/>
          <w:b w:val="0"/>
          <w:sz w:val="22"/>
          <w:szCs w:val="22"/>
        </w:rPr>
        <w:t xml:space="preserve"> as Percentage of</w:t>
      </w:r>
      <w:r w:rsidR="002E49C5" w:rsidRPr="003E001D">
        <w:rPr>
          <w:rFonts w:asciiTheme="minorHAnsi" w:hAnsiTheme="minorHAnsi" w:cstheme="minorHAnsi"/>
          <w:b w:val="0"/>
          <w:sz w:val="22"/>
          <w:szCs w:val="22"/>
        </w:rPr>
        <w:t xml:space="preserve"> Total Volume of Water Supplied</w:t>
      </w:r>
      <w:r w:rsidR="00D74DB7">
        <w:rPr>
          <w:rFonts w:asciiTheme="minorHAnsi" w:hAnsiTheme="minorHAnsi" w:cstheme="minorHAnsi"/>
          <w:b w:val="0"/>
          <w:sz w:val="22"/>
          <w:szCs w:val="22"/>
        </w:rPr>
        <w:t xml:space="preserve"> under an SLA</w:t>
      </w:r>
      <w:r w:rsidR="002E49C5" w:rsidRPr="003E001D">
        <w:rPr>
          <w:rFonts w:asciiTheme="minorHAnsi" w:hAnsiTheme="minorHAnsi" w:cstheme="minorHAnsi"/>
          <w:b w:val="0"/>
          <w:sz w:val="22"/>
          <w:szCs w:val="22"/>
        </w:rPr>
        <w:t>;</w:t>
      </w:r>
      <w:r w:rsidR="005C14E3" w:rsidRPr="003E001D">
        <w:rPr>
          <w:rFonts w:asciiTheme="minorHAnsi" w:hAnsiTheme="minorHAnsi" w:cstheme="minorHAnsi"/>
          <w:b w:val="0"/>
          <w:sz w:val="22"/>
          <w:szCs w:val="22"/>
        </w:rPr>
        <w:t xml:space="preserve"> </w:t>
      </w:r>
      <w:r w:rsidR="002E49C5" w:rsidRPr="003E001D">
        <w:rPr>
          <w:rFonts w:asciiTheme="minorHAnsi" w:hAnsiTheme="minorHAnsi" w:cstheme="minorHAnsi"/>
          <w:b w:val="0"/>
          <w:sz w:val="22"/>
          <w:szCs w:val="22"/>
        </w:rPr>
        <w:t>Percentage Drinking</w:t>
      </w:r>
      <w:r w:rsidR="005C14E3" w:rsidRPr="003E001D">
        <w:rPr>
          <w:rFonts w:asciiTheme="minorHAnsi" w:hAnsiTheme="minorHAnsi" w:cstheme="minorHAnsi"/>
          <w:b w:val="0"/>
          <w:sz w:val="22"/>
          <w:szCs w:val="22"/>
        </w:rPr>
        <w:t xml:space="preserve"> Water </w:t>
      </w:r>
      <w:r w:rsidR="00D74DB7">
        <w:rPr>
          <w:rFonts w:asciiTheme="minorHAnsi" w:hAnsiTheme="minorHAnsi" w:cstheme="minorHAnsi"/>
          <w:b w:val="0"/>
          <w:sz w:val="22"/>
          <w:szCs w:val="22"/>
        </w:rPr>
        <w:t xml:space="preserve">supplied under an SLA </w:t>
      </w:r>
      <w:r w:rsidR="005C14E3" w:rsidRPr="003E001D">
        <w:rPr>
          <w:rFonts w:asciiTheme="minorHAnsi" w:hAnsiTheme="minorHAnsi" w:cstheme="minorHAnsi"/>
          <w:b w:val="0"/>
          <w:sz w:val="22"/>
          <w:szCs w:val="22"/>
        </w:rPr>
        <w:t>in Compliance with Statutory Requirements</w:t>
      </w:r>
    </w:p>
    <w:tbl>
      <w:tblPr>
        <w:tblW w:w="8220" w:type="dxa"/>
        <w:tblInd w:w="89" w:type="dxa"/>
        <w:tblLook w:val="04A0" w:firstRow="1" w:lastRow="0" w:firstColumn="1" w:lastColumn="0" w:noHBand="0" w:noVBand="1"/>
      </w:tblPr>
      <w:tblGrid>
        <w:gridCol w:w="9"/>
        <w:gridCol w:w="2451"/>
        <w:gridCol w:w="9"/>
        <w:gridCol w:w="1803"/>
        <w:gridCol w:w="88"/>
        <w:gridCol w:w="1471"/>
        <w:gridCol w:w="469"/>
        <w:gridCol w:w="1920"/>
      </w:tblGrid>
      <w:tr w:rsidR="00DB55DA" w:rsidRPr="00DB55DA" w:rsidTr="009216D3">
        <w:trPr>
          <w:trHeight w:val="1981"/>
        </w:trPr>
        <w:tc>
          <w:tcPr>
            <w:tcW w:w="2460" w:type="dxa"/>
            <w:gridSpan w:val="2"/>
            <w:tcBorders>
              <w:top w:val="single" w:sz="8" w:space="0" w:color="4BACC6"/>
              <w:left w:val="single" w:sz="8" w:space="0" w:color="4BACC6"/>
              <w:bottom w:val="single" w:sz="12" w:space="0" w:color="4BACC6"/>
              <w:right w:val="single" w:sz="8" w:space="0" w:color="4BACC6"/>
            </w:tcBorders>
            <w:shd w:val="clear" w:color="auto" w:fill="auto"/>
            <w:noWrap/>
            <w:vAlign w:val="center"/>
            <w:hideMark/>
          </w:tcPr>
          <w:p w:rsidR="00DB55DA" w:rsidRPr="00DB55DA" w:rsidRDefault="00DB55DA" w:rsidP="00771880">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Authority</w:t>
            </w:r>
          </w:p>
        </w:tc>
        <w:tc>
          <w:tcPr>
            <w:tcW w:w="1900" w:type="dxa"/>
            <w:gridSpan w:val="3"/>
            <w:tcBorders>
              <w:top w:val="single" w:sz="8" w:space="0" w:color="4BACC6"/>
              <w:left w:val="nil"/>
              <w:bottom w:val="single" w:sz="12" w:space="0" w:color="4BACC6"/>
              <w:right w:val="single" w:sz="8" w:space="0" w:color="4BACC6"/>
            </w:tcBorders>
            <w:shd w:val="clear" w:color="auto" w:fill="auto"/>
            <w:vAlign w:val="center"/>
            <w:hideMark/>
          </w:tcPr>
          <w:p w:rsidR="00DB55DA" w:rsidRPr="00DB55DA" w:rsidRDefault="00DB55DA" w:rsidP="000953A0">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UFW as % of Total Volume Supplied</w:t>
            </w:r>
            <w:r w:rsidR="000953A0">
              <w:rPr>
                <w:rFonts w:eastAsia="Times New Roman" w:cstheme="minorHAnsi"/>
                <w:b/>
                <w:bCs/>
                <w:color w:val="000000"/>
                <w:sz w:val="20"/>
                <w:szCs w:val="20"/>
                <w:lang w:eastAsia="en-IE"/>
              </w:rPr>
              <w:t xml:space="preserve"> (Jan. – June 2015)</w:t>
            </w:r>
          </w:p>
        </w:tc>
        <w:tc>
          <w:tcPr>
            <w:tcW w:w="1940" w:type="dxa"/>
            <w:gridSpan w:val="2"/>
            <w:tcBorders>
              <w:top w:val="single" w:sz="8" w:space="0" w:color="4BACC6"/>
              <w:left w:val="nil"/>
              <w:bottom w:val="single" w:sz="12" w:space="0" w:color="4BACC6"/>
              <w:right w:val="single" w:sz="8" w:space="0" w:color="4BACC6"/>
            </w:tcBorders>
            <w:shd w:val="clear" w:color="auto" w:fill="auto"/>
            <w:vAlign w:val="center"/>
            <w:hideMark/>
          </w:tcPr>
          <w:p w:rsidR="00DB55DA" w:rsidRPr="00DB55DA" w:rsidRDefault="00DB55DA" w:rsidP="00771880">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Percentage of Public Drinking Water Supplies in Compliance with Statutory requirements in 2013</w:t>
            </w:r>
          </w:p>
        </w:tc>
        <w:tc>
          <w:tcPr>
            <w:tcW w:w="1920" w:type="dxa"/>
            <w:tcBorders>
              <w:top w:val="single" w:sz="8" w:space="0" w:color="4BACC6"/>
              <w:left w:val="nil"/>
              <w:bottom w:val="single" w:sz="12" w:space="0" w:color="4BACC6"/>
              <w:right w:val="single" w:sz="8" w:space="0" w:color="4BACC6"/>
            </w:tcBorders>
            <w:shd w:val="clear" w:color="auto" w:fill="auto"/>
            <w:vAlign w:val="center"/>
            <w:hideMark/>
          </w:tcPr>
          <w:p w:rsidR="00DB55DA" w:rsidRPr="00DB55DA" w:rsidRDefault="00DB55DA" w:rsidP="00771880">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Percentage of Private Drinking Water Supplies in Compliance with Statutory requirements in 2013</w:t>
            </w:r>
          </w:p>
        </w:tc>
      </w:tr>
      <w:tr w:rsidR="00DB55DA" w:rsidRPr="00DB55DA" w:rsidTr="009216D3">
        <w:trPr>
          <w:trHeight w:val="330"/>
        </w:trPr>
        <w:tc>
          <w:tcPr>
            <w:tcW w:w="2460" w:type="dxa"/>
            <w:gridSpan w:val="2"/>
            <w:tcBorders>
              <w:top w:val="nil"/>
              <w:left w:val="single" w:sz="8" w:space="0" w:color="4BACC6"/>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 </w:t>
            </w:r>
          </w:p>
        </w:tc>
        <w:tc>
          <w:tcPr>
            <w:tcW w:w="1900" w:type="dxa"/>
            <w:gridSpan w:val="3"/>
            <w:tcBorders>
              <w:top w:val="nil"/>
              <w:left w:val="nil"/>
              <w:bottom w:val="single" w:sz="8" w:space="0" w:color="4BACC6"/>
              <w:right w:val="single" w:sz="8" w:space="0" w:color="4BACC6"/>
            </w:tcBorders>
            <w:shd w:val="clear" w:color="000000" w:fill="D2EAF1"/>
            <w:hideMark/>
          </w:tcPr>
          <w:p w:rsidR="00DB55DA" w:rsidRPr="00DB55DA" w:rsidRDefault="00DB55DA" w:rsidP="00DB55DA">
            <w:pPr>
              <w:spacing w:after="0" w:line="240" w:lineRule="auto"/>
              <w:rPr>
                <w:rFonts w:eastAsia="Times New Roman" w:cstheme="minorHAnsi"/>
                <w:color w:val="000000"/>
                <w:sz w:val="20"/>
                <w:szCs w:val="20"/>
                <w:lang w:eastAsia="en-IE"/>
              </w:rPr>
            </w:pPr>
            <w:r w:rsidRPr="00DB55DA">
              <w:rPr>
                <w:rFonts w:eastAsia="Times New Roman" w:cstheme="minorHAnsi"/>
                <w:color w:val="000000"/>
                <w:sz w:val="20"/>
                <w:szCs w:val="20"/>
                <w:lang w:eastAsia="en-IE"/>
              </w:rPr>
              <w:t> </w:t>
            </w:r>
          </w:p>
        </w:tc>
        <w:tc>
          <w:tcPr>
            <w:tcW w:w="1940" w:type="dxa"/>
            <w:gridSpan w:val="2"/>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rPr>
                <w:rFonts w:eastAsia="Times New Roman" w:cstheme="minorHAnsi"/>
                <w:color w:val="000000"/>
                <w:sz w:val="20"/>
                <w:szCs w:val="20"/>
                <w:lang w:eastAsia="en-IE"/>
              </w:rPr>
            </w:pPr>
            <w:r w:rsidRPr="00DB55DA">
              <w:rPr>
                <w:rFonts w:eastAsia="Times New Roman" w:cstheme="minorHAnsi"/>
                <w:color w:val="000000"/>
                <w:sz w:val="20"/>
                <w:szCs w:val="20"/>
                <w:lang w:eastAsia="en-IE"/>
              </w:rPr>
              <w:t> </w:t>
            </w:r>
          </w:p>
        </w:tc>
        <w:tc>
          <w:tcPr>
            <w:tcW w:w="1920" w:type="dxa"/>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rPr>
                <w:rFonts w:eastAsia="Times New Roman" w:cstheme="minorHAnsi"/>
                <w:color w:val="000000"/>
                <w:sz w:val="20"/>
                <w:szCs w:val="20"/>
                <w:lang w:eastAsia="en-IE"/>
              </w:rPr>
            </w:pPr>
            <w:r w:rsidRPr="00DB55DA">
              <w:rPr>
                <w:rFonts w:eastAsia="Times New Roman" w:cstheme="minorHAnsi"/>
                <w:color w:val="000000"/>
                <w:sz w:val="20"/>
                <w:szCs w:val="20"/>
                <w:lang w:eastAsia="en-IE"/>
              </w:rPr>
              <w:t> </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auto" w:fill="auto"/>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Carlow County</w:t>
            </w:r>
          </w:p>
        </w:tc>
        <w:tc>
          <w:tcPr>
            <w:tcW w:w="1900" w:type="dxa"/>
            <w:gridSpan w:val="3"/>
            <w:tcBorders>
              <w:top w:val="nil"/>
              <w:left w:val="nil"/>
              <w:bottom w:val="single" w:sz="8" w:space="0" w:color="4BACC6"/>
              <w:right w:val="single" w:sz="8" w:space="0" w:color="4BACC6"/>
            </w:tcBorders>
            <w:shd w:val="clear" w:color="auto" w:fill="auto"/>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48</w:t>
            </w:r>
          </w:p>
        </w:tc>
        <w:tc>
          <w:tcPr>
            <w:tcW w:w="1940" w:type="dxa"/>
            <w:gridSpan w:val="2"/>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99.1</w:t>
            </w:r>
          </w:p>
        </w:tc>
        <w:tc>
          <w:tcPr>
            <w:tcW w:w="1920" w:type="dxa"/>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99.6</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Cavan County</w:t>
            </w:r>
          </w:p>
        </w:tc>
        <w:tc>
          <w:tcPr>
            <w:tcW w:w="1900" w:type="dxa"/>
            <w:gridSpan w:val="3"/>
            <w:tcBorders>
              <w:top w:val="nil"/>
              <w:left w:val="nil"/>
              <w:bottom w:val="single" w:sz="8" w:space="0" w:color="4BACC6"/>
              <w:right w:val="single" w:sz="8" w:space="0" w:color="4BACC6"/>
            </w:tcBorders>
            <w:shd w:val="clear" w:color="000000" w:fill="D2EAF1"/>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33</w:t>
            </w:r>
          </w:p>
        </w:tc>
        <w:tc>
          <w:tcPr>
            <w:tcW w:w="1940" w:type="dxa"/>
            <w:gridSpan w:val="2"/>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97.9</w:t>
            </w:r>
          </w:p>
        </w:tc>
        <w:tc>
          <w:tcPr>
            <w:tcW w:w="1920" w:type="dxa"/>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97.3</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auto" w:fill="auto"/>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Clare County</w:t>
            </w:r>
          </w:p>
        </w:tc>
        <w:tc>
          <w:tcPr>
            <w:tcW w:w="1900" w:type="dxa"/>
            <w:gridSpan w:val="3"/>
            <w:tcBorders>
              <w:top w:val="nil"/>
              <w:left w:val="nil"/>
              <w:bottom w:val="single" w:sz="8" w:space="0" w:color="4BACC6"/>
              <w:right w:val="single" w:sz="8" w:space="0" w:color="4BACC6"/>
            </w:tcBorders>
            <w:shd w:val="clear" w:color="auto" w:fill="auto"/>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37</w:t>
            </w:r>
          </w:p>
        </w:tc>
        <w:tc>
          <w:tcPr>
            <w:tcW w:w="1940" w:type="dxa"/>
            <w:gridSpan w:val="2"/>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99.2</w:t>
            </w:r>
          </w:p>
        </w:tc>
        <w:tc>
          <w:tcPr>
            <w:tcW w:w="1920" w:type="dxa"/>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99.2</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Cork City</w:t>
            </w:r>
          </w:p>
        </w:tc>
        <w:tc>
          <w:tcPr>
            <w:tcW w:w="1900" w:type="dxa"/>
            <w:gridSpan w:val="3"/>
            <w:tcBorders>
              <w:top w:val="nil"/>
              <w:left w:val="nil"/>
              <w:bottom w:val="single" w:sz="8" w:space="0" w:color="4BACC6"/>
              <w:right w:val="single" w:sz="8" w:space="0" w:color="4BACC6"/>
            </w:tcBorders>
            <w:shd w:val="clear" w:color="000000" w:fill="D2EAF1"/>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41</w:t>
            </w:r>
          </w:p>
        </w:tc>
        <w:tc>
          <w:tcPr>
            <w:tcW w:w="1940" w:type="dxa"/>
            <w:gridSpan w:val="2"/>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94.5</w:t>
            </w:r>
          </w:p>
        </w:tc>
        <w:tc>
          <w:tcPr>
            <w:tcW w:w="1920" w:type="dxa"/>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92.5</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auto" w:fill="auto"/>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Cork County</w:t>
            </w:r>
          </w:p>
        </w:tc>
        <w:tc>
          <w:tcPr>
            <w:tcW w:w="1900" w:type="dxa"/>
            <w:gridSpan w:val="3"/>
            <w:tcBorders>
              <w:top w:val="nil"/>
              <w:left w:val="nil"/>
              <w:bottom w:val="single" w:sz="8" w:space="0" w:color="4BACC6"/>
              <w:right w:val="single" w:sz="8" w:space="0" w:color="4BACC6"/>
            </w:tcBorders>
            <w:shd w:val="clear" w:color="auto" w:fill="auto"/>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57</w:t>
            </w:r>
          </w:p>
        </w:tc>
        <w:tc>
          <w:tcPr>
            <w:tcW w:w="1940" w:type="dxa"/>
            <w:gridSpan w:val="2"/>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98.8</w:t>
            </w:r>
          </w:p>
        </w:tc>
        <w:tc>
          <w:tcPr>
            <w:tcW w:w="1920" w:type="dxa"/>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92.7</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Donegal County</w:t>
            </w:r>
          </w:p>
        </w:tc>
        <w:tc>
          <w:tcPr>
            <w:tcW w:w="1900" w:type="dxa"/>
            <w:gridSpan w:val="3"/>
            <w:tcBorders>
              <w:top w:val="nil"/>
              <w:left w:val="nil"/>
              <w:bottom w:val="single" w:sz="8" w:space="0" w:color="4BACC6"/>
              <w:right w:val="single" w:sz="8" w:space="0" w:color="4BACC6"/>
            </w:tcBorders>
            <w:shd w:val="clear" w:color="000000" w:fill="D2EAF1"/>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41</w:t>
            </w:r>
          </w:p>
        </w:tc>
        <w:tc>
          <w:tcPr>
            <w:tcW w:w="1940" w:type="dxa"/>
            <w:gridSpan w:val="2"/>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96.7</w:t>
            </w:r>
          </w:p>
        </w:tc>
        <w:tc>
          <w:tcPr>
            <w:tcW w:w="1920" w:type="dxa"/>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91.8</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auto" w:fill="auto"/>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Dublin City</w:t>
            </w:r>
          </w:p>
        </w:tc>
        <w:tc>
          <w:tcPr>
            <w:tcW w:w="1900" w:type="dxa"/>
            <w:gridSpan w:val="3"/>
            <w:tcBorders>
              <w:top w:val="nil"/>
              <w:left w:val="nil"/>
              <w:bottom w:val="single" w:sz="8" w:space="0" w:color="4BACC6"/>
              <w:right w:val="single" w:sz="8" w:space="0" w:color="4BACC6"/>
            </w:tcBorders>
            <w:shd w:val="clear" w:color="auto" w:fill="auto"/>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48</w:t>
            </w:r>
          </w:p>
        </w:tc>
        <w:tc>
          <w:tcPr>
            <w:tcW w:w="1940" w:type="dxa"/>
            <w:gridSpan w:val="2"/>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99.6</w:t>
            </w:r>
          </w:p>
        </w:tc>
        <w:tc>
          <w:tcPr>
            <w:tcW w:w="1920" w:type="dxa"/>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N/A</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 xml:space="preserve">Dun Laoghaire </w:t>
            </w:r>
            <w:proofErr w:type="spellStart"/>
            <w:r w:rsidRPr="00DB55DA">
              <w:rPr>
                <w:rFonts w:eastAsia="Times New Roman" w:cstheme="minorHAnsi"/>
                <w:b/>
                <w:bCs/>
                <w:color w:val="000000"/>
                <w:sz w:val="20"/>
                <w:szCs w:val="20"/>
                <w:lang w:eastAsia="en-IE"/>
              </w:rPr>
              <w:t>Rathdown</w:t>
            </w:r>
            <w:proofErr w:type="spellEnd"/>
          </w:p>
        </w:tc>
        <w:tc>
          <w:tcPr>
            <w:tcW w:w="1900" w:type="dxa"/>
            <w:gridSpan w:val="3"/>
            <w:tcBorders>
              <w:top w:val="nil"/>
              <w:left w:val="nil"/>
              <w:bottom w:val="single" w:sz="8" w:space="0" w:color="4BACC6"/>
              <w:right w:val="single" w:sz="8" w:space="0" w:color="4BACC6"/>
            </w:tcBorders>
            <w:shd w:val="clear" w:color="000000" w:fill="D2EAF1"/>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50</w:t>
            </w:r>
          </w:p>
        </w:tc>
        <w:tc>
          <w:tcPr>
            <w:tcW w:w="1940" w:type="dxa"/>
            <w:gridSpan w:val="2"/>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99.7</w:t>
            </w:r>
          </w:p>
        </w:tc>
        <w:tc>
          <w:tcPr>
            <w:tcW w:w="1920" w:type="dxa"/>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100</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auto" w:fill="auto"/>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proofErr w:type="spellStart"/>
            <w:r w:rsidRPr="00DB55DA">
              <w:rPr>
                <w:rFonts w:eastAsia="Times New Roman" w:cstheme="minorHAnsi"/>
                <w:b/>
                <w:bCs/>
                <w:color w:val="000000"/>
                <w:sz w:val="20"/>
                <w:szCs w:val="20"/>
                <w:lang w:eastAsia="en-IE"/>
              </w:rPr>
              <w:t>Fingal</w:t>
            </w:r>
            <w:proofErr w:type="spellEnd"/>
            <w:r w:rsidRPr="00DB55DA">
              <w:rPr>
                <w:rFonts w:eastAsia="Times New Roman" w:cstheme="minorHAnsi"/>
                <w:b/>
                <w:bCs/>
                <w:color w:val="000000"/>
                <w:sz w:val="20"/>
                <w:szCs w:val="20"/>
                <w:lang w:eastAsia="en-IE"/>
              </w:rPr>
              <w:t xml:space="preserve"> County</w:t>
            </w:r>
          </w:p>
        </w:tc>
        <w:tc>
          <w:tcPr>
            <w:tcW w:w="1900" w:type="dxa"/>
            <w:gridSpan w:val="3"/>
            <w:tcBorders>
              <w:top w:val="nil"/>
              <w:left w:val="nil"/>
              <w:bottom w:val="single" w:sz="8" w:space="0" w:color="4BACC6"/>
              <w:right w:val="single" w:sz="8" w:space="0" w:color="4BACC6"/>
            </w:tcBorders>
            <w:shd w:val="clear" w:color="auto" w:fill="auto"/>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44</w:t>
            </w:r>
          </w:p>
        </w:tc>
        <w:tc>
          <w:tcPr>
            <w:tcW w:w="1940" w:type="dxa"/>
            <w:gridSpan w:val="2"/>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99.7</w:t>
            </w:r>
          </w:p>
        </w:tc>
        <w:tc>
          <w:tcPr>
            <w:tcW w:w="1920" w:type="dxa"/>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N/A</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Galway City</w:t>
            </w:r>
          </w:p>
        </w:tc>
        <w:tc>
          <w:tcPr>
            <w:tcW w:w="1900" w:type="dxa"/>
            <w:gridSpan w:val="3"/>
            <w:tcBorders>
              <w:top w:val="nil"/>
              <w:left w:val="nil"/>
              <w:bottom w:val="single" w:sz="8" w:space="0" w:color="4BACC6"/>
              <w:right w:val="single" w:sz="8" w:space="0" w:color="4BACC6"/>
            </w:tcBorders>
            <w:shd w:val="clear" w:color="000000" w:fill="D2EAF1"/>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56</w:t>
            </w:r>
          </w:p>
        </w:tc>
        <w:tc>
          <w:tcPr>
            <w:tcW w:w="1940" w:type="dxa"/>
            <w:gridSpan w:val="2"/>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100</w:t>
            </w:r>
          </w:p>
        </w:tc>
        <w:tc>
          <w:tcPr>
            <w:tcW w:w="1920" w:type="dxa"/>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N/A</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auto" w:fill="auto"/>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Galway County</w:t>
            </w:r>
          </w:p>
        </w:tc>
        <w:tc>
          <w:tcPr>
            <w:tcW w:w="1900" w:type="dxa"/>
            <w:gridSpan w:val="3"/>
            <w:tcBorders>
              <w:top w:val="nil"/>
              <w:left w:val="nil"/>
              <w:bottom w:val="single" w:sz="8" w:space="0" w:color="4BACC6"/>
              <w:right w:val="single" w:sz="8" w:space="0" w:color="4BACC6"/>
            </w:tcBorders>
            <w:shd w:val="clear" w:color="auto" w:fill="auto"/>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52</w:t>
            </w:r>
          </w:p>
        </w:tc>
        <w:tc>
          <w:tcPr>
            <w:tcW w:w="1940" w:type="dxa"/>
            <w:gridSpan w:val="2"/>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99.5</w:t>
            </w:r>
          </w:p>
        </w:tc>
        <w:tc>
          <w:tcPr>
            <w:tcW w:w="1920" w:type="dxa"/>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99</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Kerry County</w:t>
            </w:r>
          </w:p>
        </w:tc>
        <w:tc>
          <w:tcPr>
            <w:tcW w:w="1900" w:type="dxa"/>
            <w:gridSpan w:val="3"/>
            <w:tcBorders>
              <w:top w:val="nil"/>
              <w:left w:val="nil"/>
              <w:bottom w:val="single" w:sz="8" w:space="0" w:color="4BACC6"/>
              <w:right w:val="single" w:sz="8" w:space="0" w:color="4BACC6"/>
            </w:tcBorders>
            <w:shd w:val="clear" w:color="000000" w:fill="D2EAF1"/>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57</w:t>
            </w:r>
          </w:p>
        </w:tc>
        <w:tc>
          <w:tcPr>
            <w:tcW w:w="1940" w:type="dxa"/>
            <w:gridSpan w:val="2"/>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97.8</w:t>
            </w:r>
          </w:p>
        </w:tc>
        <w:tc>
          <w:tcPr>
            <w:tcW w:w="1920" w:type="dxa"/>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93.8</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auto" w:fill="auto"/>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Kildare County</w:t>
            </w:r>
          </w:p>
        </w:tc>
        <w:tc>
          <w:tcPr>
            <w:tcW w:w="1900" w:type="dxa"/>
            <w:gridSpan w:val="3"/>
            <w:tcBorders>
              <w:top w:val="nil"/>
              <w:left w:val="nil"/>
              <w:bottom w:val="single" w:sz="8" w:space="0" w:color="4BACC6"/>
              <w:right w:val="single" w:sz="8" w:space="0" w:color="4BACC6"/>
            </w:tcBorders>
            <w:shd w:val="clear" w:color="auto" w:fill="auto"/>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35</w:t>
            </w:r>
          </w:p>
        </w:tc>
        <w:tc>
          <w:tcPr>
            <w:tcW w:w="1940" w:type="dxa"/>
            <w:gridSpan w:val="2"/>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99.7</w:t>
            </w:r>
          </w:p>
        </w:tc>
        <w:tc>
          <w:tcPr>
            <w:tcW w:w="1920" w:type="dxa"/>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99.2</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Kilkenny County</w:t>
            </w:r>
          </w:p>
        </w:tc>
        <w:tc>
          <w:tcPr>
            <w:tcW w:w="1900" w:type="dxa"/>
            <w:gridSpan w:val="3"/>
            <w:tcBorders>
              <w:top w:val="nil"/>
              <w:left w:val="nil"/>
              <w:bottom w:val="single" w:sz="8" w:space="0" w:color="4BACC6"/>
              <w:right w:val="single" w:sz="8" w:space="0" w:color="4BACC6"/>
            </w:tcBorders>
            <w:shd w:val="clear" w:color="000000" w:fill="D2EAF1"/>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48</w:t>
            </w:r>
          </w:p>
        </w:tc>
        <w:tc>
          <w:tcPr>
            <w:tcW w:w="1940" w:type="dxa"/>
            <w:gridSpan w:val="2"/>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99.6</w:t>
            </w:r>
          </w:p>
        </w:tc>
        <w:tc>
          <w:tcPr>
            <w:tcW w:w="1920" w:type="dxa"/>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96.2</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auto" w:fill="auto"/>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Laois County</w:t>
            </w:r>
          </w:p>
        </w:tc>
        <w:tc>
          <w:tcPr>
            <w:tcW w:w="1900" w:type="dxa"/>
            <w:gridSpan w:val="3"/>
            <w:tcBorders>
              <w:top w:val="nil"/>
              <w:left w:val="nil"/>
              <w:bottom w:val="single" w:sz="8" w:space="0" w:color="4BACC6"/>
              <w:right w:val="single" w:sz="8" w:space="0" w:color="4BACC6"/>
            </w:tcBorders>
            <w:shd w:val="clear" w:color="auto" w:fill="auto"/>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36</w:t>
            </w:r>
          </w:p>
        </w:tc>
        <w:tc>
          <w:tcPr>
            <w:tcW w:w="1940" w:type="dxa"/>
            <w:gridSpan w:val="2"/>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99.6</w:t>
            </w:r>
          </w:p>
        </w:tc>
        <w:tc>
          <w:tcPr>
            <w:tcW w:w="1920" w:type="dxa"/>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97.9</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Leitrim County</w:t>
            </w:r>
          </w:p>
        </w:tc>
        <w:tc>
          <w:tcPr>
            <w:tcW w:w="1900" w:type="dxa"/>
            <w:gridSpan w:val="3"/>
            <w:tcBorders>
              <w:top w:val="nil"/>
              <w:left w:val="nil"/>
              <w:bottom w:val="single" w:sz="8" w:space="0" w:color="4BACC6"/>
              <w:right w:val="single" w:sz="8" w:space="0" w:color="4BACC6"/>
            </w:tcBorders>
            <w:shd w:val="clear" w:color="000000" w:fill="D2EAF1"/>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55</w:t>
            </w:r>
          </w:p>
        </w:tc>
        <w:tc>
          <w:tcPr>
            <w:tcW w:w="1940" w:type="dxa"/>
            <w:gridSpan w:val="2"/>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99.4</w:t>
            </w:r>
          </w:p>
        </w:tc>
        <w:tc>
          <w:tcPr>
            <w:tcW w:w="1920" w:type="dxa"/>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99</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auto" w:fill="auto"/>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Limerick City &amp; County</w:t>
            </w:r>
          </w:p>
        </w:tc>
        <w:tc>
          <w:tcPr>
            <w:tcW w:w="1900" w:type="dxa"/>
            <w:gridSpan w:val="3"/>
            <w:tcBorders>
              <w:top w:val="nil"/>
              <w:left w:val="nil"/>
              <w:bottom w:val="single" w:sz="8" w:space="0" w:color="4BACC6"/>
              <w:right w:val="single" w:sz="8" w:space="0" w:color="4BACC6"/>
            </w:tcBorders>
            <w:shd w:val="clear" w:color="auto" w:fill="auto"/>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49</w:t>
            </w:r>
          </w:p>
        </w:tc>
        <w:tc>
          <w:tcPr>
            <w:tcW w:w="1940" w:type="dxa"/>
            <w:gridSpan w:val="2"/>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99.8</w:t>
            </w:r>
          </w:p>
        </w:tc>
        <w:tc>
          <w:tcPr>
            <w:tcW w:w="1920" w:type="dxa"/>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99.2</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Longford County</w:t>
            </w:r>
          </w:p>
        </w:tc>
        <w:tc>
          <w:tcPr>
            <w:tcW w:w="1900" w:type="dxa"/>
            <w:gridSpan w:val="3"/>
            <w:tcBorders>
              <w:top w:val="nil"/>
              <w:left w:val="nil"/>
              <w:bottom w:val="single" w:sz="8" w:space="0" w:color="4BACC6"/>
              <w:right w:val="single" w:sz="8" w:space="0" w:color="4BACC6"/>
            </w:tcBorders>
            <w:shd w:val="clear" w:color="000000" w:fill="D2EAF1"/>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44</w:t>
            </w:r>
          </w:p>
        </w:tc>
        <w:tc>
          <w:tcPr>
            <w:tcW w:w="1940" w:type="dxa"/>
            <w:gridSpan w:val="2"/>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100</w:t>
            </w:r>
          </w:p>
        </w:tc>
        <w:tc>
          <w:tcPr>
            <w:tcW w:w="1920" w:type="dxa"/>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93.4</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auto" w:fill="auto"/>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Louth County</w:t>
            </w:r>
          </w:p>
        </w:tc>
        <w:tc>
          <w:tcPr>
            <w:tcW w:w="1900" w:type="dxa"/>
            <w:gridSpan w:val="3"/>
            <w:tcBorders>
              <w:top w:val="nil"/>
              <w:left w:val="nil"/>
              <w:bottom w:val="single" w:sz="8" w:space="0" w:color="4BACC6"/>
              <w:right w:val="single" w:sz="8" w:space="0" w:color="4BACC6"/>
            </w:tcBorders>
            <w:shd w:val="clear" w:color="auto" w:fill="auto"/>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42</w:t>
            </w:r>
          </w:p>
        </w:tc>
        <w:tc>
          <w:tcPr>
            <w:tcW w:w="1940" w:type="dxa"/>
            <w:gridSpan w:val="2"/>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100</w:t>
            </w:r>
          </w:p>
        </w:tc>
        <w:tc>
          <w:tcPr>
            <w:tcW w:w="1920" w:type="dxa"/>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99.5</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Mayo County</w:t>
            </w:r>
          </w:p>
        </w:tc>
        <w:tc>
          <w:tcPr>
            <w:tcW w:w="1900" w:type="dxa"/>
            <w:gridSpan w:val="3"/>
            <w:tcBorders>
              <w:top w:val="nil"/>
              <w:left w:val="nil"/>
              <w:bottom w:val="single" w:sz="8" w:space="0" w:color="4BACC6"/>
              <w:right w:val="single" w:sz="8" w:space="0" w:color="4BACC6"/>
            </w:tcBorders>
            <w:shd w:val="clear" w:color="000000" w:fill="D2EAF1"/>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58</w:t>
            </w:r>
          </w:p>
        </w:tc>
        <w:tc>
          <w:tcPr>
            <w:tcW w:w="1940" w:type="dxa"/>
            <w:gridSpan w:val="2"/>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97.4</w:t>
            </w:r>
          </w:p>
        </w:tc>
        <w:tc>
          <w:tcPr>
            <w:tcW w:w="1920" w:type="dxa"/>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96.7</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auto" w:fill="auto"/>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Meath County</w:t>
            </w:r>
          </w:p>
        </w:tc>
        <w:tc>
          <w:tcPr>
            <w:tcW w:w="1900" w:type="dxa"/>
            <w:gridSpan w:val="3"/>
            <w:tcBorders>
              <w:top w:val="nil"/>
              <w:left w:val="nil"/>
              <w:bottom w:val="single" w:sz="8" w:space="0" w:color="4BACC6"/>
              <w:right w:val="single" w:sz="8" w:space="0" w:color="4BACC6"/>
            </w:tcBorders>
            <w:shd w:val="clear" w:color="auto" w:fill="auto"/>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43</w:t>
            </w:r>
          </w:p>
        </w:tc>
        <w:tc>
          <w:tcPr>
            <w:tcW w:w="1940" w:type="dxa"/>
            <w:gridSpan w:val="2"/>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99.9</w:t>
            </w:r>
          </w:p>
        </w:tc>
        <w:tc>
          <w:tcPr>
            <w:tcW w:w="1920" w:type="dxa"/>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95.8</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Monaghan County</w:t>
            </w:r>
          </w:p>
        </w:tc>
        <w:tc>
          <w:tcPr>
            <w:tcW w:w="1900" w:type="dxa"/>
            <w:gridSpan w:val="3"/>
            <w:tcBorders>
              <w:top w:val="nil"/>
              <w:left w:val="nil"/>
              <w:bottom w:val="single" w:sz="8" w:space="0" w:color="4BACC6"/>
              <w:right w:val="single" w:sz="8" w:space="0" w:color="4BACC6"/>
            </w:tcBorders>
            <w:shd w:val="clear" w:color="000000" w:fill="D2EAF1"/>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32</w:t>
            </w:r>
          </w:p>
        </w:tc>
        <w:tc>
          <w:tcPr>
            <w:tcW w:w="1940" w:type="dxa"/>
            <w:gridSpan w:val="2"/>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99.4</w:t>
            </w:r>
          </w:p>
        </w:tc>
        <w:tc>
          <w:tcPr>
            <w:tcW w:w="1920" w:type="dxa"/>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98.8</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auto" w:fill="auto"/>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Offaly County</w:t>
            </w:r>
          </w:p>
        </w:tc>
        <w:tc>
          <w:tcPr>
            <w:tcW w:w="1900" w:type="dxa"/>
            <w:gridSpan w:val="3"/>
            <w:tcBorders>
              <w:top w:val="nil"/>
              <w:left w:val="nil"/>
              <w:bottom w:val="single" w:sz="8" w:space="0" w:color="4BACC6"/>
              <w:right w:val="single" w:sz="8" w:space="0" w:color="4BACC6"/>
            </w:tcBorders>
            <w:shd w:val="clear" w:color="auto" w:fill="auto"/>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56</w:t>
            </w:r>
          </w:p>
        </w:tc>
        <w:tc>
          <w:tcPr>
            <w:tcW w:w="1940" w:type="dxa"/>
            <w:gridSpan w:val="2"/>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99.4</w:t>
            </w:r>
          </w:p>
        </w:tc>
        <w:tc>
          <w:tcPr>
            <w:tcW w:w="1920" w:type="dxa"/>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98</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Roscommon County</w:t>
            </w:r>
          </w:p>
        </w:tc>
        <w:tc>
          <w:tcPr>
            <w:tcW w:w="1900" w:type="dxa"/>
            <w:gridSpan w:val="3"/>
            <w:tcBorders>
              <w:top w:val="nil"/>
              <w:left w:val="nil"/>
              <w:bottom w:val="single" w:sz="8" w:space="0" w:color="4BACC6"/>
              <w:right w:val="single" w:sz="8" w:space="0" w:color="4BACC6"/>
            </w:tcBorders>
            <w:shd w:val="clear" w:color="000000" w:fill="D2EAF1"/>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68</w:t>
            </w:r>
          </w:p>
        </w:tc>
        <w:tc>
          <w:tcPr>
            <w:tcW w:w="1940" w:type="dxa"/>
            <w:gridSpan w:val="2"/>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98.5</w:t>
            </w:r>
          </w:p>
        </w:tc>
        <w:tc>
          <w:tcPr>
            <w:tcW w:w="1920" w:type="dxa"/>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96.9</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auto" w:fill="auto"/>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Sligo County</w:t>
            </w:r>
          </w:p>
        </w:tc>
        <w:tc>
          <w:tcPr>
            <w:tcW w:w="1900" w:type="dxa"/>
            <w:gridSpan w:val="3"/>
            <w:tcBorders>
              <w:top w:val="nil"/>
              <w:left w:val="nil"/>
              <w:bottom w:val="single" w:sz="8" w:space="0" w:color="4BACC6"/>
              <w:right w:val="single" w:sz="8" w:space="0" w:color="4BACC6"/>
            </w:tcBorders>
            <w:shd w:val="clear" w:color="auto" w:fill="auto"/>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54</w:t>
            </w:r>
          </w:p>
        </w:tc>
        <w:tc>
          <w:tcPr>
            <w:tcW w:w="1940" w:type="dxa"/>
            <w:gridSpan w:val="2"/>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99.6</w:t>
            </w:r>
          </w:p>
        </w:tc>
        <w:tc>
          <w:tcPr>
            <w:tcW w:w="1920" w:type="dxa"/>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99.8</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South Dublin County</w:t>
            </w:r>
          </w:p>
        </w:tc>
        <w:tc>
          <w:tcPr>
            <w:tcW w:w="1900" w:type="dxa"/>
            <w:gridSpan w:val="3"/>
            <w:tcBorders>
              <w:top w:val="nil"/>
              <w:left w:val="nil"/>
              <w:bottom w:val="single" w:sz="8" w:space="0" w:color="4BACC6"/>
              <w:right w:val="single" w:sz="8" w:space="0" w:color="4BACC6"/>
            </w:tcBorders>
            <w:shd w:val="clear" w:color="000000" w:fill="D2EAF1"/>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34</w:t>
            </w:r>
          </w:p>
        </w:tc>
        <w:tc>
          <w:tcPr>
            <w:tcW w:w="1940" w:type="dxa"/>
            <w:gridSpan w:val="2"/>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99.7</w:t>
            </w:r>
          </w:p>
        </w:tc>
        <w:tc>
          <w:tcPr>
            <w:tcW w:w="1920" w:type="dxa"/>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N/A</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auto" w:fill="auto"/>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Tipperary County</w:t>
            </w:r>
          </w:p>
        </w:tc>
        <w:tc>
          <w:tcPr>
            <w:tcW w:w="1900" w:type="dxa"/>
            <w:gridSpan w:val="3"/>
            <w:tcBorders>
              <w:top w:val="nil"/>
              <w:left w:val="nil"/>
              <w:bottom w:val="single" w:sz="8" w:space="0" w:color="4BACC6"/>
              <w:right w:val="single" w:sz="8" w:space="0" w:color="4BACC6"/>
            </w:tcBorders>
            <w:shd w:val="clear" w:color="auto" w:fill="auto"/>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48</w:t>
            </w:r>
          </w:p>
        </w:tc>
        <w:tc>
          <w:tcPr>
            <w:tcW w:w="1940" w:type="dxa"/>
            <w:gridSpan w:val="2"/>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99.4</w:t>
            </w:r>
          </w:p>
        </w:tc>
        <w:tc>
          <w:tcPr>
            <w:tcW w:w="1920" w:type="dxa"/>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98.1</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Waterford City &amp; County</w:t>
            </w:r>
          </w:p>
        </w:tc>
        <w:tc>
          <w:tcPr>
            <w:tcW w:w="1900" w:type="dxa"/>
            <w:gridSpan w:val="3"/>
            <w:tcBorders>
              <w:top w:val="nil"/>
              <w:left w:val="nil"/>
              <w:bottom w:val="single" w:sz="8" w:space="0" w:color="4BACC6"/>
              <w:right w:val="single" w:sz="8" w:space="0" w:color="4BACC6"/>
            </w:tcBorders>
            <w:shd w:val="clear" w:color="000000" w:fill="D2EAF1"/>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52</w:t>
            </w:r>
          </w:p>
        </w:tc>
        <w:tc>
          <w:tcPr>
            <w:tcW w:w="1940" w:type="dxa"/>
            <w:gridSpan w:val="2"/>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95.5</w:t>
            </w:r>
          </w:p>
        </w:tc>
        <w:tc>
          <w:tcPr>
            <w:tcW w:w="1920" w:type="dxa"/>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93</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auto" w:fill="auto"/>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Westmeath County</w:t>
            </w:r>
          </w:p>
        </w:tc>
        <w:tc>
          <w:tcPr>
            <w:tcW w:w="1900" w:type="dxa"/>
            <w:gridSpan w:val="3"/>
            <w:tcBorders>
              <w:top w:val="nil"/>
              <w:left w:val="nil"/>
              <w:bottom w:val="single" w:sz="8" w:space="0" w:color="4BACC6"/>
              <w:right w:val="single" w:sz="8" w:space="0" w:color="4BACC6"/>
            </w:tcBorders>
            <w:shd w:val="clear" w:color="auto" w:fill="auto"/>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47</w:t>
            </w:r>
          </w:p>
        </w:tc>
        <w:tc>
          <w:tcPr>
            <w:tcW w:w="1940" w:type="dxa"/>
            <w:gridSpan w:val="2"/>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99.7</w:t>
            </w:r>
          </w:p>
        </w:tc>
        <w:tc>
          <w:tcPr>
            <w:tcW w:w="1920" w:type="dxa"/>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97.9</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Wexford County</w:t>
            </w:r>
          </w:p>
        </w:tc>
        <w:tc>
          <w:tcPr>
            <w:tcW w:w="1900" w:type="dxa"/>
            <w:gridSpan w:val="3"/>
            <w:tcBorders>
              <w:top w:val="nil"/>
              <w:left w:val="nil"/>
              <w:bottom w:val="single" w:sz="8" w:space="0" w:color="4BACC6"/>
              <w:right w:val="single" w:sz="8" w:space="0" w:color="4BACC6"/>
            </w:tcBorders>
            <w:shd w:val="clear" w:color="000000" w:fill="D2EAF1"/>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41</w:t>
            </w:r>
          </w:p>
        </w:tc>
        <w:tc>
          <w:tcPr>
            <w:tcW w:w="1940" w:type="dxa"/>
            <w:gridSpan w:val="2"/>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98.7</w:t>
            </w:r>
          </w:p>
        </w:tc>
        <w:tc>
          <w:tcPr>
            <w:tcW w:w="1920" w:type="dxa"/>
            <w:tcBorders>
              <w:top w:val="nil"/>
              <w:left w:val="nil"/>
              <w:bottom w:val="single" w:sz="8" w:space="0" w:color="4BACC6"/>
              <w:right w:val="single" w:sz="8" w:space="0" w:color="4BACC6"/>
            </w:tcBorders>
            <w:shd w:val="clear" w:color="000000" w:fill="D2EAF1"/>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95.4</w:t>
            </w:r>
          </w:p>
        </w:tc>
      </w:tr>
      <w:tr w:rsidR="00DB55DA" w:rsidRPr="00DB55DA" w:rsidTr="009216D3">
        <w:trPr>
          <w:trHeight w:val="315"/>
        </w:trPr>
        <w:tc>
          <w:tcPr>
            <w:tcW w:w="2460" w:type="dxa"/>
            <w:gridSpan w:val="2"/>
            <w:tcBorders>
              <w:top w:val="nil"/>
              <w:left w:val="single" w:sz="8" w:space="0" w:color="4BACC6"/>
              <w:bottom w:val="single" w:sz="8" w:space="0" w:color="4BACC6"/>
              <w:right w:val="single" w:sz="8" w:space="0" w:color="4BACC6"/>
            </w:tcBorders>
            <w:shd w:val="clear" w:color="auto" w:fill="auto"/>
            <w:noWrap/>
            <w:hideMark/>
          </w:tcPr>
          <w:p w:rsidR="00DB55DA" w:rsidRPr="00DB55DA" w:rsidRDefault="00DB55DA" w:rsidP="00DB55DA">
            <w:pPr>
              <w:spacing w:after="0" w:line="240" w:lineRule="auto"/>
              <w:rPr>
                <w:rFonts w:eastAsia="Times New Roman" w:cstheme="minorHAnsi"/>
                <w:b/>
                <w:bCs/>
                <w:color w:val="000000"/>
                <w:sz w:val="20"/>
                <w:szCs w:val="20"/>
                <w:lang w:eastAsia="en-IE"/>
              </w:rPr>
            </w:pPr>
            <w:r w:rsidRPr="00DB55DA">
              <w:rPr>
                <w:rFonts w:eastAsia="Times New Roman" w:cstheme="minorHAnsi"/>
                <w:b/>
                <w:bCs/>
                <w:color w:val="000000"/>
                <w:sz w:val="20"/>
                <w:szCs w:val="20"/>
                <w:lang w:eastAsia="en-IE"/>
              </w:rPr>
              <w:t>Wicklow County</w:t>
            </w:r>
          </w:p>
        </w:tc>
        <w:tc>
          <w:tcPr>
            <w:tcW w:w="1900" w:type="dxa"/>
            <w:gridSpan w:val="3"/>
            <w:tcBorders>
              <w:top w:val="nil"/>
              <w:left w:val="nil"/>
              <w:bottom w:val="single" w:sz="8" w:space="0" w:color="4BACC6"/>
              <w:right w:val="single" w:sz="8" w:space="0" w:color="4BACC6"/>
            </w:tcBorders>
            <w:shd w:val="clear" w:color="auto" w:fill="auto"/>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37</w:t>
            </w:r>
          </w:p>
        </w:tc>
        <w:tc>
          <w:tcPr>
            <w:tcW w:w="1940" w:type="dxa"/>
            <w:gridSpan w:val="2"/>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97.8</w:t>
            </w:r>
          </w:p>
        </w:tc>
        <w:tc>
          <w:tcPr>
            <w:tcW w:w="1920" w:type="dxa"/>
            <w:tcBorders>
              <w:top w:val="nil"/>
              <w:left w:val="nil"/>
              <w:bottom w:val="single" w:sz="8" w:space="0" w:color="4BACC6"/>
              <w:right w:val="single" w:sz="8" w:space="0" w:color="4BACC6"/>
            </w:tcBorders>
            <w:shd w:val="clear" w:color="auto" w:fill="auto"/>
            <w:noWrap/>
            <w:hideMark/>
          </w:tcPr>
          <w:p w:rsidR="00DB55DA" w:rsidRPr="00DB55DA" w:rsidRDefault="00DB55DA" w:rsidP="00DB55DA">
            <w:pPr>
              <w:spacing w:after="0" w:line="240" w:lineRule="auto"/>
              <w:jc w:val="center"/>
              <w:rPr>
                <w:rFonts w:eastAsia="Times New Roman" w:cstheme="minorHAnsi"/>
                <w:color w:val="000000"/>
                <w:sz w:val="20"/>
                <w:szCs w:val="20"/>
                <w:lang w:eastAsia="en-IE"/>
              </w:rPr>
            </w:pPr>
            <w:r w:rsidRPr="00DB55DA">
              <w:rPr>
                <w:rFonts w:eastAsia="Times New Roman" w:cstheme="minorHAnsi"/>
                <w:color w:val="000000"/>
                <w:sz w:val="20"/>
                <w:szCs w:val="20"/>
                <w:lang w:eastAsia="en-IE"/>
              </w:rPr>
              <w:t>93</w:t>
            </w:r>
          </w:p>
        </w:tc>
      </w:tr>
      <w:tr w:rsidR="008508A2" w:rsidRPr="00B97E75" w:rsidTr="009216D3">
        <w:trPr>
          <w:gridBefore w:val="1"/>
          <w:gridAfter w:val="2"/>
          <w:wBefore w:w="9" w:type="dxa"/>
          <w:wAfter w:w="2389" w:type="dxa"/>
          <w:trHeight w:val="315"/>
        </w:trPr>
        <w:tc>
          <w:tcPr>
            <w:tcW w:w="582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508A2" w:rsidRPr="00B97E75" w:rsidRDefault="00EC46DC" w:rsidP="000953A0">
            <w:pPr>
              <w:spacing w:after="0" w:line="240" w:lineRule="auto"/>
              <w:rPr>
                <w:rFonts w:eastAsia="Times New Roman" w:cstheme="minorHAnsi"/>
                <w:b/>
                <w:bCs/>
                <w:color w:val="000000"/>
                <w:lang w:eastAsia="en-IE"/>
              </w:rPr>
            </w:pPr>
            <w:r>
              <w:rPr>
                <w:rFonts w:eastAsia="Times New Roman" w:cstheme="minorHAnsi"/>
                <w:b/>
                <w:bCs/>
                <w:color w:val="000000"/>
                <w:lang w:eastAsia="en-IE"/>
              </w:rPr>
              <w:lastRenderedPageBreak/>
              <w:t xml:space="preserve">UFW </w:t>
            </w:r>
            <w:r w:rsidR="008508A2" w:rsidRPr="00B97E75">
              <w:rPr>
                <w:rFonts w:eastAsia="Times New Roman" w:cstheme="minorHAnsi"/>
                <w:b/>
                <w:bCs/>
                <w:color w:val="000000"/>
                <w:lang w:eastAsia="en-IE"/>
              </w:rPr>
              <w:t>Percentage of Total Volume of Water Supplied &amp; Percentage Drinking Water in Compliance with Statutory Requirements</w:t>
            </w:r>
          </w:p>
        </w:tc>
      </w:tr>
      <w:tr w:rsidR="008508A2" w:rsidRPr="00B97E75" w:rsidTr="009216D3">
        <w:trPr>
          <w:gridBefore w:val="1"/>
          <w:gridAfter w:val="2"/>
          <w:wBefore w:w="9" w:type="dxa"/>
          <w:wAfter w:w="2389" w:type="dxa"/>
          <w:trHeight w:val="315"/>
        </w:trPr>
        <w:tc>
          <w:tcPr>
            <w:tcW w:w="4263" w:type="dxa"/>
            <w:gridSpan w:val="3"/>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8508A2" w:rsidRPr="00B97E75" w:rsidRDefault="008508A2" w:rsidP="004A5B7A">
            <w:pPr>
              <w:spacing w:after="0" w:line="240" w:lineRule="auto"/>
              <w:rPr>
                <w:rFonts w:eastAsia="Times New Roman" w:cstheme="minorHAnsi"/>
                <w:color w:val="000000"/>
                <w:lang w:eastAsia="en-IE"/>
              </w:rPr>
            </w:pPr>
            <w:r w:rsidRPr="00B97E75">
              <w:rPr>
                <w:rFonts w:eastAsia="Times New Roman" w:cstheme="minorHAnsi"/>
                <w:color w:val="000000"/>
                <w:lang w:eastAsia="en-IE"/>
              </w:rPr>
              <w:t>Unaccounted for water as percentage of total vol</w:t>
            </w:r>
            <w:r w:rsidR="004A5B7A">
              <w:rPr>
                <w:rFonts w:eastAsia="Times New Roman" w:cstheme="minorHAnsi"/>
                <w:color w:val="000000"/>
                <w:lang w:eastAsia="en-IE"/>
              </w:rPr>
              <w:t>ume</w:t>
            </w:r>
            <w:r w:rsidRPr="00B97E75">
              <w:rPr>
                <w:rFonts w:eastAsia="Times New Roman" w:cstheme="minorHAnsi"/>
                <w:color w:val="000000"/>
                <w:lang w:eastAsia="en-IE"/>
              </w:rPr>
              <w:t xml:space="preserve"> of water supplied</w:t>
            </w:r>
            <w:r w:rsidR="000953A0">
              <w:rPr>
                <w:rFonts w:eastAsia="Times New Roman" w:cstheme="minorHAnsi"/>
                <w:color w:val="000000"/>
                <w:lang w:eastAsia="en-IE"/>
              </w:rPr>
              <w:t xml:space="preserve"> Jan – June 2015</w:t>
            </w:r>
          </w:p>
        </w:tc>
        <w:tc>
          <w:tcPr>
            <w:tcW w:w="1559" w:type="dxa"/>
            <w:gridSpan w:val="2"/>
            <w:tcBorders>
              <w:top w:val="nil"/>
              <w:left w:val="nil"/>
              <w:bottom w:val="single" w:sz="8" w:space="0" w:color="auto"/>
              <w:right w:val="single" w:sz="8" w:space="0" w:color="auto"/>
            </w:tcBorders>
            <w:shd w:val="clear" w:color="auto" w:fill="B6DDE8" w:themeFill="accent5" w:themeFillTint="66"/>
            <w:vAlign w:val="center"/>
            <w:hideMark/>
          </w:tcPr>
          <w:p w:rsidR="008508A2" w:rsidRPr="00B97E75" w:rsidRDefault="008508A2" w:rsidP="0082378C">
            <w:pPr>
              <w:spacing w:after="0" w:line="240" w:lineRule="auto"/>
              <w:rPr>
                <w:rFonts w:eastAsia="Times New Roman" w:cstheme="minorHAnsi"/>
                <w:b/>
                <w:bCs/>
                <w:color w:val="000000"/>
                <w:lang w:eastAsia="en-IE"/>
              </w:rPr>
            </w:pPr>
          </w:p>
        </w:tc>
      </w:tr>
      <w:tr w:rsidR="008508A2" w:rsidRPr="00B97E75" w:rsidTr="009216D3">
        <w:trPr>
          <w:gridBefore w:val="1"/>
          <w:gridAfter w:val="2"/>
          <w:wBefore w:w="9" w:type="dxa"/>
          <w:wAfter w:w="2389" w:type="dxa"/>
          <w:trHeight w:val="315"/>
        </w:trPr>
        <w:tc>
          <w:tcPr>
            <w:tcW w:w="2460" w:type="dxa"/>
            <w:gridSpan w:val="2"/>
            <w:tcBorders>
              <w:top w:val="nil"/>
              <w:left w:val="single" w:sz="8" w:space="0" w:color="auto"/>
              <w:bottom w:val="single" w:sz="8" w:space="0" w:color="auto"/>
              <w:right w:val="single" w:sz="8" w:space="0" w:color="auto"/>
            </w:tcBorders>
            <w:shd w:val="clear" w:color="auto" w:fill="auto"/>
            <w:vAlign w:val="center"/>
            <w:hideMark/>
          </w:tcPr>
          <w:p w:rsidR="008508A2" w:rsidRPr="00B97E75" w:rsidRDefault="008508A2"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1803" w:type="dxa"/>
            <w:tcBorders>
              <w:top w:val="nil"/>
              <w:left w:val="nil"/>
              <w:bottom w:val="single" w:sz="8" w:space="0" w:color="auto"/>
              <w:right w:val="nil"/>
            </w:tcBorders>
            <w:shd w:val="clear" w:color="auto" w:fill="auto"/>
            <w:vAlign w:val="center"/>
            <w:hideMark/>
          </w:tcPr>
          <w:p w:rsidR="008508A2" w:rsidRPr="00B97E75" w:rsidRDefault="008508A2"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559" w:type="dxa"/>
            <w:gridSpan w:val="2"/>
            <w:tcBorders>
              <w:top w:val="nil"/>
              <w:left w:val="single" w:sz="8" w:space="0" w:color="auto"/>
              <w:bottom w:val="single" w:sz="8" w:space="0" w:color="auto"/>
              <w:right w:val="single" w:sz="8" w:space="0" w:color="auto"/>
            </w:tcBorders>
            <w:shd w:val="clear" w:color="auto" w:fill="auto"/>
            <w:vAlign w:val="center"/>
            <w:hideMark/>
          </w:tcPr>
          <w:p w:rsidR="008508A2" w:rsidRPr="00B97E75" w:rsidRDefault="008508A2"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31</w:t>
            </w:r>
          </w:p>
        </w:tc>
      </w:tr>
      <w:tr w:rsidR="008508A2" w:rsidRPr="00B97E75" w:rsidTr="009216D3">
        <w:trPr>
          <w:gridBefore w:val="1"/>
          <w:gridAfter w:val="2"/>
          <w:wBefore w:w="9" w:type="dxa"/>
          <w:wAfter w:w="2389" w:type="dxa"/>
          <w:trHeight w:val="315"/>
        </w:trPr>
        <w:tc>
          <w:tcPr>
            <w:tcW w:w="2460" w:type="dxa"/>
            <w:gridSpan w:val="2"/>
            <w:tcBorders>
              <w:top w:val="nil"/>
              <w:left w:val="single" w:sz="8" w:space="0" w:color="auto"/>
              <w:bottom w:val="single" w:sz="8" w:space="0" w:color="auto"/>
              <w:right w:val="single" w:sz="8" w:space="0" w:color="auto"/>
            </w:tcBorders>
            <w:shd w:val="clear" w:color="auto" w:fill="auto"/>
            <w:vAlign w:val="center"/>
            <w:hideMark/>
          </w:tcPr>
          <w:p w:rsidR="008508A2" w:rsidRPr="00B97E75" w:rsidRDefault="008508A2"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803" w:type="dxa"/>
            <w:tcBorders>
              <w:top w:val="nil"/>
              <w:left w:val="nil"/>
              <w:bottom w:val="single" w:sz="8" w:space="0" w:color="auto"/>
              <w:right w:val="nil"/>
            </w:tcBorders>
            <w:shd w:val="clear" w:color="auto" w:fill="auto"/>
            <w:vAlign w:val="center"/>
            <w:hideMark/>
          </w:tcPr>
          <w:p w:rsidR="008508A2" w:rsidRPr="00B97E75" w:rsidRDefault="008508A2"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559" w:type="dxa"/>
            <w:gridSpan w:val="2"/>
            <w:tcBorders>
              <w:top w:val="nil"/>
              <w:left w:val="single" w:sz="8" w:space="0" w:color="auto"/>
              <w:bottom w:val="single" w:sz="8" w:space="0" w:color="auto"/>
              <w:right w:val="single" w:sz="8" w:space="0" w:color="auto"/>
            </w:tcBorders>
            <w:shd w:val="clear" w:color="auto" w:fill="auto"/>
            <w:vAlign w:val="center"/>
            <w:hideMark/>
          </w:tcPr>
          <w:p w:rsidR="008508A2" w:rsidRPr="00B97E75" w:rsidRDefault="008508A2"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0</w:t>
            </w:r>
          </w:p>
        </w:tc>
      </w:tr>
      <w:tr w:rsidR="008508A2" w:rsidRPr="00B97E75" w:rsidTr="009216D3">
        <w:trPr>
          <w:gridBefore w:val="1"/>
          <w:gridAfter w:val="2"/>
          <w:wBefore w:w="9" w:type="dxa"/>
          <w:wAfter w:w="2389" w:type="dxa"/>
          <w:trHeight w:val="315"/>
        </w:trPr>
        <w:tc>
          <w:tcPr>
            <w:tcW w:w="2460" w:type="dxa"/>
            <w:gridSpan w:val="2"/>
            <w:tcBorders>
              <w:top w:val="nil"/>
              <w:left w:val="single" w:sz="8" w:space="0" w:color="auto"/>
              <w:bottom w:val="single" w:sz="8" w:space="0" w:color="auto"/>
              <w:right w:val="single" w:sz="8" w:space="0" w:color="auto"/>
            </w:tcBorders>
            <w:shd w:val="clear" w:color="auto" w:fill="auto"/>
            <w:vAlign w:val="center"/>
            <w:hideMark/>
          </w:tcPr>
          <w:p w:rsidR="008508A2" w:rsidRPr="00B97E75" w:rsidRDefault="008508A2" w:rsidP="0082378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1803" w:type="dxa"/>
            <w:tcBorders>
              <w:top w:val="nil"/>
              <w:left w:val="nil"/>
              <w:bottom w:val="single" w:sz="8" w:space="0" w:color="auto"/>
              <w:right w:val="nil"/>
            </w:tcBorders>
            <w:shd w:val="clear" w:color="auto" w:fill="auto"/>
            <w:vAlign w:val="center"/>
            <w:hideMark/>
          </w:tcPr>
          <w:p w:rsidR="008508A2" w:rsidRPr="00B97E75" w:rsidRDefault="008508A2" w:rsidP="0082378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559" w:type="dxa"/>
            <w:gridSpan w:val="2"/>
            <w:tcBorders>
              <w:top w:val="nil"/>
              <w:left w:val="single" w:sz="8" w:space="0" w:color="auto"/>
              <w:bottom w:val="single" w:sz="8" w:space="0" w:color="auto"/>
              <w:right w:val="single" w:sz="8" w:space="0" w:color="auto"/>
            </w:tcBorders>
            <w:shd w:val="clear" w:color="auto" w:fill="auto"/>
            <w:vAlign w:val="center"/>
            <w:hideMark/>
          </w:tcPr>
          <w:p w:rsidR="008508A2" w:rsidRPr="00B97E75" w:rsidRDefault="00545C34" w:rsidP="0082378C">
            <w:pPr>
              <w:spacing w:after="0" w:line="240" w:lineRule="auto"/>
              <w:rPr>
                <w:rFonts w:eastAsia="Times New Roman" w:cstheme="minorHAnsi"/>
                <w:b/>
                <w:bCs/>
                <w:color w:val="000000"/>
                <w:lang w:eastAsia="en-IE"/>
              </w:rPr>
            </w:pPr>
            <w:r>
              <w:rPr>
                <w:rFonts w:eastAsia="Times New Roman" w:cstheme="minorHAnsi"/>
                <w:b/>
                <w:bCs/>
                <w:color w:val="000000"/>
                <w:lang w:eastAsia="en-IE"/>
              </w:rPr>
              <w:t>48</w:t>
            </w:r>
          </w:p>
        </w:tc>
      </w:tr>
      <w:tr w:rsidR="008508A2" w:rsidRPr="00B97E75" w:rsidTr="009216D3">
        <w:trPr>
          <w:gridBefore w:val="1"/>
          <w:gridAfter w:val="2"/>
          <w:wBefore w:w="9" w:type="dxa"/>
          <w:wAfter w:w="2389" w:type="dxa"/>
          <w:trHeight w:val="315"/>
        </w:trPr>
        <w:tc>
          <w:tcPr>
            <w:tcW w:w="2460" w:type="dxa"/>
            <w:gridSpan w:val="2"/>
            <w:tcBorders>
              <w:top w:val="nil"/>
              <w:left w:val="single" w:sz="8" w:space="0" w:color="auto"/>
              <w:bottom w:val="single" w:sz="8" w:space="0" w:color="auto"/>
              <w:right w:val="single" w:sz="8" w:space="0" w:color="auto"/>
            </w:tcBorders>
            <w:shd w:val="clear" w:color="auto" w:fill="auto"/>
            <w:vAlign w:val="center"/>
            <w:hideMark/>
          </w:tcPr>
          <w:p w:rsidR="008508A2" w:rsidRPr="00B97E75" w:rsidRDefault="008508A2"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803" w:type="dxa"/>
            <w:tcBorders>
              <w:top w:val="nil"/>
              <w:left w:val="nil"/>
              <w:bottom w:val="single" w:sz="8" w:space="0" w:color="auto"/>
              <w:right w:val="nil"/>
            </w:tcBorders>
            <w:shd w:val="clear" w:color="auto" w:fill="auto"/>
            <w:vAlign w:val="center"/>
            <w:hideMark/>
          </w:tcPr>
          <w:p w:rsidR="008508A2" w:rsidRPr="00B97E75" w:rsidRDefault="008508A2"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559" w:type="dxa"/>
            <w:gridSpan w:val="2"/>
            <w:tcBorders>
              <w:top w:val="nil"/>
              <w:left w:val="single" w:sz="8" w:space="0" w:color="auto"/>
              <w:bottom w:val="single" w:sz="8" w:space="0" w:color="auto"/>
              <w:right w:val="single" w:sz="8" w:space="0" w:color="auto"/>
            </w:tcBorders>
            <w:shd w:val="clear" w:color="auto" w:fill="auto"/>
            <w:vAlign w:val="center"/>
            <w:hideMark/>
          </w:tcPr>
          <w:p w:rsidR="008508A2" w:rsidRPr="00B97E75" w:rsidRDefault="00545C34" w:rsidP="0082378C">
            <w:pPr>
              <w:spacing w:after="0" w:line="240" w:lineRule="auto"/>
              <w:rPr>
                <w:rFonts w:eastAsia="Times New Roman" w:cstheme="minorHAnsi"/>
                <w:color w:val="000000"/>
                <w:lang w:eastAsia="en-IE"/>
              </w:rPr>
            </w:pPr>
            <w:r>
              <w:rPr>
                <w:rFonts w:eastAsia="Times New Roman" w:cstheme="minorHAnsi"/>
                <w:color w:val="000000"/>
                <w:lang w:eastAsia="en-IE"/>
              </w:rPr>
              <w:t>46.7</w:t>
            </w:r>
          </w:p>
        </w:tc>
      </w:tr>
      <w:tr w:rsidR="008508A2" w:rsidRPr="00B97E75" w:rsidTr="009216D3">
        <w:trPr>
          <w:gridBefore w:val="1"/>
          <w:gridAfter w:val="2"/>
          <w:wBefore w:w="9" w:type="dxa"/>
          <w:wAfter w:w="2389" w:type="dxa"/>
          <w:trHeight w:val="315"/>
        </w:trPr>
        <w:tc>
          <w:tcPr>
            <w:tcW w:w="4263" w:type="dxa"/>
            <w:gridSpan w:val="3"/>
            <w:tcBorders>
              <w:top w:val="single" w:sz="8" w:space="0" w:color="auto"/>
              <w:left w:val="single" w:sz="8" w:space="0" w:color="auto"/>
              <w:bottom w:val="single" w:sz="8" w:space="0" w:color="auto"/>
              <w:right w:val="nil"/>
            </w:tcBorders>
            <w:shd w:val="clear" w:color="auto" w:fill="B6DDE8" w:themeFill="accent5" w:themeFillTint="66"/>
            <w:vAlign w:val="center"/>
            <w:hideMark/>
          </w:tcPr>
          <w:p w:rsidR="008508A2" w:rsidRPr="00B97E75" w:rsidRDefault="00B81B71" w:rsidP="0082378C">
            <w:pPr>
              <w:spacing w:after="0" w:line="240" w:lineRule="auto"/>
              <w:rPr>
                <w:rFonts w:eastAsia="Times New Roman" w:cstheme="minorHAnsi"/>
                <w:color w:val="000000"/>
                <w:lang w:eastAsia="en-IE"/>
              </w:rPr>
            </w:pPr>
            <w:r>
              <w:rPr>
                <w:rFonts w:eastAsia="Times New Roman" w:cstheme="minorHAnsi"/>
                <w:color w:val="000000"/>
                <w:lang w:eastAsia="en-IE"/>
              </w:rPr>
              <w:t>Percentage of Public Drinking Water Supplies in Compliance with Statutory requirements in 2013</w:t>
            </w:r>
          </w:p>
        </w:tc>
        <w:tc>
          <w:tcPr>
            <w:tcW w:w="1559" w:type="dxa"/>
            <w:gridSpan w:val="2"/>
            <w:tcBorders>
              <w:top w:val="nil"/>
              <w:left w:val="single" w:sz="8" w:space="0" w:color="auto"/>
              <w:bottom w:val="single" w:sz="8" w:space="0" w:color="auto"/>
              <w:right w:val="single" w:sz="8" w:space="0" w:color="auto"/>
            </w:tcBorders>
            <w:shd w:val="clear" w:color="auto" w:fill="B6DDE8" w:themeFill="accent5" w:themeFillTint="66"/>
            <w:vAlign w:val="center"/>
            <w:hideMark/>
          </w:tcPr>
          <w:p w:rsidR="008508A2" w:rsidRPr="00B97E75" w:rsidRDefault="008508A2" w:rsidP="0082378C">
            <w:pPr>
              <w:spacing w:after="0" w:line="240" w:lineRule="auto"/>
              <w:rPr>
                <w:rFonts w:eastAsia="Times New Roman" w:cstheme="minorHAnsi"/>
                <w:b/>
                <w:bCs/>
                <w:color w:val="000000"/>
                <w:lang w:eastAsia="en-IE"/>
              </w:rPr>
            </w:pPr>
          </w:p>
        </w:tc>
      </w:tr>
      <w:tr w:rsidR="008508A2" w:rsidRPr="00B97E75" w:rsidTr="009216D3">
        <w:trPr>
          <w:gridBefore w:val="1"/>
          <w:gridAfter w:val="2"/>
          <w:wBefore w:w="9" w:type="dxa"/>
          <w:wAfter w:w="2389" w:type="dxa"/>
          <w:trHeight w:val="315"/>
        </w:trPr>
        <w:tc>
          <w:tcPr>
            <w:tcW w:w="2460" w:type="dxa"/>
            <w:gridSpan w:val="2"/>
            <w:tcBorders>
              <w:top w:val="nil"/>
              <w:left w:val="single" w:sz="8" w:space="0" w:color="auto"/>
              <w:bottom w:val="single" w:sz="8" w:space="0" w:color="auto"/>
              <w:right w:val="single" w:sz="8" w:space="0" w:color="auto"/>
            </w:tcBorders>
            <w:shd w:val="clear" w:color="auto" w:fill="auto"/>
            <w:vAlign w:val="center"/>
            <w:hideMark/>
          </w:tcPr>
          <w:p w:rsidR="008508A2" w:rsidRPr="00B97E75" w:rsidRDefault="008508A2"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1803" w:type="dxa"/>
            <w:tcBorders>
              <w:top w:val="nil"/>
              <w:left w:val="nil"/>
              <w:bottom w:val="single" w:sz="8" w:space="0" w:color="auto"/>
              <w:right w:val="nil"/>
            </w:tcBorders>
            <w:shd w:val="clear" w:color="auto" w:fill="auto"/>
            <w:vAlign w:val="center"/>
            <w:hideMark/>
          </w:tcPr>
          <w:p w:rsidR="008508A2" w:rsidRPr="00B97E75" w:rsidRDefault="008508A2"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559" w:type="dxa"/>
            <w:gridSpan w:val="2"/>
            <w:tcBorders>
              <w:top w:val="nil"/>
              <w:left w:val="single" w:sz="8" w:space="0" w:color="auto"/>
              <w:bottom w:val="single" w:sz="8" w:space="0" w:color="auto"/>
              <w:right w:val="single" w:sz="8" w:space="0" w:color="auto"/>
            </w:tcBorders>
            <w:shd w:val="clear" w:color="auto" w:fill="auto"/>
            <w:vAlign w:val="center"/>
            <w:hideMark/>
          </w:tcPr>
          <w:p w:rsidR="008508A2" w:rsidRPr="00B97E75" w:rsidRDefault="008508A2"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31</w:t>
            </w:r>
          </w:p>
        </w:tc>
      </w:tr>
      <w:tr w:rsidR="008508A2" w:rsidRPr="00B97E75" w:rsidTr="009216D3">
        <w:trPr>
          <w:gridBefore w:val="1"/>
          <w:gridAfter w:val="2"/>
          <w:wBefore w:w="9" w:type="dxa"/>
          <w:wAfter w:w="2389" w:type="dxa"/>
          <w:trHeight w:val="315"/>
        </w:trPr>
        <w:tc>
          <w:tcPr>
            <w:tcW w:w="2460" w:type="dxa"/>
            <w:gridSpan w:val="2"/>
            <w:tcBorders>
              <w:top w:val="nil"/>
              <w:left w:val="single" w:sz="8" w:space="0" w:color="auto"/>
              <w:bottom w:val="single" w:sz="8" w:space="0" w:color="auto"/>
              <w:right w:val="single" w:sz="8" w:space="0" w:color="auto"/>
            </w:tcBorders>
            <w:shd w:val="clear" w:color="auto" w:fill="auto"/>
            <w:vAlign w:val="center"/>
            <w:hideMark/>
          </w:tcPr>
          <w:p w:rsidR="008508A2" w:rsidRPr="00B97E75" w:rsidRDefault="008508A2"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803" w:type="dxa"/>
            <w:tcBorders>
              <w:top w:val="nil"/>
              <w:left w:val="nil"/>
              <w:bottom w:val="single" w:sz="8" w:space="0" w:color="auto"/>
              <w:right w:val="nil"/>
            </w:tcBorders>
            <w:shd w:val="clear" w:color="auto" w:fill="auto"/>
            <w:vAlign w:val="center"/>
            <w:hideMark/>
          </w:tcPr>
          <w:p w:rsidR="008508A2" w:rsidRPr="00B97E75" w:rsidRDefault="008508A2"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559" w:type="dxa"/>
            <w:gridSpan w:val="2"/>
            <w:tcBorders>
              <w:top w:val="nil"/>
              <w:left w:val="single" w:sz="8" w:space="0" w:color="auto"/>
              <w:bottom w:val="single" w:sz="8" w:space="0" w:color="auto"/>
              <w:right w:val="single" w:sz="8" w:space="0" w:color="auto"/>
            </w:tcBorders>
            <w:shd w:val="clear" w:color="auto" w:fill="auto"/>
            <w:vAlign w:val="center"/>
            <w:hideMark/>
          </w:tcPr>
          <w:p w:rsidR="008508A2" w:rsidRPr="00B97E75" w:rsidRDefault="008508A2"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0</w:t>
            </w:r>
          </w:p>
        </w:tc>
      </w:tr>
      <w:tr w:rsidR="008508A2" w:rsidRPr="00B97E75" w:rsidTr="009216D3">
        <w:trPr>
          <w:gridBefore w:val="1"/>
          <w:gridAfter w:val="2"/>
          <w:wBefore w:w="9" w:type="dxa"/>
          <w:wAfter w:w="2389" w:type="dxa"/>
          <w:trHeight w:val="315"/>
        </w:trPr>
        <w:tc>
          <w:tcPr>
            <w:tcW w:w="2460" w:type="dxa"/>
            <w:gridSpan w:val="2"/>
            <w:tcBorders>
              <w:top w:val="nil"/>
              <w:left w:val="single" w:sz="8" w:space="0" w:color="auto"/>
              <w:bottom w:val="single" w:sz="8" w:space="0" w:color="auto"/>
              <w:right w:val="single" w:sz="8" w:space="0" w:color="auto"/>
            </w:tcBorders>
            <w:shd w:val="clear" w:color="auto" w:fill="auto"/>
            <w:vAlign w:val="center"/>
            <w:hideMark/>
          </w:tcPr>
          <w:p w:rsidR="008508A2" w:rsidRPr="00B97E75" w:rsidRDefault="008508A2" w:rsidP="0082378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1803" w:type="dxa"/>
            <w:tcBorders>
              <w:top w:val="nil"/>
              <w:left w:val="nil"/>
              <w:bottom w:val="single" w:sz="8" w:space="0" w:color="auto"/>
              <w:right w:val="single" w:sz="8" w:space="0" w:color="auto"/>
            </w:tcBorders>
            <w:shd w:val="clear" w:color="auto" w:fill="auto"/>
            <w:vAlign w:val="center"/>
            <w:hideMark/>
          </w:tcPr>
          <w:p w:rsidR="008508A2" w:rsidRPr="00B97E75" w:rsidRDefault="008508A2" w:rsidP="0082378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559" w:type="dxa"/>
            <w:gridSpan w:val="2"/>
            <w:tcBorders>
              <w:top w:val="nil"/>
              <w:left w:val="nil"/>
              <w:bottom w:val="single" w:sz="8" w:space="0" w:color="auto"/>
              <w:right w:val="single" w:sz="8" w:space="0" w:color="auto"/>
            </w:tcBorders>
            <w:shd w:val="clear" w:color="auto" w:fill="auto"/>
            <w:vAlign w:val="center"/>
            <w:hideMark/>
          </w:tcPr>
          <w:p w:rsidR="008508A2" w:rsidRPr="00B97E75" w:rsidRDefault="008508A2" w:rsidP="0082378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99.40</w:t>
            </w:r>
          </w:p>
        </w:tc>
      </w:tr>
      <w:tr w:rsidR="008508A2" w:rsidRPr="00B97E75" w:rsidTr="009216D3">
        <w:trPr>
          <w:gridBefore w:val="1"/>
          <w:gridAfter w:val="2"/>
          <w:wBefore w:w="9" w:type="dxa"/>
          <w:wAfter w:w="2389" w:type="dxa"/>
          <w:trHeight w:val="315"/>
        </w:trPr>
        <w:tc>
          <w:tcPr>
            <w:tcW w:w="2460" w:type="dxa"/>
            <w:gridSpan w:val="2"/>
            <w:tcBorders>
              <w:top w:val="nil"/>
              <w:left w:val="single" w:sz="8" w:space="0" w:color="auto"/>
              <w:bottom w:val="single" w:sz="8" w:space="0" w:color="auto"/>
              <w:right w:val="single" w:sz="8" w:space="0" w:color="auto"/>
            </w:tcBorders>
            <w:shd w:val="clear" w:color="auto" w:fill="auto"/>
            <w:vAlign w:val="center"/>
            <w:hideMark/>
          </w:tcPr>
          <w:p w:rsidR="008508A2" w:rsidRPr="00B97E75" w:rsidRDefault="008508A2"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803" w:type="dxa"/>
            <w:tcBorders>
              <w:top w:val="nil"/>
              <w:left w:val="nil"/>
              <w:bottom w:val="single" w:sz="8" w:space="0" w:color="auto"/>
              <w:right w:val="single" w:sz="8" w:space="0" w:color="auto"/>
            </w:tcBorders>
            <w:shd w:val="clear" w:color="auto" w:fill="auto"/>
            <w:vAlign w:val="center"/>
            <w:hideMark/>
          </w:tcPr>
          <w:p w:rsidR="008508A2" w:rsidRPr="00B97E75" w:rsidRDefault="008508A2"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559" w:type="dxa"/>
            <w:gridSpan w:val="2"/>
            <w:tcBorders>
              <w:top w:val="nil"/>
              <w:left w:val="nil"/>
              <w:bottom w:val="single" w:sz="8" w:space="0" w:color="auto"/>
              <w:right w:val="single" w:sz="8" w:space="0" w:color="auto"/>
            </w:tcBorders>
            <w:shd w:val="clear" w:color="auto" w:fill="auto"/>
            <w:vAlign w:val="center"/>
            <w:hideMark/>
          </w:tcPr>
          <w:p w:rsidR="008508A2" w:rsidRPr="00B97E75" w:rsidRDefault="008508A2"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98.89</w:t>
            </w:r>
          </w:p>
        </w:tc>
      </w:tr>
      <w:tr w:rsidR="008508A2" w:rsidRPr="00B97E75" w:rsidTr="009216D3">
        <w:trPr>
          <w:gridBefore w:val="1"/>
          <w:gridAfter w:val="2"/>
          <w:wBefore w:w="9" w:type="dxa"/>
          <w:wAfter w:w="2389" w:type="dxa"/>
          <w:trHeight w:val="315"/>
        </w:trPr>
        <w:tc>
          <w:tcPr>
            <w:tcW w:w="4263" w:type="dxa"/>
            <w:gridSpan w:val="3"/>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8508A2" w:rsidRPr="00B97E75" w:rsidRDefault="00B81B71" w:rsidP="0082378C">
            <w:pPr>
              <w:spacing w:after="0" w:line="240" w:lineRule="auto"/>
              <w:rPr>
                <w:rFonts w:eastAsia="Times New Roman" w:cstheme="minorHAnsi"/>
                <w:color w:val="000000"/>
                <w:lang w:eastAsia="en-IE"/>
              </w:rPr>
            </w:pPr>
            <w:r>
              <w:rPr>
                <w:rFonts w:eastAsia="Times New Roman" w:cstheme="minorHAnsi"/>
                <w:color w:val="000000"/>
                <w:lang w:eastAsia="en-IE"/>
              </w:rPr>
              <w:t>Pe</w:t>
            </w:r>
            <w:r w:rsidR="00303923">
              <w:rPr>
                <w:rFonts w:eastAsia="Times New Roman" w:cstheme="minorHAnsi"/>
                <w:color w:val="000000"/>
                <w:lang w:eastAsia="en-IE"/>
              </w:rPr>
              <w:t>rcentage of Private</w:t>
            </w:r>
            <w:r>
              <w:rPr>
                <w:rFonts w:eastAsia="Times New Roman" w:cstheme="minorHAnsi"/>
                <w:color w:val="000000"/>
                <w:lang w:eastAsia="en-IE"/>
              </w:rPr>
              <w:t xml:space="preserve"> Drinking Water Supplies in Compliance with Statutory requirements in 2013</w:t>
            </w:r>
          </w:p>
        </w:tc>
        <w:tc>
          <w:tcPr>
            <w:tcW w:w="1559" w:type="dxa"/>
            <w:gridSpan w:val="2"/>
            <w:tcBorders>
              <w:top w:val="nil"/>
              <w:left w:val="nil"/>
              <w:bottom w:val="single" w:sz="8" w:space="0" w:color="auto"/>
              <w:right w:val="single" w:sz="8" w:space="0" w:color="auto"/>
            </w:tcBorders>
            <w:shd w:val="clear" w:color="auto" w:fill="B6DDE8" w:themeFill="accent5" w:themeFillTint="66"/>
            <w:vAlign w:val="center"/>
            <w:hideMark/>
          </w:tcPr>
          <w:p w:rsidR="008508A2" w:rsidRPr="00B97E75" w:rsidRDefault="008508A2" w:rsidP="0082378C">
            <w:pPr>
              <w:spacing w:after="0" w:line="240" w:lineRule="auto"/>
              <w:rPr>
                <w:rFonts w:eastAsia="Times New Roman" w:cstheme="minorHAnsi"/>
                <w:b/>
                <w:bCs/>
                <w:color w:val="000000"/>
                <w:lang w:eastAsia="en-IE"/>
              </w:rPr>
            </w:pPr>
          </w:p>
        </w:tc>
      </w:tr>
      <w:tr w:rsidR="008508A2" w:rsidRPr="00B97E75" w:rsidTr="009216D3">
        <w:trPr>
          <w:gridBefore w:val="1"/>
          <w:gridAfter w:val="2"/>
          <w:wBefore w:w="9" w:type="dxa"/>
          <w:wAfter w:w="2389" w:type="dxa"/>
          <w:trHeight w:val="315"/>
        </w:trPr>
        <w:tc>
          <w:tcPr>
            <w:tcW w:w="2460" w:type="dxa"/>
            <w:gridSpan w:val="2"/>
            <w:tcBorders>
              <w:top w:val="nil"/>
              <w:left w:val="single" w:sz="8" w:space="0" w:color="auto"/>
              <w:bottom w:val="single" w:sz="8" w:space="0" w:color="auto"/>
              <w:right w:val="single" w:sz="8" w:space="0" w:color="auto"/>
            </w:tcBorders>
            <w:shd w:val="clear" w:color="auto" w:fill="auto"/>
            <w:vAlign w:val="center"/>
            <w:hideMark/>
          </w:tcPr>
          <w:p w:rsidR="008508A2" w:rsidRPr="00B97E75" w:rsidRDefault="008508A2"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1803" w:type="dxa"/>
            <w:tcBorders>
              <w:top w:val="nil"/>
              <w:left w:val="nil"/>
              <w:bottom w:val="single" w:sz="8" w:space="0" w:color="auto"/>
              <w:right w:val="single" w:sz="8" w:space="0" w:color="auto"/>
            </w:tcBorders>
            <w:shd w:val="clear" w:color="auto" w:fill="auto"/>
            <w:vAlign w:val="center"/>
            <w:hideMark/>
          </w:tcPr>
          <w:p w:rsidR="008508A2" w:rsidRPr="00B97E75" w:rsidRDefault="008508A2"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559" w:type="dxa"/>
            <w:gridSpan w:val="2"/>
            <w:tcBorders>
              <w:top w:val="nil"/>
              <w:left w:val="nil"/>
              <w:bottom w:val="single" w:sz="8" w:space="0" w:color="auto"/>
              <w:right w:val="single" w:sz="8" w:space="0" w:color="auto"/>
            </w:tcBorders>
            <w:shd w:val="clear" w:color="auto" w:fill="auto"/>
            <w:vAlign w:val="center"/>
            <w:hideMark/>
          </w:tcPr>
          <w:p w:rsidR="008508A2" w:rsidRPr="00B97E75" w:rsidRDefault="008508A2"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27</w:t>
            </w:r>
          </w:p>
        </w:tc>
      </w:tr>
      <w:tr w:rsidR="008508A2" w:rsidRPr="00B97E75" w:rsidTr="009216D3">
        <w:trPr>
          <w:gridBefore w:val="1"/>
          <w:gridAfter w:val="2"/>
          <w:wBefore w:w="9" w:type="dxa"/>
          <w:wAfter w:w="2389" w:type="dxa"/>
          <w:trHeight w:val="315"/>
        </w:trPr>
        <w:tc>
          <w:tcPr>
            <w:tcW w:w="2460" w:type="dxa"/>
            <w:gridSpan w:val="2"/>
            <w:tcBorders>
              <w:top w:val="nil"/>
              <w:left w:val="single" w:sz="8" w:space="0" w:color="auto"/>
              <w:bottom w:val="single" w:sz="8" w:space="0" w:color="auto"/>
              <w:right w:val="single" w:sz="8" w:space="0" w:color="auto"/>
            </w:tcBorders>
            <w:shd w:val="clear" w:color="auto" w:fill="auto"/>
            <w:vAlign w:val="center"/>
            <w:hideMark/>
          </w:tcPr>
          <w:p w:rsidR="008508A2" w:rsidRPr="00B97E75" w:rsidRDefault="008508A2"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803" w:type="dxa"/>
            <w:tcBorders>
              <w:top w:val="nil"/>
              <w:left w:val="nil"/>
              <w:bottom w:val="single" w:sz="8" w:space="0" w:color="auto"/>
              <w:right w:val="single" w:sz="8" w:space="0" w:color="auto"/>
            </w:tcBorders>
            <w:shd w:val="clear" w:color="auto" w:fill="auto"/>
            <w:vAlign w:val="center"/>
            <w:hideMark/>
          </w:tcPr>
          <w:p w:rsidR="008508A2" w:rsidRPr="00B97E75" w:rsidRDefault="008508A2"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559" w:type="dxa"/>
            <w:gridSpan w:val="2"/>
            <w:tcBorders>
              <w:top w:val="nil"/>
              <w:left w:val="nil"/>
              <w:bottom w:val="single" w:sz="8" w:space="0" w:color="auto"/>
              <w:right w:val="single" w:sz="8" w:space="0" w:color="auto"/>
            </w:tcBorders>
            <w:shd w:val="clear" w:color="auto" w:fill="auto"/>
            <w:vAlign w:val="center"/>
            <w:hideMark/>
          </w:tcPr>
          <w:p w:rsidR="008508A2" w:rsidRPr="00B97E75" w:rsidRDefault="008508A2"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4</w:t>
            </w:r>
          </w:p>
        </w:tc>
      </w:tr>
      <w:tr w:rsidR="008508A2" w:rsidRPr="00B97E75" w:rsidTr="009216D3">
        <w:trPr>
          <w:gridBefore w:val="1"/>
          <w:gridAfter w:val="2"/>
          <w:wBefore w:w="9" w:type="dxa"/>
          <w:wAfter w:w="2389" w:type="dxa"/>
          <w:trHeight w:val="315"/>
        </w:trPr>
        <w:tc>
          <w:tcPr>
            <w:tcW w:w="2460" w:type="dxa"/>
            <w:gridSpan w:val="2"/>
            <w:tcBorders>
              <w:top w:val="nil"/>
              <w:left w:val="single" w:sz="8" w:space="0" w:color="auto"/>
              <w:bottom w:val="single" w:sz="8" w:space="0" w:color="auto"/>
              <w:right w:val="single" w:sz="8" w:space="0" w:color="auto"/>
            </w:tcBorders>
            <w:shd w:val="clear" w:color="auto" w:fill="auto"/>
            <w:vAlign w:val="center"/>
            <w:hideMark/>
          </w:tcPr>
          <w:p w:rsidR="008508A2" w:rsidRPr="00B97E75" w:rsidRDefault="008508A2" w:rsidP="0082378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1803" w:type="dxa"/>
            <w:tcBorders>
              <w:top w:val="nil"/>
              <w:left w:val="nil"/>
              <w:bottom w:val="single" w:sz="8" w:space="0" w:color="auto"/>
              <w:right w:val="single" w:sz="8" w:space="0" w:color="auto"/>
            </w:tcBorders>
            <w:shd w:val="clear" w:color="auto" w:fill="auto"/>
            <w:vAlign w:val="center"/>
            <w:hideMark/>
          </w:tcPr>
          <w:p w:rsidR="008508A2" w:rsidRPr="00B97E75" w:rsidRDefault="008508A2" w:rsidP="0082378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559" w:type="dxa"/>
            <w:gridSpan w:val="2"/>
            <w:tcBorders>
              <w:top w:val="nil"/>
              <w:left w:val="nil"/>
              <w:bottom w:val="single" w:sz="8" w:space="0" w:color="auto"/>
              <w:right w:val="single" w:sz="8" w:space="0" w:color="auto"/>
            </w:tcBorders>
            <w:shd w:val="clear" w:color="auto" w:fill="auto"/>
            <w:vAlign w:val="center"/>
            <w:hideMark/>
          </w:tcPr>
          <w:p w:rsidR="008508A2" w:rsidRPr="00B97E75" w:rsidRDefault="008508A2" w:rsidP="0082378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97.90</w:t>
            </w:r>
          </w:p>
        </w:tc>
      </w:tr>
      <w:tr w:rsidR="008508A2" w:rsidRPr="00B97E75" w:rsidTr="009216D3">
        <w:trPr>
          <w:gridBefore w:val="1"/>
          <w:gridAfter w:val="2"/>
          <w:wBefore w:w="9" w:type="dxa"/>
          <w:wAfter w:w="2389" w:type="dxa"/>
          <w:trHeight w:val="315"/>
        </w:trPr>
        <w:tc>
          <w:tcPr>
            <w:tcW w:w="2460" w:type="dxa"/>
            <w:gridSpan w:val="2"/>
            <w:tcBorders>
              <w:top w:val="nil"/>
              <w:left w:val="single" w:sz="8" w:space="0" w:color="auto"/>
              <w:bottom w:val="single" w:sz="8" w:space="0" w:color="auto"/>
              <w:right w:val="single" w:sz="8" w:space="0" w:color="auto"/>
            </w:tcBorders>
            <w:shd w:val="clear" w:color="auto" w:fill="auto"/>
            <w:vAlign w:val="center"/>
            <w:hideMark/>
          </w:tcPr>
          <w:p w:rsidR="008508A2" w:rsidRPr="00B97E75" w:rsidRDefault="008508A2"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803" w:type="dxa"/>
            <w:tcBorders>
              <w:top w:val="nil"/>
              <w:left w:val="nil"/>
              <w:bottom w:val="single" w:sz="8" w:space="0" w:color="auto"/>
              <w:right w:val="single" w:sz="8" w:space="0" w:color="auto"/>
            </w:tcBorders>
            <w:shd w:val="clear" w:color="auto" w:fill="auto"/>
            <w:vAlign w:val="center"/>
            <w:hideMark/>
          </w:tcPr>
          <w:p w:rsidR="008508A2" w:rsidRPr="00B97E75" w:rsidRDefault="008508A2"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559" w:type="dxa"/>
            <w:gridSpan w:val="2"/>
            <w:tcBorders>
              <w:top w:val="nil"/>
              <w:left w:val="nil"/>
              <w:bottom w:val="single" w:sz="8" w:space="0" w:color="auto"/>
              <w:right w:val="single" w:sz="8" w:space="0" w:color="auto"/>
            </w:tcBorders>
            <w:shd w:val="clear" w:color="auto" w:fill="auto"/>
            <w:vAlign w:val="center"/>
            <w:hideMark/>
          </w:tcPr>
          <w:p w:rsidR="008508A2" w:rsidRPr="00B97E75" w:rsidRDefault="008508A2"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96.80</w:t>
            </w:r>
          </w:p>
        </w:tc>
      </w:tr>
    </w:tbl>
    <w:p w:rsidR="008508A2" w:rsidRPr="00B97E75" w:rsidRDefault="008508A2" w:rsidP="00201EC9">
      <w:pPr>
        <w:rPr>
          <w:rFonts w:eastAsia="Times New Roman" w:cstheme="minorHAnsi"/>
          <w:b/>
          <w:color w:val="000000"/>
          <w:lang w:eastAsia="en-IE"/>
        </w:rPr>
      </w:pPr>
    </w:p>
    <w:p w:rsidR="005C14E3" w:rsidRPr="00B97E75" w:rsidRDefault="005C14E3" w:rsidP="00201EC9">
      <w:pPr>
        <w:rPr>
          <w:rFonts w:eastAsia="Times New Roman" w:cstheme="minorHAnsi"/>
          <w:b/>
          <w:color w:val="000000"/>
          <w:lang w:eastAsia="en-IE"/>
        </w:rPr>
      </w:pPr>
    </w:p>
    <w:p w:rsidR="005C14E3" w:rsidRDefault="005C14E3" w:rsidP="00201EC9">
      <w:pPr>
        <w:rPr>
          <w:rFonts w:eastAsia="Times New Roman" w:cstheme="minorHAnsi"/>
          <w:b/>
          <w:color w:val="000000"/>
          <w:lang w:eastAsia="en-IE"/>
        </w:rPr>
      </w:pPr>
    </w:p>
    <w:p w:rsidR="00595EA3" w:rsidRPr="00B97E75" w:rsidRDefault="00595EA3" w:rsidP="00201EC9">
      <w:pPr>
        <w:rPr>
          <w:rFonts w:eastAsia="Times New Roman" w:cstheme="minorHAnsi"/>
          <w:b/>
          <w:color w:val="000000"/>
          <w:lang w:eastAsia="en-IE"/>
        </w:rPr>
      </w:pPr>
    </w:p>
    <w:p w:rsidR="005C14E3" w:rsidRPr="00B97E75" w:rsidRDefault="005C14E3" w:rsidP="00201EC9">
      <w:pPr>
        <w:rPr>
          <w:rFonts w:eastAsia="Times New Roman" w:cstheme="minorHAnsi"/>
          <w:b/>
          <w:color w:val="000000"/>
          <w:lang w:eastAsia="en-IE"/>
        </w:rPr>
      </w:pPr>
    </w:p>
    <w:p w:rsidR="005C14E3" w:rsidRPr="00B97E75" w:rsidRDefault="005C14E3" w:rsidP="00201EC9">
      <w:pPr>
        <w:rPr>
          <w:rFonts w:eastAsia="Times New Roman" w:cstheme="minorHAnsi"/>
          <w:b/>
          <w:bCs/>
          <w:color w:val="000000"/>
          <w:lang w:eastAsia="en-IE"/>
        </w:rPr>
      </w:pPr>
    </w:p>
    <w:p w:rsidR="005C14E3" w:rsidRPr="00B97E75" w:rsidRDefault="005C14E3" w:rsidP="00201EC9">
      <w:pPr>
        <w:spacing w:after="0" w:line="240" w:lineRule="auto"/>
        <w:rPr>
          <w:rFonts w:eastAsia="Times New Roman" w:cstheme="minorHAnsi"/>
          <w:b/>
          <w:bCs/>
          <w:color w:val="000000"/>
          <w:lang w:eastAsia="en-IE"/>
        </w:rPr>
      </w:pPr>
    </w:p>
    <w:p w:rsidR="00D6144A" w:rsidRDefault="00D6144A" w:rsidP="00D6144A">
      <w:pPr>
        <w:spacing w:after="0" w:line="240" w:lineRule="auto"/>
        <w:rPr>
          <w:rFonts w:ascii="Calibri" w:eastAsia="Times New Roman" w:hAnsi="Calibri" w:cs="Calibri"/>
          <w:b/>
          <w:bCs/>
          <w:color w:val="000000"/>
          <w:lang w:eastAsia="en-IE"/>
        </w:rPr>
      </w:pPr>
    </w:p>
    <w:p w:rsidR="00D6144A" w:rsidRDefault="00D6144A" w:rsidP="00D6144A">
      <w:pPr>
        <w:spacing w:after="0" w:line="240" w:lineRule="auto"/>
        <w:rPr>
          <w:rFonts w:ascii="Calibri" w:eastAsia="Times New Roman" w:hAnsi="Calibri" w:cs="Calibri"/>
          <w:b/>
          <w:bCs/>
          <w:color w:val="000000"/>
          <w:lang w:eastAsia="en-IE"/>
        </w:rPr>
      </w:pPr>
    </w:p>
    <w:p w:rsidR="00D6144A" w:rsidRDefault="00D6144A" w:rsidP="00D6144A">
      <w:pPr>
        <w:spacing w:after="0" w:line="240" w:lineRule="auto"/>
        <w:rPr>
          <w:rFonts w:ascii="Calibri" w:eastAsia="Times New Roman" w:hAnsi="Calibri" w:cs="Calibri"/>
          <w:b/>
          <w:bCs/>
          <w:color w:val="000000"/>
          <w:lang w:eastAsia="en-IE"/>
        </w:rPr>
      </w:pPr>
    </w:p>
    <w:p w:rsidR="00D6144A" w:rsidRDefault="00D6144A" w:rsidP="00D6144A">
      <w:pPr>
        <w:spacing w:after="0" w:line="240" w:lineRule="auto"/>
        <w:rPr>
          <w:rFonts w:ascii="Calibri" w:eastAsia="Times New Roman" w:hAnsi="Calibri" w:cs="Calibri"/>
          <w:b/>
          <w:bCs/>
          <w:color w:val="000000"/>
          <w:lang w:eastAsia="en-IE"/>
        </w:rPr>
      </w:pPr>
    </w:p>
    <w:p w:rsidR="00D6144A" w:rsidRDefault="00D6144A" w:rsidP="00D6144A">
      <w:pPr>
        <w:spacing w:after="0" w:line="240" w:lineRule="auto"/>
        <w:rPr>
          <w:rFonts w:ascii="Calibri" w:eastAsia="Times New Roman" w:hAnsi="Calibri" w:cs="Calibri"/>
          <w:b/>
          <w:bCs/>
          <w:color w:val="000000"/>
          <w:lang w:eastAsia="en-IE"/>
        </w:rPr>
      </w:pPr>
    </w:p>
    <w:p w:rsidR="00D6144A" w:rsidRDefault="00D6144A" w:rsidP="00D6144A">
      <w:pPr>
        <w:spacing w:after="0" w:line="240" w:lineRule="auto"/>
        <w:rPr>
          <w:rFonts w:ascii="Calibri" w:eastAsia="Times New Roman" w:hAnsi="Calibri" w:cs="Calibri"/>
          <w:b/>
          <w:bCs/>
          <w:color w:val="000000"/>
          <w:lang w:eastAsia="en-IE"/>
        </w:rPr>
      </w:pPr>
    </w:p>
    <w:p w:rsidR="00B4156E" w:rsidRDefault="00B4156E" w:rsidP="00D6144A">
      <w:pPr>
        <w:spacing w:after="0" w:line="240" w:lineRule="auto"/>
        <w:rPr>
          <w:rFonts w:eastAsia="Times New Roman" w:cstheme="minorHAnsi"/>
          <w:b/>
          <w:bCs/>
          <w:color w:val="000000"/>
          <w:lang w:eastAsia="en-IE"/>
        </w:rPr>
      </w:pPr>
    </w:p>
    <w:p w:rsidR="00B4156E" w:rsidRDefault="00B4156E" w:rsidP="00D6144A">
      <w:pPr>
        <w:spacing w:after="0" w:line="240" w:lineRule="auto"/>
        <w:rPr>
          <w:rFonts w:eastAsia="Times New Roman" w:cstheme="minorHAnsi"/>
          <w:bCs/>
          <w:color w:val="000000"/>
          <w:lang w:eastAsia="en-IE"/>
        </w:rPr>
      </w:pPr>
    </w:p>
    <w:p w:rsidR="009216D3" w:rsidRDefault="009216D3" w:rsidP="0076731A">
      <w:pPr>
        <w:pStyle w:val="PISectionHeading"/>
      </w:pPr>
    </w:p>
    <w:p w:rsidR="009216D3" w:rsidRDefault="009216D3" w:rsidP="0076731A">
      <w:pPr>
        <w:pStyle w:val="PISectionHeading"/>
      </w:pPr>
    </w:p>
    <w:p w:rsidR="00201EC9" w:rsidRPr="009C70A3" w:rsidRDefault="004C099D" w:rsidP="009C70A3">
      <w:pPr>
        <w:pStyle w:val="PISectionHeading"/>
      </w:pPr>
      <w:bookmarkStart w:id="4" w:name="_Toc436926480"/>
      <w:r w:rsidRPr="009C70A3">
        <w:lastRenderedPageBreak/>
        <w:t>S</w:t>
      </w:r>
      <w:r w:rsidR="00B70292" w:rsidRPr="009C70A3">
        <w:t xml:space="preserve">ection </w:t>
      </w:r>
      <w:r w:rsidR="007C12D5">
        <w:t>4</w:t>
      </w:r>
      <w:r w:rsidR="00201EC9" w:rsidRPr="009C70A3">
        <w:t>: Waste</w:t>
      </w:r>
      <w:r w:rsidR="007A4115" w:rsidRPr="009C70A3">
        <w:t>/Environment</w:t>
      </w:r>
      <w:bookmarkEnd w:id="4"/>
    </w:p>
    <w:p w:rsidR="00690DAE" w:rsidRPr="003E001D" w:rsidRDefault="004C099D" w:rsidP="00CC1D0D">
      <w:pPr>
        <w:pStyle w:val="PITableHeading"/>
        <w:rPr>
          <w:rFonts w:asciiTheme="minorHAnsi" w:hAnsiTheme="minorHAnsi" w:cstheme="minorHAnsi"/>
          <w:b w:val="0"/>
          <w:sz w:val="22"/>
          <w:szCs w:val="22"/>
        </w:rPr>
      </w:pPr>
      <w:r>
        <w:rPr>
          <w:rFonts w:asciiTheme="minorHAnsi" w:hAnsiTheme="minorHAnsi" w:cstheme="minorHAnsi"/>
          <w:sz w:val="22"/>
          <w:szCs w:val="22"/>
        </w:rPr>
        <w:t xml:space="preserve">Table </w:t>
      </w:r>
      <w:r w:rsidR="00B70292">
        <w:rPr>
          <w:rFonts w:asciiTheme="minorHAnsi" w:hAnsiTheme="minorHAnsi" w:cstheme="minorHAnsi"/>
          <w:sz w:val="22"/>
          <w:szCs w:val="22"/>
        </w:rPr>
        <w:t>12</w:t>
      </w:r>
      <w:r w:rsidR="00201EC9" w:rsidRPr="00B97E75">
        <w:rPr>
          <w:rFonts w:asciiTheme="minorHAnsi" w:hAnsiTheme="minorHAnsi" w:cstheme="minorHAnsi"/>
          <w:sz w:val="22"/>
          <w:szCs w:val="22"/>
        </w:rPr>
        <w:t xml:space="preserve">: </w:t>
      </w:r>
      <w:r w:rsidR="00BF0547" w:rsidRPr="00BF0547">
        <w:rPr>
          <w:rFonts w:asciiTheme="minorHAnsi" w:hAnsiTheme="minorHAnsi" w:cstheme="minorHAnsi"/>
          <w:b w:val="0"/>
          <w:sz w:val="22"/>
          <w:szCs w:val="22"/>
        </w:rPr>
        <w:t>Number of</w:t>
      </w:r>
      <w:r w:rsidR="00BF0547">
        <w:rPr>
          <w:rFonts w:asciiTheme="minorHAnsi" w:hAnsiTheme="minorHAnsi" w:cstheme="minorHAnsi"/>
          <w:sz w:val="22"/>
          <w:szCs w:val="22"/>
        </w:rPr>
        <w:t xml:space="preserve"> </w:t>
      </w:r>
      <w:r w:rsidR="00743366">
        <w:rPr>
          <w:rFonts w:asciiTheme="minorHAnsi" w:hAnsiTheme="minorHAnsi" w:cstheme="minorHAnsi"/>
          <w:b w:val="0"/>
          <w:sz w:val="22"/>
          <w:szCs w:val="22"/>
        </w:rPr>
        <w:t xml:space="preserve">Waste </w:t>
      </w:r>
      <w:r w:rsidR="00BF0547">
        <w:rPr>
          <w:rFonts w:asciiTheme="minorHAnsi" w:hAnsiTheme="minorHAnsi" w:cstheme="minorHAnsi"/>
          <w:b w:val="0"/>
          <w:sz w:val="22"/>
          <w:szCs w:val="22"/>
        </w:rPr>
        <w:t xml:space="preserve">Facility </w:t>
      </w:r>
      <w:r w:rsidR="00743366">
        <w:rPr>
          <w:rFonts w:asciiTheme="minorHAnsi" w:hAnsiTheme="minorHAnsi" w:cstheme="minorHAnsi"/>
          <w:b w:val="0"/>
          <w:sz w:val="22"/>
          <w:szCs w:val="22"/>
        </w:rPr>
        <w:t>Permits/Certificates in effect</w:t>
      </w:r>
      <w:r w:rsidR="00BF0547">
        <w:rPr>
          <w:rFonts w:asciiTheme="minorHAnsi" w:hAnsiTheme="minorHAnsi" w:cstheme="minorHAnsi"/>
          <w:b w:val="0"/>
          <w:sz w:val="22"/>
          <w:szCs w:val="22"/>
        </w:rPr>
        <w:t xml:space="preserve">; Number &amp; </w:t>
      </w:r>
      <w:r w:rsidR="00690DAE" w:rsidRPr="003E001D">
        <w:rPr>
          <w:rFonts w:asciiTheme="minorHAnsi" w:hAnsiTheme="minorHAnsi" w:cstheme="minorHAnsi"/>
          <w:b w:val="0"/>
          <w:sz w:val="22"/>
          <w:szCs w:val="22"/>
        </w:rPr>
        <w:t>Percentage of Households with Access to 3 Bin Service</w:t>
      </w:r>
    </w:p>
    <w:tbl>
      <w:tblPr>
        <w:tblStyle w:val="LightGrid-Accent5"/>
        <w:tblW w:w="7520" w:type="dxa"/>
        <w:tblLook w:val="04A0" w:firstRow="1" w:lastRow="0" w:firstColumn="1" w:lastColumn="0" w:noHBand="0" w:noVBand="1"/>
      </w:tblPr>
      <w:tblGrid>
        <w:gridCol w:w="3271"/>
        <w:gridCol w:w="1416"/>
        <w:gridCol w:w="1416"/>
        <w:gridCol w:w="1417"/>
      </w:tblGrid>
      <w:tr w:rsidR="00690DAE" w:rsidRPr="005C4524" w:rsidTr="00771880">
        <w:trPr>
          <w:cnfStyle w:val="100000000000" w:firstRow="1" w:lastRow="0" w:firstColumn="0" w:lastColumn="0" w:oddVBand="0" w:evenVBand="0" w:oddHBand="0"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3271" w:type="dxa"/>
            <w:noWrap/>
            <w:vAlign w:val="center"/>
            <w:hideMark/>
          </w:tcPr>
          <w:p w:rsidR="00690DAE" w:rsidRPr="005C4524" w:rsidRDefault="00D36D20" w:rsidP="00771880">
            <w:pPr>
              <w:rPr>
                <w:rFonts w:asciiTheme="minorHAnsi" w:eastAsia="Times New Roman" w:hAnsiTheme="minorHAnsi" w:cstheme="minorHAnsi"/>
                <w:color w:val="000000"/>
                <w:lang w:eastAsia="en-IE"/>
              </w:rPr>
            </w:pPr>
            <w:r w:rsidRPr="00D36D20">
              <w:rPr>
                <w:rFonts w:asciiTheme="minorHAnsi" w:eastAsia="Times New Roman" w:hAnsiTheme="minorHAnsi" w:cstheme="minorHAnsi"/>
                <w:color w:val="000000"/>
                <w:lang w:eastAsia="en-IE"/>
              </w:rPr>
              <w:t>Authority</w:t>
            </w:r>
          </w:p>
        </w:tc>
        <w:tc>
          <w:tcPr>
            <w:tcW w:w="1416" w:type="dxa"/>
            <w:vAlign w:val="center"/>
            <w:hideMark/>
          </w:tcPr>
          <w:p w:rsidR="00690DAE" w:rsidRPr="005C4524" w:rsidRDefault="00CC1D0D"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eastAsia="en-IE"/>
              </w:rPr>
            </w:pPr>
            <w:r w:rsidRPr="005C4524">
              <w:rPr>
                <w:rFonts w:asciiTheme="minorHAnsi" w:eastAsia="Times New Roman" w:hAnsiTheme="minorHAnsi" w:cstheme="minorHAnsi"/>
                <w:color w:val="000000"/>
                <w:lang w:eastAsia="en-IE"/>
              </w:rPr>
              <w:t xml:space="preserve">No. of Waste Facility Permits or </w:t>
            </w:r>
            <w:r w:rsidR="00247403" w:rsidRPr="005C4524">
              <w:rPr>
                <w:rFonts w:asciiTheme="minorHAnsi" w:eastAsia="Times New Roman" w:hAnsiTheme="minorHAnsi" w:cstheme="minorHAnsi"/>
                <w:color w:val="000000"/>
                <w:lang w:eastAsia="en-IE"/>
              </w:rPr>
              <w:t>Certs</w:t>
            </w:r>
            <w:r w:rsidRPr="005C4524">
              <w:rPr>
                <w:rFonts w:asciiTheme="minorHAnsi" w:eastAsia="Times New Roman" w:hAnsiTheme="minorHAnsi" w:cstheme="minorHAnsi"/>
                <w:color w:val="000000"/>
                <w:lang w:eastAsia="en-IE"/>
              </w:rPr>
              <w:t xml:space="preserve"> of Registration </w:t>
            </w:r>
            <w:r w:rsidR="00165B06">
              <w:rPr>
                <w:rFonts w:asciiTheme="minorHAnsi" w:eastAsia="Times New Roman" w:hAnsiTheme="minorHAnsi" w:cstheme="minorHAnsi"/>
                <w:color w:val="000000"/>
                <w:lang w:eastAsia="en-IE"/>
              </w:rPr>
              <w:t>in effect 31/12/2014</w:t>
            </w:r>
          </w:p>
        </w:tc>
        <w:tc>
          <w:tcPr>
            <w:tcW w:w="1416" w:type="dxa"/>
            <w:vAlign w:val="center"/>
            <w:hideMark/>
          </w:tcPr>
          <w:p w:rsidR="00690DAE" w:rsidRPr="005C4524" w:rsidRDefault="00690DAE"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eastAsia="en-IE"/>
              </w:rPr>
            </w:pPr>
            <w:r w:rsidRPr="005C4524">
              <w:rPr>
                <w:rFonts w:asciiTheme="minorHAnsi" w:eastAsia="Times New Roman" w:hAnsiTheme="minorHAnsi" w:cstheme="minorHAnsi"/>
                <w:color w:val="000000"/>
                <w:lang w:eastAsia="en-IE"/>
              </w:rPr>
              <w:t xml:space="preserve">Households with Access to </w:t>
            </w:r>
            <w:r w:rsidR="00165B06">
              <w:rPr>
                <w:rFonts w:asciiTheme="minorHAnsi" w:eastAsia="Times New Roman" w:hAnsiTheme="minorHAnsi" w:cstheme="minorHAnsi"/>
                <w:color w:val="000000"/>
                <w:lang w:eastAsia="en-IE"/>
              </w:rPr>
              <w:t xml:space="preserve">a </w:t>
            </w:r>
            <w:r w:rsidRPr="005C4524">
              <w:rPr>
                <w:rFonts w:asciiTheme="minorHAnsi" w:eastAsia="Times New Roman" w:hAnsiTheme="minorHAnsi" w:cstheme="minorHAnsi"/>
                <w:color w:val="000000"/>
                <w:lang w:eastAsia="en-IE"/>
              </w:rPr>
              <w:t>3 Bin Service</w:t>
            </w:r>
          </w:p>
        </w:tc>
        <w:tc>
          <w:tcPr>
            <w:tcW w:w="1417" w:type="dxa"/>
            <w:vAlign w:val="center"/>
            <w:hideMark/>
          </w:tcPr>
          <w:p w:rsidR="00690DAE" w:rsidRPr="005C4524" w:rsidRDefault="002E49C5"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eastAsia="en-IE"/>
              </w:rPr>
            </w:pPr>
            <w:r>
              <w:rPr>
                <w:rFonts w:asciiTheme="minorHAnsi" w:eastAsia="Times New Roman" w:hAnsiTheme="minorHAnsi" w:cstheme="minorHAnsi"/>
                <w:color w:val="000000"/>
                <w:lang w:eastAsia="en-IE"/>
              </w:rPr>
              <w:t xml:space="preserve">Percentage </w:t>
            </w:r>
            <w:r w:rsidR="00690DAE" w:rsidRPr="005C4524">
              <w:rPr>
                <w:rFonts w:asciiTheme="minorHAnsi" w:eastAsia="Times New Roman" w:hAnsiTheme="minorHAnsi" w:cstheme="minorHAnsi"/>
                <w:color w:val="000000"/>
                <w:lang w:eastAsia="en-IE"/>
              </w:rPr>
              <w:t>of Households with Access to</w:t>
            </w:r>
            <w:r w:rsidR="00165B06">
              <w:rPr>
                <w:rFonts w:asciiTheme="minorHAnsi" w:eastAsia="Times New Roman" w:hAnsiTheme="minorHAnsi" w:cstheme="minorHAnsi"/>
                <w:color w:val="000000"/>
                <w:lang w:eastAsia="en-IE"/>
              </w:rPr>
              <w:t xml:space="preserve"> a </w:t>
            </w:r>
            <w:r w:rsidR="00690DAE" w:rsidRPr="005C4524">
              <w:rPr>
                <w:rFonts w:asciiTheme="minorHAnsi" w:eastAsia="Times New Roman" w:hAnsiTheme="minorHAnsi" w:cstheme="minorHAnsi"/>
                <w:color w:val="000000"/>
                <w:lang w:eastAsia="en-IE"/>
              </w:rPr>
              <w:t>3 Bin Service</w:t>
            </w:r>
          </w:p>
        </w:tc>
      </w:tr>
      <w:tr w:rsidR="00690DAE"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 </w:t>
            </w:r>
          </w:p>
        </w:tc>
        <w:tc>
          <w:tcPr>
            <w:tcW w:w="1416" w:type="dxa"/>
            <w:hideMark/>
          </w:tcPr>
          <w:p w:rsidR="00690DAE" w:rsidRPr="005C4524" w:rsidRDefault="00690DAE" w:rsidP="00690D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416" w:type="dxa"/>
            <w:hideMark/>
          </w:tcPr>
          <w:p w:rsidR="00690DAE" w:rsidRPr="005C4524" w:rsidRDefault="00690DAE" w:rsidP="00690D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417" w:type="dxa"/>
            <w:noWrap/>
            <w:hideMark/>
          </w:tcPr>
          <w:p w:rsidR="00690DAE" w:rsidRPr="005C4524" w:rsidRDefault="00690DAE" w:rsidP="00690D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r>
      <w:tr w:rsidR="00690DAE"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Carlow County</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14</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3547</w:t>
            </w:r>
          </w:p>
        </w:tc>
        <w:tc>
          <w:tcPr>
            <w:tcW w:w="1417"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18.32</w:t>
            </w:r>
          </w:p>
        </w:tc>
      </w:tr>
      <w:tr w:rsidR="00690DAE"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Cavan County</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24</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937</w:t>
            </w:r>
          </w:p>
        </w:tc>
        <w:tc>
          <w:tcPr>
            <w:tcW w:w="1417"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3.64</w:t>
            </w:r>
          </w:p>
        </w:tc>
      </w:tr>
      <w:tr w:rsidR="00690DAE"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Clare County</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26</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18624</w:t>
            </w:r>
          </w:p>
        </w:tc>
        <w:tc>
          <w:tcPr>
            <w:tcW w:w="1417"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43.79</w:t>
            </w:r>
          </w:p>
        </w:tc>
      </w:tr>
      <w:tr w:rsidR="00690DAE"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Cork City</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16</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29812</w:t>
            </w:r>
          </w:p>
        </w:tc>
        <w:tc>
          <w:tcPr>
            <w:tcW w:w="1417"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63.28</w:t>
            </w:r>
          </w:p>
        </w:tc>
      </w:tr>
      <w:tr w:rsidR="00690DAE"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Cork County</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105</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18725</w:t>
            </w:r>
          </w:p>
        </w:tc>
        <w:tc>
          <w:tcPr>
            <w:tcW w:w="1417"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13.33</w:t>
            </w:r>
          </w:p>
        </w:tc>
      </w:tr>
      <w:tr w:rsidR="00690DAE"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Donegal County</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83</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60</w:t>
            </w:r>
          </w:p>
        </w:tc>
        <w:tc>
          <w:tcPr>
            <w:tcW w:w="1417"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0.1</w:t>
            </w:r>
          </w:p>
        </w:tc>
      </w:tr>
      <w:tr w:rsidR="00690DAE"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Dublin City</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24</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81567</w:t>
            </w:r>
          </w:p>
        </w:tc>
        <w:tc>
          <w:tcPr>
            <w:tcW w:w="1417"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39.24</w:t>
            </w:r>
          </w:p>
        </w:tc>
      </w:tr>
      <w:tr w:rsidR="00690DAE"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 xml:space="preserve">Dun Laoghaire </w:t>
            </w:r>
            <w:proofErr w:type="spellStart"/>
            <w:r w:rsidRPr="005C4524">
              <w:rPr>
                <w:rFonts w:asciiTheme="minorHAnsi" w:eastAsia="Times New Roman" w:hAnsiTheme="minorHAnsi" w:cstheme="minorHAnsi"/>
                <w:color w:val="000000"/>
                <w:lang w:eastAsia="en-IE"/>
              </w:rPr>
              <w:t>Rathdown</w:t>
            </w:r>
            <w:proofErr w:type="spellEnd"/>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34537</w:t>
            </w:r>
          </w:p>
        </w:tc>
        <w:tc>
          <w:tcPr>
            <w:tcW w:w="1417"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45.57</w:t>
            </w:r>
          </w:p>
        </w:tc>
      </w:tr>
      <w:tr w:rsidR="00690DAE"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proofErr w:type="spellStart"/>
            <w:r w:rsidRPr="005C4524">
              <w:rPr>
                <w:rFonts w:asciiTheme="minorHAnsi" w:eastAsia="Times New Roman" w:hAnsiTheme="minorHAnsi" w:cstheme="minorHAnsi"/>
                <w:color w:val="000000"/>
                <w:lang w:eastAsia="en-IE"/>
              </w:rPr>
              <w:t>Fingal</w:t>
            </w:r>
            <w:proofErr w:type="spellEnd"/>
            <w:r w:rsidRPr="005C4524">
              <w:rPr>
                <w:rFonts w:asciiTheme="minorHAnsi" w:eastAsia="Times New Roman" w:hAnsiTheme="minorHAnsi" w:cstheme="minorHAnsi"/>
                <w:color w:val="000000"/>
                <w:lang w:eastAsia="en-IE"/>
              </w:rPr>
              <w:t xml:space="preserve"> County</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15</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72378</w:t>
            </w:r>
          </w:p>
        </w:tc>
        <w:tc>
          <w:tcPr>
            <w:tcW w:w="1417"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77.87</w:t>
            </w:r>
          </w:p>
        </w:tc>
      </w:tr>
      <w:tr w:rsidR="00690DAE"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Galway City</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21261</w:t>
            </w:r>
          </w:p>
        </w:tc>
        <w:tc>
          <w:tcPr>
            <w:tcW w:w="1417"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76.76</w:t>
            </w:r>
          </w:p>
        </w:tc>
      </w:tr>
      <w:tr w:rsidR="00690DAE"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Galway County</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33</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6580</w:t>
            </w:r>
          </w:p>
        </w:tc>
        <w:tc>
          <w:tcPr>
            <w:tcW w:w="1417"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10.85</w:t>
            </w:r>
          </w:p>
        </w:tc>
      </w:tr>
      <w:tr w:rsidR="00690DAE"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Kerry County</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51</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14681</w:t>
            </w:r>
          </w:p>
        </w:tc>
        <w:tc>
          <w:tcPr>
            <w:tcW w:w="1417"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27.65</w:t>
            </w:r>
          </w:p>
        </w:tc>
      </w:tr>
      <w:tr w:rsidR="00690DAE"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Kildare County</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23</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29344</w:t>
            </w:r>
          </w:p>
        </w:tc>
        <w:tc>
          <w:tcPr>
            <w:tcW w:w="1417"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41.62</w:t>
            </w:r>
          </w:p>
        </w:tc>
      </w:tr>
      <w:tr w:rsidR="00690DAE"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Kilkenny County</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28</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2695</w:t>
            </w:r>
          </w:p>
        </w:tc>
        <w:tc>
          <w:tcPr>
            <w:tcW w:w="1417"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8.02</w:t>
            </w:r>
          </w:p>
        </w:tc>
      </w:tr>
      <w:tr w:rsidR="00690DAE"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Laois County</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26</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5972</w:t>
            </w:r>
          </w:p>
        </w:tc>
        <w:tc>
          <w:tcPr>
            <w:tcW w:w="1417"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21.39</w:t>
            </w:r>
          </w:p>
        </w:tc>
      </w:tr>
      <w:tr w:rsidR="00690DAE"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Leitrim County</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6698</w:t>
            </w:r>
          </w:p>
        </w:tc>
        <w:tc>
          <w:tcPr>
            <w:tcW w:w="1417"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54.78</w:t>
            </w:r>
          </w:p>
        </w:tc>
      </w:tr>
      <w:tr w:rsidR="00690DAE"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Limerick City &amp; County</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49</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33074</w:t>
            </w:r>
          </w:p>
        </w:tc>
        <w:tc>
          <w:tcPr>
            <w:tcW w:w="1417"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47.64</w:t>
            </w:r>
          </w:p>
        </w:tc>
      </w:tr>
      <w:tr w:rsidR="00690DAE"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Longford County</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12</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3883</w:t>
            </w:r>
          </w:p>
        </w:tc>
        <w:tc>
          <w:tcPr>
            <w:tcW w:w="1417"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26.95</w:t>
            </w:r>
          </w:p>
        </w:tc>
      </w:tr>
      <w:tr w:rsidR="00690DAE"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Louth County</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37</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11342</w:t>
            </w:r>
          </w:p>
        </w:tc>
        <w:tc>
          <w:tcPr>
            <w:tcW w:w="1417"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25.84</w:t>
            </w:r>
          </w:p>
        </w:tc>
      </w:tr>
      <w:tr w:rsidR="00690DAE"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Mayo County</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49</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4650</w:t>
            </w:r>
          </w:p>
        </w:tc>
        <w:tc>
          <w:tcPr>
            <w:tcW w:w="1417"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9.7</w:t>
            </w:r>
          </w:p>
        </w:tc>
      </w:tr>
      <w:tr w:rsidR="00690DAE"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Meath County</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41</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8027</w:t>
            </w:r>
          </w:p>
        </w:tc>
        <w:tc>
          <w:tcPr>
            <w:tcW w:w="1417"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12.96</w:t>
            </w:r>
          </w:p>
        </w:tc>
      </w:tr>
      <w:tr w:rsidR="00690DAE"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Monaghan County</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18</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1389</w:t>
            </w:r>
          </w:p>
        </w:tc>
        <w:tc>
          <w:tcPr>
            <w:tcW w:w="1417"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6.53</w:t>
            </w:r>
          </w:p>
        </w:tc>
      </w:tr>
      <w:tr w:rsidR="00690DAE"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Offaly County</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15</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3240</w:t>
            </w:r>
          </w:p>
        </w:tc>
        <w:tc>
          <w:tcPr>
            <w:tcW w:w="1417"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12.21</w:t>
            </w:r>
          </w:p>
        </w:tc>
      </w:tr>
      <w:tr w:rsidR="00690DAE"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Roscommon County</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1671</w:t>
            </w:r>
          </w:p>
        </w:tc>
        <w:tc>
          <w:tcPr>
            <w:tcW w:w="1417"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7.08</w:t>
            </w:r>
          </w:p>
        </w:tc>
      </w:tr>
      <w:tr w:rsidR="00690DAE"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Sligo County</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5397</w:t>
            </w:r>
          </w:p>
        </w:tc>
        <w:tc>
          <w:tcPr>
            <w:tcW w:w="1417"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22.09</w:t>
            </w:r>
          </w:p>
        </w:tc>
      </w:tr>
      <w:tr w:rsidR="00690DAE"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South Dublin County</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36</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44655</w:t>
            </w:r>
          </w:p>
        </w:tc>
        <w:tc>
          <w:tcPr>
            <w:tcW w:w="1417"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49.68</w:t>
            </w:r>
          </w:p>
        </w:tc>
      </w:tr>
      <w:tr w:rsidR="00690DAE"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Tipperary County</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38</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16805</w:t>
            </w:r>
          </w:p>
        </w:tc>
        <w:tc>
          <w:tcPr>
            <w:tcW w:w="1417"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28.84</w:t>
            </w:r>
          </w:p>
        </w:tc>
      </w:tr>
      <w:tr w:rsidR="00690DAE"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Waterford City &amp; County</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26</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25043</w:t>
            </w:r>
          </w:p>
        </w:tc>
        <w:tc>
          <w:tcPr>
            <w:tcW w:w="1417"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59.29</w:t>
            </w:r>
          </w:p>
        </w:tc>
      </w:tr>
      <w:tr w:rsidR="00690DAE"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Westmeath County</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24</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1355</w:t>
            </w:r>
          </w:p>
        </w:tc>
        <w:tc>
          <w:tcPr>
            <w:tcW w:w="1417"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4.42</w:t>
            </w:r>
          </w:p>
        </w:tc>
      </w:tr>
      <w:tr w:rsidR="00690DAE"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Wexford County</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52</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6104</w:t>
            </w:r>
          </w:p>
        </w:tc>
        <w:tc>
          <w:tcPr>
            <w:tcW w:w="1417"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11.66</w:t>
            </w:r>
          </w:p>
        </w:tc>
      </w:tr>
      <w:tr w:rsidR="00690DAE"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Wicklow County</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30</w:t>
            </w:r>
          </w:p>
        </w:tc>
        <w:tc>
          <w:tcPr>
            <w:tcW w:w="141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8088</w:t>
            </w:r>
          </w:p>
        </w:tc>
        <w:tc>
          <w:tcPr>
            <w:tcW w:w="1417"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17</w:t>
            </w:r>
          </w:p>
        </w:tc>
      </w:tr>
      <w:tr w:rsidR="00690DAE"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71" w:type="dxa"/>
            <w:noWrap/>
            <w:hideMark/>
          </w:tcPr>
          <w:p w:rsidR="00690DAE" w:rsidRPr="005C4524" w:rsidRDefault="00690DAE" w:rsidP="00690DAE">
            <w:pPr>
              <w:rPr>
                <w:rFonts w:asciiTheme="minorHAnsi" w:eastAsia="Times New Roman" w:hAnsiTheme="minorHAnsi" w:cstheme="minorHAnsi"/>
                <w:b w:val="0"/>
                <w:bCs w:val="0"/>
                <w:color w:val="000000"/>
                <w:lang w:eastAsia="en-IE"/>
              </w:rPr>
            </w:pPr>
            <w:r w:rsidRPr="005C4524">
              <w:rPr>
                <w:rFonts w:asciiTheme="minorHAnsi" w:eastAsia="Times New Roman" w:hAnsiTheme="minorHAnsi" w:cstheme="minorHAnsi"/>
                <w:color w:val="000000"/>
                <w:lang w:eastAsia="en-IE"/>
              </w:rPr>
              <w:t>Totals</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IE"/>
              </w:rPr>
            </w:pPr>
            <w:r w:rsidRPr="005C4524">
              <w:rPr>
                <w:rFonts w:eastAsia="Times New Roman" w:cstheme="minorHAnsi"/>
                <w:b/>
                <w:bCs/>
                <w:color w:val="000000"/>
                <w:lang w:eastAsia="en-IE"/>
              </w:rPr>
              <w:t>924</w:t>
            </w:r>
          </w:p>
        </w:tc>
        <w:tc>
          <w:tcPr>
            <w:tcW w:w="141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IE"/>
              </w:rPr>
            </w:pPr>
            <w:r w:rsidRPr="005C4524">
              <w:rPr>
                <w:rFonts w:eastAsia="Times New Roman" w:cstheme="minorHAnsi"/>
                <w:b/>
                <w:bCs/>
                <w:color w:val="000000"/>
                <w:lang w:eastAsia="en-IE"/>
              </w:rPr>
              <w:t>522,141</w:t>
            </w:r>
          </w:p>
        </w:tc>
        <w:tc>
          <w:tcPr>
            <w:tcW w:w="1417"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IE"/>
              </w:rPr>
            </w:pPr>
            <w:r w:rsidRPr="005C4524">
              <w:rPr>
                <w:rFonts w:eastAsia="Times New Roman" w:cstheme="minorHAnsi"/>
                <w:b/>
                <w:bCs/>
                <w:color w:val="000000"/>
                <w:lang w:eastAsia="en-IE"/>
              </w:rPr>
              <w:t> </w:t>
            </w:r>
          </w:p>
        </w:tc>
      </w:tr>
    </w:tbl>
    <w:p w:rsidR="00690DAE" w:rsidRDefault="00690DAE" w:rsidP="00690DAE">
      <w:pPr>
        <w:spacing w:after="0" w:line="240" w:lineRule="auto"/>
        <w:rPr>
          <w:rFonts w:eastAsia="Times New Roman" w:cstheme="minorHAnsi"/>
          <w:b/>
          <w:bCs/>
          <w:color w:val="000000"/>
          <w:lang w:eastAsia="en-IE"/>
        </w:rPr>
      </w:pPr>
    </w:p>
    <w:p w:rsidR="002F3607" w:rsidRDefault="002F3607" w:rsidP="00690DAE">
      <w:pPr>
        <w:spacing w:after="0" w:line="240" w:lineRule="auto"/>
        <w:rPr>
          <w:rFonts w:eastAsia="Times New Roman" w:cstheme="minorHAnsi"/>
          <w:b/>
          <w:bCs/>
          <w:color w:val="000000"/>
          <w:lang w:eastAsia="en-IE"/>
        </w:rPr>
      </w:pPr>
    </w:p>
    <w:p w:rsidR="002F3607" w:rsidRDefault="002F3607" w:rsidP="00690DAE">
      <w:pPr>
        <w:spacing w:after="0" w:line="240" w:lineRule="auto"/>
        <w:rPr>
          <w:rFonts w:eastAsia="Times New Roman" w:cstheme="minorHAnsi"/>
          <w:b/>
          <w:bCs/>
          <w:color w:val="000000"/>
          <w:lang w:eastAsia="en-IE"/>
        </w:rPr>
      </w:pPr>
    </w:p>
    <w:p w:rsidR="002F3607" w:rsidRDefault="002F3607" w:rsidP="00690DAE">
      <w:pPr>
        <w:spacing w:after="0" w:line="240" w:lineRule="auto"/>
        <w:rPr>
          <w:rFonts w:eastAsia="Times New Roman" w:cstheme="minorHAnsi"/>
          <w:b/>
          <w:bCs/>
          <w:color w:val="000000"/>
          <w:lang w:eastAsia="en-IE"/>
        </w:rPr>
      </w:pPr>
    </w:p>
    <w:p w:rsidR="00B904ED" w:rsidRPr="00B97E75" w:rsidRDefault="00B904ED" w:rsidP="009660A3">
      <w:pPr>
        <w:spacing w:after="0" w:line="240" w:lineRule="auto"/>
        <w:jc w:val="both"/>
        <w:rPr>
          <w:rFonts w:eastAsia="Times New Roman" w:cstheme="minorHAnsi"/>
          <w:b/>
          <w:bCs/>
          <w:color w:val="000000"/>
          <w:lang w:eastAsia="en-IE"/>
        </w:rPr>
      </w:pPr>
    </w:p>
    <w:p w:rsidR="00A572D5" w:rsidRPr="00B97E75" w:rsidRDefault="00A572D5" w:rsidP="00690DAE">
      <w:pPr>
        <w:spacing w:after="0" w:line="240" w:lineRule="auto"/>
        <w:rPr>
          <w:rFonts w:eastAsia="Times New Roman" w:cstheme="minorHAnsi"/>
          <w:b/>
          <w:bCs/>
          <w:color w:val="000000"/>
          <w:lang w:eastAsia="en-IE"/>
        </w:rPr>
      </w:pPr>
    </w:p>
    <w:tbl>
      <w:tblPr>
        <w:tblW w:w="5539" w:type="dxa"/>
        <w:tblInd w:w="98" w:type="dxa"/>
        <w:tblLayout w:type="fixed"/>
        <w:tblLook w:val="04A0" w:firstRow="1" w:lastRow="0" w:firstColumn="1" w:lastColumn="0" w:noHBand="0" w:noVBand="1"/>
      </w:tblPr>
      <w:tblGrid>
        <w:gridCol w:w="967"/>
        <w:gridCol w:w="3438"/>
        <w:gridCol w:w="1134"/>
      </w:tblGrid>
      <w:tr w:rsidR="00A572D5" w:rsidRPr="00B97E75" w:rsidTr="0082378C">
        <w:trPr>
          <w:trHeight w:val="315"/>
        </w:trPr>
        <w:tc>
          <w:tcPr>
            <w:tcW w:w="553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572D5" w:rsidRPr="00B97E75" w:rsidRDefault="00BF0547" w:rsidP="0082378C">
            <w:pPr>
              <w:spacing w:after="0" w:line="240" w:lineRule="auto"/>
              <w:rPr>
                <w:rFonts w:eastAsia="Times New Roman" w:cstheme="minorHAnsi"/>
                <w:b/>
                <w:bCs/>
                <w:color w:val="000000"/>
                <w:lang w:eastAsia="en-IE"/>
              </w:rPr>
            </w:pPr>
            <w:r>
              <w:rPr>
                <w:rFonts w:cstheme="minorHAnsi"/>
                <w:b/>
              </w:rPr>
              <w:t xml:space="preserve">Number of </w:t>
            </w:r>
            <w:r w:rsidR="00743366">
              <w:rPr>
                <w:rFonts w:cstheme="minorHAnsi"/>
                <w:b/>
              </w:rPr>
              <w:t xml:space="preserve">Waste </w:t>
            </w:r>
            <w:r>
              <w:rPr>
                <w:rFonts w:cstheme="minorHAnsi"/>
                <w:b/>
              </w:rPr>
              <w:t xml:space="preserve">Facility </w:t>
            </w:r>
            <w:r w:rsidR="00743366">
              <w:rPr>
                <w:rFonts w:cstheme="minorHAnsi"/>
                <w:b/>
              </w:rPr>
              <w:t>Permits/Certificates in effect</w:t>
            </w:r>
            <w:r w:rsidR="00A572D5" w:rsidRPr="00B97E75">
              <w:rPr>
                <w:rFonts w:eastAsia="Times New Roman" w:cstheme="minorHAnsi"/>
                <w:b/>
                <w:bCs/>
                <w:color w:val="000000"/>
                <w:lang w:eastAsia="en-IE"/>
              </w:rPr>
              <w:t xml:space="preserve"> </w:t>
            </w:r>
            <w:r>
              <w:rPr>
                <w:rFonts w:eastAsia="Times New Roman" w:cstheme="minorHAnsi"/>
                <w:b/>
                <w:bCs/>
                <w:color w:val="000000"/>
                <w:lang w:eastAsia="en-IE"/>
              </w:rPr>
              <w:t>&amp; Number/</w:t>
            </w:r>
            <w:r w:rsidR="002E49C5">
              <w:rPr>
                <w:rFonts w:eastAsia="Times New Roman" w:cstheme="minorHAnsi"/>
                <w:b/>
                <w:bCs/>
                <w:color w:val="000000"/>
                <w:lang w:eastAsia="en-IE"/>
              </w:rPr>
              <w:t xml:space="preserve"> </w:t>
            </w:r>
            <w:r w:rsidR="00A572D5" w:rsidRPr="00B97E75">
              <w:rPr>
                <w:rFonts w:eastAsia="Times New Roman" w:cstheme="minorHAnsi"/>
                <w:b/>
                <w:bCs/>
                <w:color w:val="000000"/>
                <w:lang w:eastAsia="en-IE"/>
              </w:rPr>
              <w:t>Percentage of Households with Access to</w:t>
            </w:r>
            <w:r>
              <w:rPr>
                <w:rFonts w:eastAsia="Times New Roman" w:cstheme="minorHAnsi"/>
                <w:b/>
                <w:bCs/>
                <w:color w:val="000000"/>
                <w:lang w:eastAsia="en-IE"/>
              </w:rPr>
              <w:t xml:space="preserve"> a</w:t>
            </w:r>
            <w:r w:rsidR="00A572D5" w:rsidRPr="00B97E75">
              <w:rPr>
                <w:rFonts w:eastAsia="Times New Roman" w:cstheme="minorHAnsi"/>
                <w:b/>
                <w:bCs/>
                <w:color w:val="000000"/>
                <w:lang w:eastAsia="en-IE"/>
              </w:rPr>
              <w:t xml:space="preserve"> 3 Bin Service</w:t>
            </w:r>
          </w:p>
        </w:tc>
      </w:tr>
      <w:tr w:rsidR="00A572D5" w:rsidRPr="00B97E75" w:rsidTr="0082378C">
        <w:trPr>
          <w:trHeight w:val="315"/>
        </w:trPr>
        <w:tc>
          <w:tcPr>
            <w:tcW w:w="4405"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A572D5" w:rsidRPr="00B97E75" w:rsidRDefault="00BF0547" w:rsidP="0082378C">
            <w:pPr>
              <w:spacing w:after="0" w:line="240" w:lineRule="auto"/>
              <w:rPr>
                <w:rFonts w:eastAsia="Times New Roman" w:cstheme="minorHAnsi"/>
                <w:color w:val="000000"/>
                <w:lang w:eastAsia="en-IE"/>
              </w:rPr>
            </w:pPr>
            <w:r>
              <w:rPr>
                <w:rFonts w:eastAsia="Times New Roman" w:cstheme="minorHAnsi"/>
                <w:color w:val="000000"/>
                <w:lang w:eastAsia="en-IE"/>
              </w:rPr>
              <w:t>Waste Facility Permits/Certificates</w:t>
            </w:r>
            <w:r w:rsidR="00673993">
              <w:rPr>
                <w:rFonts w:eastAsia="Times New Roman" w:cstheme="minorHAnsi"/>
                <w:color w:val="000000"/>
                <w:lang w:eastAsia="en-IE"/>
              </w:rPr>
              <w:t xml:space="preserve"> in effect</w:t>
            </w:r>
          </w:p>
        </w:tc>
        <w:tc>
          <w:tcPr>
            <w:tcW w:w="1134" w:type="dxa"/>
            <w:tcBorders>
              <w:top w:val="nil"/>
              <w:left w:val="nil"/>
              <w:bottom w:val="single" w:sz="8" w:space="0" w:color="auto"/>
              <w:right w:val="single" w:sz="8" w:space="0" w:color="auto"/>
            </w:tcBorders>
            <w:shd w:val="clear" w:color="auto" w:fill="B6DDE8" w:themeFill="accent5" w:themeFillTint="66"/>
            <w:vAlign w:val="center"/>
            <w:hideMark/>
          </w:tcPr>
          <w:p w:rsidR="00A572D5" w:rsidRPr="00B97E75" w:rsidRDefault="00A572D5" w:rsidP="0082378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2014</w:t>
            </w:r>
          </w:p>
        </w:tc>
      </w:tr>
      <w:tr w:rsidR="00A572D5" w:rsidRPr="00B97E75" w:rsidTr="0082378C">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3438" w:type="dxa"/>
            <w:tcBorders>
              <w:top w:val="nil"/>
              <w:left w:val="nil"/>
              <w:bottom w:val="single" w:sz="8" w:space="0" w:color="auto"/>
              <w:right w:val="nil"/>
            </w:tcBorders>
            <w:shd w:val="clear" w:color="auto" w:fill="auto"/>
            <w:vAlign w:val="center"/>
            <w:hideMark/>
          </w:tcPr>
          <w:p w:rsidR="00A572D5" w:rsidRPr="00B97E75" w:rsidRDefault="00A572D5"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31</w:t>
            </w:r>
          </w:p>
        </w:tc>
      </w:tr>
      <w:tr w:rsidR="00A572D5" w:rsidRPr="00B97E75" w:rsidTr="0082378C">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3438" w:type="dxa"/>
            <w:tcBorders>
              <w:top w:val="nil"/>
              <w:left w:val="nil"/>
              <w:bottom w:val="single" w:sz="8" w:space="0" w:color="auto"/>
              <w:right w:val="nil"/>
            </w:tcBorders>
            <w:shd w:val="clear" w:color="auto" w:fill="auto"/>
            <w:vAlign w:val="center"/>
            <w:hideMark/>
          </w:tcPr>
          <w:p w:rsidR="00A572D5" w:rsidRPr="00B97E75" w:rsidRDefault="00A572D5"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0</w:t>
            </w:r>
          </w:p>
        </w:tc>
      </w:tr>
      <w:tr w:rsidR="00A572D5" w:rsidRPr="00B97E75" w:rsidTr="0082378C">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3438" w:type="dxa"/>
            <w:tcBorders>
              <w:top w:val="nil"/>
              <w:left w:val="nil"/>
              <w:bottom w:val="single" w:sz="8" w:space="0" w:color="auto"/>
              <w:right w:val="nil"/>
            </w:tcBorders>
            <w:shd w:val="clear" w:color="auto" w:fill="auto"/>
            <w:vAlign w:val="center"/>
            <w:hideMark/>
          </w:tcPr>
          <w:p w:rsidR="00A572D5" w:rsidRPr="00B97E75" w:rsidRDefault="00A572D5" w:rsidP="0082378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26</w:t>
            </w:r>
          </w:p>
        </w:tc>
      </w:tr>
      <w:tr w:rsidR="00A572D5" w:rsidRPr="00B97E75" w:rsidTr="0082378C">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3438" w:type="dxa"/>
            <w:tcBorders>
              <w:top w:val="nil"/>
              <w:left w:val="nil"/>
              <w:bottom w:val="single" w:sz="8" w:space="0" w:color="auto"/>
              <w:right w:val="nil"/>
            </w:tcBorders>
            <w:shd w:val="clear" w:color="auto" w:fill="auto"/>
            <w:vAlign w:val="center"/>
            <w:hideMark/>
          </w:tcPr>
          <w:p w:rsidR="00A572D5" w:rsidRPr="00B97E75" w:rsidRDefault="00A572D5"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29.81</w:t>
            </w:r>
          </w:p>
        </w:tc>
      </w:tr>
      <w:tr w:rsidR="00A572D5" w:rsidRPr="00B97E75" w:rsidTr="0082378C">
        <w:trPr>
          <w:trHeight w:val="315"/>
        </w:trPr>
        <w:tc>
          <w:tcPr>
            <w:tcW w:w="4405" w:type="dxa"/>
            <w:gridSpan w:val="2"/>
            <w:tcBorders>
              <w:top w:val="single" w:sz="8" w:space="0" w:color="auto"/>
              <w:left w:val="single" w:sz="8" w:space="0" w:color="auto"/>
              <w:bottom w:val="single" w:sz="8" w:space="0" w:color="auto"/>
              <w:right w:val="nil"/>
            </w:tcBorders>
            <w:shd w:val="clear" w:color="auto" w:fill="B6DDE8" w:themeFill="accent5" w:themeFillTint="66"/>
            <w:vAlign w:val="center"/>
            <w:hideMark/>
          </w:tcPr>
          <w:p w:rsidR="00A572D5" w:rsidRPr="00B97E75" w:rsidRDefault="00A572D5"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 xml:space="preserve">Households with Access to </w:t>
            </w:r>
            <w:r w:rsidR="00673993">
              <w:rPr>
                <w:rFonts w:eastAsia="Times New Roman" w:cstheme="minorHAnsi"/>
                <w:color w:val="000000"/>
                <w:lang w:eastAsia="en-IE"/>
              </w:rPr>
              <w:t xml:space="preserve">a </w:t>
            </w:r>
            <w:r w:rsidRPr="00B97E75">
              <w:rPr>
                <w:rFonts w:eastAsia="Times New Roman" w:cstheme="minorHAnsi"/>
                <w:color w:val="000000"/>
                <w:lang w:eastAsia="en-IE"/>
              </w:rPr>
              <w:t>3 Bin Service</w:t>
            </w:r>
          </w:p>
        </w:tc>
        <w:tc>
          <w:tcPr>
            <w:tcW w:w="1134" w:type="dxa"/>
            <w:tcBorders>
              <w:top w:val="nil"/>
              <w:left w:val="single" w:sz="8" w:space="0" w:color="auto"/>
              <w:bottom w:val="single" w:sz="8" w:space="0" w:color="auto"/>
              <w:right w:val="single" w:sz="8" w:space="0" w:color="auto"/>
            </w:tcBorders>
            <w:shd w:val="clear" w:color="auto" w:fill="B6DDE8" w:themeFill="accent5" w:themeFillTint="66"/>
            <w:vAlign w:val="center"/>
            <w:hideMark/>
          </w:tcPr>
          <w:p w:rsidR="00A572D5" w:rsidRPr="00B97E75" w:rsidRDefault="00A572D5" w:rsidP="0082378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2014</w:t>
            </w:r>
          </w:p>
        </w:tc>
      </w:tr>
      <w:tr w:rsidR="00A572D5" w:rsidRPr="00B97E75" w:rsidTr="0082378C">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3438" w:type="dxa"/>
            <w:tcBorders>
              <w:top w:val="nil"/>
              <w:left w:val="nil"/>
              <w:bottom w:val="single" w:sz="8" w:space="0" w:color="auto"/>
              <w:right w:val="nil"/>
            </w:tcBorders>
            <w:shd w:val="clear" w:color="auto" w:fill="auto"/>
            <w:vAlign w:val="center"/>
            <w:hideMark/>
          </w:tcPr>
          <w:p w:rsidR="00A572D5" w:rsidRPr="00B97E75" w:rsidRDefault="00A572D5"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31</w:t>
            </w:r>
          </w:p>
        </w:tc>
      </w:tr>
      <w:tr w:rsidR="00A572D5" w:rsidRPr="00B97E75" w:rsidTr="0082378C">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3438" w:type="dxa"/>
            <w:tcBorders>
              <w:top w:val="nil"/>
              <w:left w:val="nil"/>
              <w:bottom w:val="single" w:sz="8" w:space="0" w:color="auto"/>
              <w:right w:val="nil"/>
            </w:tcBorders>
            <w:shd w:val="clear" w:color="auto" w:fill="auto"/>
            <w:vAlign w:val="center"/>
            <w:hideMark/>
          </w:tcPr>
          <w:p w:rsidR="00A572D5" w:rsidRPr="00B97E75" w:rsidRDefault="00A572D5"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0</w:t>
            </w:r>
          </w:p>
        </w:tc>
      </w:tr>
      <w:tr w:rsidR="00A572D5" w:rsidRPr="00B97E75" w:rsidTr="0082378C">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3438"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134"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8,027.00</w:t>
            </w:r>
          </w:p>
        </w:tc>
      </w:tr>
      <w:tr w:rsidR="00A572D5" w:rsidRPr="00B97E75" w:rsidTr="0082378C">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3438"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134"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16,843.26</w:t>
            </w:r>
          </w:p>
        </w:tc>
      </w:tr>
      <w:tr w:rsidR="00A572D5" w:rsidRPr="00B97E75" w:rsidTr="0082378C">
        <w:trPr>
          <w:trHeight w:val="315"/>
        </w:trPr>
        <w:tc>
          <w:tcPr>
            <w:tcW w:w="4405"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A572D5" w:rsidRPr="00B97E75" w:rsidRDefault="002E49C5" w:rsidP="0082378C">
            <w:pPr>
              <w:spacing w:after="0" w:line="240" w:lineRule="auto"/>
              <w:rPr>
                <w:rFonts w:eastAsia="Times New Roman" w:cstheme="minorHAnsi"/>
                <w:color w:val="000000"/>
                <w:lang w:eastAsia="en-IE"/>
              </w:rPr>
            </w:pPr>
            <w:r>
              <w:rPr>
                <w:rFonts w:eastAsia="Times New Roman" w:cstheme="minorHAnsi"/>
                <w:color w:val="000000"/>
                <w:lang w:eastAsia="en-IE"/>
              </w:rPr>
              <w:t>Percentage</w:t>
            </w:r>
            <w:r w:rsidR="00A572D5" w:rsidRPr="00B97E75">
              <w:rPr>
                <w:rFonts w:eastAsia="Times New Roman" w:cstheme="minorHAnsi"/>
                <w:color w:val="000000"/>
                <w:lang w:eastAsia="en-IE"/>
              </w:rPr>
              <w:t xml:space="preserve"> of Households with Access to</w:t>
            </w:r>
            <w:r w:rsidR="00673993">
              <w:rPr>
                <w:rFonts w:eastAsia="Times New Roman" w:cstheme="minorHAnsi"/>
                <w:color w:val="000000"/>
                <w:lang w:eastAsia="en-IE"/>
              </w:rPr>
              <w:t xml:space="preserve"> a</w:t>
            </w:r>
            <w:r w:rsidR="00A572D5" w:rsidRPr="00B97E75">
              <w:rPr>
                <w:rFonts w:eastAsia="Times New Roman" w:cstheme="minorHAnsi"/>
                <w:color w:val="000000"/>
                <w:lang w:eastAsia="en-IE"/>
              </w:rPr>
              <w:t xml:space="preserve"> 3 Bin Service</w:t>
            </w:r>
          </w:p>
        </w:tc>
        <w:tc>
          <w:tcPr>
            <w:tcW w:w="1134" w:type="dxa"/>
            <w:tcBorders>
              <w:top w:val="nil"/>
              <w:left w:val="nil"/>
              <w:bottom w:val="single" w:sz="8" w:space="0" w:color="auto"/>
              <w:right w:val="single" w:sz="8" w:space="0" w:color="auto"/>
            </w:tcBorders>
            <w:shd w:val="clear" w:color="auto" w:fill="B6DDE8" w:themeFill="accent5" w:themeFillTint="66"/>
            <w:vAlign w:val="center"/>
            <w:hideMark/>
          </w:tcPr>
          <w:p w:rsidR="00A572D5" w:rsidRPr="00B97E75" w:rsidRDefault="00A572D5" w:rsidP="0082378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2014</w:t>
            </w:r>
          </w:p>
        </w:tc>
      </w:tr>
      <w:tr w:rsidR="00A572D5" w:rsidRPr="00B97E75" w:rsidTr="0082378C">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3438"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134"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31</w:t>
            </w:r>
          </w:p>
        </w:tc>
      </w:tr>
      <w:tr w:rsidR="00A572D5" w:rsidRPr="00B97E75" w:rsidTr="0082378C">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3438"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134"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0</w:t>
            </w:r>
          </w:p>
        </w:tc>
      </w:tr>
      <w:tr w:rsidR="00A572D5" w:rsidRPr="00B97E75" w:rsidTr="0082378C">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3438"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134"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22.09</w:t>
            </w:r>
          </w:p>
        </w:tc>
      </w:tr>
      <w:tr w:rsidR="00A572D5" w:rsidRPr="00B97E75" w:rsidTr="0082378C">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3438"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134"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82378C">
            <w:pPr>
              <w:spacing w:after="0" w:line="240" w:lineRule="auto"/>
              <w:rPr>
                <w:rFonts w:eastAsia="Times New Roman" w:cstheme="minorHAnsi"/>
                <w:color w:val="000000"/>
                <w:lang w:eastAsia="en-IE"/>
              </w:rPr>
            </w:pPr>
            <w:r w:rsidRPr="00B97E75">
              <w:rPr>
                <w:rFonts w:eastAsia="Times New Roman" w:cstheme="minorHAnsi"/>
                <w:color w:val="000000"/>
                <w:lang w:eastAsia="en-IE"/>
              </w:rPr>
              <w:t>28.65</w:t>
            </w:r>
          </w:p>
        </w:tc>
      </w:tr>
    </w:tbl>
    <w:p w:rsidR="00A572D5" w:rsidRPr="00B97E75" w:rsidRDefault="00A572D5" w:rsidP="00690DAE">
      <w:pPr>
        <w:spacing w:after="0" w:line="240" w:lineRule="auto"/>
        <w:rPr>
          <w:rFonts w:eastAsia="Times New Roman" w:cstheme="minorHAnsi"/>
          <w:b/>
          <w:bCs/>
          <w:color w:val="000000"/>
          <w:lang w:eastAsia="en-IE"/>
        </w:rPr>
      </w:pPr>
    </w:p>
    <w:p w:rsidR="00A572D5" w:rsidRPr="00B97E75" w:rsidRDefault="00A572D5" w:rsidP="00690DAE">
      <w:pPr>
        <w:spacing w:after="0" w:line="240" w:lineRule="auto"/>
        <w:rPr>
          <w:rFonts w:eastAsia="Times New Roman" w:cstheme="minorHAnsi"/>
          <w:b/>
          <w:bCs/>
          <w:color w:val="000000"/>
          <w:lang w:eastAsia="en-IE"/>
        </w:rPr>
      </w:pPr>
    </w:p>
    <w:p w:rsidR="00B904ED" w:rsidRPr="00B97E75" w:rsidRDefault="00B904ED" w:rsidP="00690DAE">
      <w:pPr>
        <w:spacing w:after="0" w:line="240" w:lineRule="auto"/>
        <w:rPr>
          <w:rFonts w:eastAsia="Times New Roman" w:cstheme="minorHAnsi"/>
          <w:b/>
          <w:bCs/>
          <w:color w:val="000000"/>
          <w:lang w:eastAsia="en-IE"/>
        </w:rPr>
      </w:pPr>
    </w:p>
    <w:p w:rsidR="00B904ED" w:rsidRPr="00B97E75" w:rsidRDefault="00B904ED" w:rsidP="00690DAE">
      <w:pPr>
        <w:spacing w:after="0" w:line="240" w:lineRule="auto"/>
        <w:rPr>
          <w:rFonts w:eastAsia="Times New Roman" w:cstheme="minorHAnsi"/>
          <w:b/>
          <w:bCs/>
          <w:color w:val="000000"/>
          <w:lang w:eastAsia="en-IE"/>
        </w:rPr>
      </w:pPr>
    </w:p>
    <w:p w:rsidR="00B904ED" w:rsidRPr="00B97E75" w:rsidRDefault="00B904ED" w:rsidP="00690DAE">
      <w:pPr>
        <w:spacing w:after="0" w:line="240" w:lineRule="auto"/>
        <w:rPr>
          <w:rFonts w:eastAsia="Times New Roman" w:cstheme="minorHAnsi"/>
          <w:b/>
          <w:bCs/>
          <w:color w:val="000000"/>
          <w:lang w:eastAsia="en-IE"/>
        </w:rPr>
      </w:pPr>
    </w:p>
    <w:p w:rsidR="00B904ED" w:rsidRPr="00B97E75" w:rsidRDefault="00B904ED" w:rsidP="00690DAE">
      <w:pPr>
        <w:spacing w:after="0" w:line="240" w:lineRule="auto"/>
        <w:rPr>
          <w:rFonts w:eastAsia="Times New Roman" w:cstheme="minorHAnsi"/>
          <w:b/>
          <w:bCs/>
          <w:color w:val="000000"/>
          <w:lang w:eastAsia="en-IE"/>
        </w:rPr>
      </w:pPr>
    </w:p>
    <w:p w:rsidR="00B904ED" w:rsidRPr="00B97E75" w:rsidRDefault="00B904ED" w:rsidP="00690DAE">
      <w:pPr>
        <w:spacing w:after="0" w:line="240" w:lineRule="auto"/>
        <w:rPr>
          <w:rFonts w:eastAsia="Times New Roman" w:cstheme="minorHAnsi"/>
          <w:b/>
          <w:bCs/>
          <w:color w:val="000000"/>
          <w:lang w:eastAsia="en-IE"/>
        </w:rPr>
      </w:pPr>
    </w:p>
    <w:p w:rsidR="00B904ED" w:rsidRPr="00B97E75" w:rsidRDefault="00B904ED" w:rsidP="00690DAE">
      <w:pPr>
        <w:spacing w:after="0" w:line="240" w:lineRule="auto"/>
        <w:rPr>
          <w:rFonts w:eastAsia="Times New Roman" w:cstheme="minorHAnsi"/>
          <w:b/>
          <w:bCs/>
          <w:color w:val="000000"/>
          <w:lang w:eastAsia="en-IE"/>
        </w:rPr>
      </w:pPr>
    </w:p>
    <w:p w:rsidR="00B904ED" w:rsidRPr="00B97E75" w:rsidRDefault="00B904ED" w:rsidP="00690DAE">
      <w:pPr>
        <w:spacing w:after="0" w:line="240" w:lineRule="auto"/>
        <w:rPr>
          <w:rFonts w:eastAsia="Times New Roman" w:cstheme="minorHAnsi"/>
          <w:b/>
          <w:bCs/>
          <w:color w:val="000000"/>
          <w:lang w:eastAsia="en-IE"/>
        </w:rPr>
      </w:pPr>
    </w:p>
    <w:p w:rsidR="00B904ED" w:rsidRPr="00B97E75" w:rsidRDefault="00B904ED" w:rsidP="00690DAE">
      <w:pPr>
        <w:spacing w:after="0" w:line="240" w:lineRule="auto"/>
        <w:rPr>
          <w:rFonts w:eastAsia="Times New Roman" w:cstheme="minorHAnsi"/>
          <w:b/>
          <w:bCs/>
          <w:color w:val="000000"/>
          <w:lang w:eastAsia="en-IE"/>
        </w:rPr>
      </w:pPr>
    </w:p>
    <w:p w:rsidR="00B904ED" w:rsidRPr="00B97E75" w:rsidRDefault="00B904ED" w:rsidP="00690DAE">
      <w:pPr>
        <w:spacing w:after="0" w:line="240" w:lineRule="auto"/>
        <w:rPr>
          <w:rFonts w:eastAsia="Times New Roman" w:cstheme="minorHAnsi"/>
          <w:b/>
          <w:bCs/>
          <w:color w:val="000000"/>
          <w:lang w:eastAsia="en-IE"/>
        </w:rPr>
      </w:pPr>
    </w:p>
    <w:p w:rsidR="00B904ED" w:rsidRPr="00B97E75" w:rsidRDefault="00B904ED" w:rsidP="00690DAE">
      <w:pPr>
        <w:spacing w:after="0" w:line="240" w:lineRule="auto"/>
        <w:rPr>
          <w:rFonts w:eastAsia="Times New Roman" w:cstheme="minorHAnsi"/>
          <w:b/>
          <w:bCs/>
          <w:color w:val="000000"/>
          <w:lang w:eastAsia="en-IE"/>
        </w:rPr>
      </w:pPr>
    </w:p>
    <w:p w:rsidR="00B904ED" w:rsidRPr="00B97E75" w:rsidRDefault="00B904ED" w:rsidP="00690DAE">
      <w:pPr>
        <w:spacing w:after="0" w:line="240" w:lineRule="auto"/>
        <w:rPr>
          <w:rFonts w:eastAsia="Times New Roman" w:cstheme="minorHAnsi"/>
          <w:b/>
          <w:bCs/>
          <w:color w:val="000000"/>
          <w:lang w:eastAsia="en-IE"/>
        </w:rPr>
      </w:pPr>
    </w:p>
    <w:p w:rsidR="00B904ED" w:rsidRPr="00B97E75" w:rsidRDefault="00B904ED" w:rsidP="00690DAE">
      <w:pPr>
        <w:spacing w:after="0" w:line="240" w:lineRule="auto"/>
        <w:rPr>
          <w:rFonts w:eastAsia="Times New Roman" w:cstheme="minorHAnsi"/>
          <w:b/>
          <w:bCs/>
          <w:color w:val="000000"/>
          <w:lang w:eastAsia="en-IE"/>
        </w:rPr>
      </w:pPr>
    </w:p>
    <w:p w:rsidR="00B904ED" w:rsidRPr="00B97E75" w:rsidRDefault="00B904ED" w:rsidP="00690DAE">
      <w:pPr>
        <w:spacing w:after="0" w:line="240" w:lineRule="auto"/>
        <w:rPr>
          <w:rFonts w:eastAsia="Times New Roman" w:cstheme="minorHAnsi"/>
          <w:b/>
          <w:bCs/>
          <w:color w:val="000000"/>
          <w:lang w:eastAsia="en-IE"/>
        </w:rPr>
      </w:pPr>
    </w:p>
    <w:p w:rsidR="00B904ED" w:rsidRPr="00B97E75" w:rsidRDefault="00B904ED" w:rsidP="00690DAE">
      <w:pPr>
        <w:spacing w:after="0" w:line="240" w:lineRule="auto"/>
        <w:rPr>
          <w:rFonts w:eastAsia="Times New Roman" w:cstheme="minorHAnsi"/>
          <w:b/>
          <w:bCs/>
          <w:color w:val="000000"/>
          <w:lang w:eastAsia="en-IE"/>
        </w:rPr>
      </w:pPr>
    </w:p>
    <w:p w:rsidR="00B904ED" w:rsidRPr="00B97E75" w:rsidRDefault="00B904ED" w:rsidP="00690DAE">
      <w:pPr>
        <w:spacing w:after="0" w:line="240" w:lineRule="auto"/>
        <w:rPr>
          <w:rFonts w:eastAsia="Times New Roman" w:cstheme="minorHAnsi"/>
          <w:b/>
          <w:bCs/>
          <w:color w:val="000000"/>
          <w:lang w:eastAsia="en-IE"/>
        </w:rPr>
      </w:pPr>
    </w:p>
    <w:p w:rsidR="00B904ED" w:rsidRPr="00B97E75" w:rsidRDefault="00B904ED" w:rsidP="00690DAE">
      <w:pPr>
        <w:spacing w:after="0" w:line="240" w:lineRule="auto"/>
        <w:rPr>
          <w:rFonts w:eastAsia="Times New Roman" w:cstheme="minorHAnsi"/>
          <w:b/>
          <w:bCs/>
          <w:color w:val="000000"/>
          <w:lang w:eastAsia="en-IE"/>
        </w:rPr>
      </w:pPr>
    </w:p>
    <w:p w:rsidR="00B904ED" w:rsidRPr="00B97E75" w:rsidRDefault="00B904ED" w:rsidP="00690DAE">
      <w:pPr>
        <w:spacing w:after="0" w:line="240" w:lineRule="auto"/>
        <w:rPr>
          <w:rFonts w:eastAsia="Times New Roman" w:cstheme="minorHAnsi"/>
          <w:b/>
          <w:bCs/>
          <w:color w:val="000000"/>
          <w:lang w:eastAsia="en-IE"/>
        </w:rPr>
      </w:pPr>
    </w:p>
    <w:p w:rsidR="00B904ED" w:rsidRPr="00B97E75" w:rsidRDefault="00B904ED" w:rsidP="00690DAE">
      <w:pPr>
        <w:spacing w:after="0" w:line="240" w:lineRule="auto"/>
        <w:rPr>
          <w:rFonts w:eastAsia="Times New Roman" w:cstheme="minorHAnsi"/>
          <w:b/>
          <w:bCs/>
          <w:color w:val="000000"/>
          <w:lang w:eastAsia="en-IE"/>
        </w:rPr>
      </w:pPr>
    </w:p>
    <w:p w:rsidR="00B904ED" w:rsidRPr="00B97E75" w:rsidRDefault="00B904ED" w:rsidP="00690DAE">
      <w:pPr>
        <w:spacing w:after="0" w:line="240" w:lineRule="auto"/>
        <w:rPr>
          <w:rFonts w:eastAsia="Times New Roman" w:cstheme="minorHAnsi"/>
          <w:b/>
          <w:bCs/>
          <w:color w:val="000000"/>
          <w:lang w:eastAsia="en-IE"/>
        </w:rPr>
      </w:pPr>
    </w:p>
    <w:p w:rsidR="00673993" w:rsidRDefault="00673993" w:rsidP="00247403">
      <w:pPr>
        <w:pStyle w:val="PITableHeading"/>
        <w:rPr>
          <w:rFonts w:asciiTheme="minorHAnsi" w:hAnsiTheme="minorHAnsi" w:cstheme="minorHAnsi"/>
          <w:sz w:val="22"/>
          <w:szCs w:val="22"/>
        </w:rPr>
      </w:pPr>
    </w:p>
    <w:p w:rsidR="00673993" w:rsidRDefault="00673993" w:rsidP="00247403">
      <w:pPr>
        <w:pStyle w:val="PITableHeading"/>
        <w:rPr>
          <w:rFonts w:asciiTheme="minorHAnsi" w:hAnsiTheme="minorHAnsi" w:cstheme="minorHAnsi"/>
          <w:sz w:val="22"/>
          <w:szCs w:val="22"/>
        </w:rPr>
      </w:pPr>
    </w:p>
    <w:p w:rsidR="00673993" w:rsidRDefault="00673993" w:rsidP="00247403">
      <w:pPr>
        <w:pStyle w:val="PITableHeading"/>
        <w:rPr>
          <w:rFonts w:asciiTheme="minorHAnsi" w:hAnsiTheme="minorHAnsi" w:cstheme="minorHAnsi"/>
          <w:sz w:val="22"/>
          <w:szCs w:val="22"/>
        </w:rPr>
      </w:pPr>
    </w:p>
    <w:p w:rsidR="00B904ED" w:rsidRDefault="00B70292" w:rsidP="005604FA">
      <w:pPr>
        <w:pStyle w:val="PITableHeading"/>
        <w:rPr>
          <w:rFonts w:asciiTheme="minorHAnsi" w:hAnsiTheme="minorHAnsi" w:cstheme="minorHAnsi"/>
          <w:b w:val="0"/>
          <w:sz w:val="22"/>
          <w:szCs w:val="22"/>
        </w:rPr>
      </w:pPr>
      <w:r>
        <w:rPr>
          <w:rFonts w:asciiTheme="minorHAnsi" w:hAnsiTheme="minorHAnsi" w:cstheme="minorHAnsi"/>
          <w:sz w:val="22"/>
          <w:szCs w:val="22"/>
        </w:rPr>
        <w:lastRenderedPageBreak/>
        <w:t>Table 13</w:t>
      </w:r>
      <w:r w:rsidR="00201EC9" w:rsidRPr="00B97E75">
        <w:rPr>
          <w:rFonts w:asciiTheme="minorHAnsi" w:hAnsiTheme="minorHAnsi" w:cstheme="minorHAnsi"/>
          <w:sz w:val="22"/>
          <w:szCs w:val="22"/>
        </w:rPr>
        <w:t xml:space="preserve">: </w:t>
      </w:r>
      <w:r w:rsidR="00690DAE" w:rsidRPr="003E001D">
        <w:rPr>
          <w:rFonts w:asciiTheme="minorHAnsi" w:hAnsiTheme="minorHAnsi" w:cstheme="minorHAnsi"/>
          <w:b w:val="0"/>
          <w:sz w:val="22"/>
          <w:szCs w:val="22"/>
        </w:rPr>
        <w:t xml:space="preserve">Waste Complaints </w:t>
      </w:r>
      <w:r w:rsidR="00673993">
        <w:rPr>
          <w:rFonts w:asciiTheme="minorHAnsi" w:hAnsiTheme="minorHAnsi" w:cstheme="minorHAnsi"/>
          <w:b w:val="0"/>
          <w:sz w:val="22"/>
          <w:szCs w:val="22"/>
        </w:rPr>
        <w:t>Referred to</w:t>
      </w:r>
      <w:r w:rsidR="00690DAE" w:rsidRPr="003E001D">
        <w:rPr>
          <w:rFonts w:asciiTheme="minorHAnsi" w:hAnsiTheme="minorHAnsi" w:cstheme="minorHAnsi"/>
          <w:b w:val="0"/>
          <w:sz w:val="22"/>
          <w:szCs w:val="22"/>
        </w:rPr>
        <w:t xml:space="preserve"> EPA Office of Environmental </w:t>
      </w:r>
      <w:r w:rsidR="006D2042" w:rsidRPr="003E001D">
        <w:rPr>
          <w:rFonts w:asciiTheme="minorHAnsi" w:hAnsiTheme="minorHAnsi" w:cstheme="minorHAnsi"/>
          <w:b w:val="0"/>
          <w:sz w:val="22"/>
          <w:szCs w:val="22"/>
        </w:rPr>
        <w:t>Enforcement</w:t>
      </w:r>
      <w:r w:rsidR="00673993">
        <w:rPr>
          <w:rFonts w:asciiTheme="minorHAnsi" w:hAnsiTheme="minorHAnsi" w:cstheme="minorHAnsi"/>
          <w:b w:val="0"/>
          <w:sz w:val="22"/>
          <w:szCs w:val="22"/>
        </w:rPr>
        <w:t xml:space="preserve"> because problem persisted after investigation by LA</w:t>
      </w:r>
      <w:proofErr w:type="gramStart"/>
      <w:r w:rsidR="00673993">
        <w:rPr>
          <w:rFonts w:asciiTheme="minorHAnsi" w:hAnsiTheme="minorHAnsi" w:cstheme="minorHAnsi"/>
          <w:b w:val="0"/>
          <w:sz w:val="22"/>
          <w:szCs w:val="22"/>
        </w:rPr>
        <w:t xml:space="preserve">; </w:t>
      </w:r>
      <w:r w:rsidR="002E49C5" w:rsidRPr="003E001D">
        <w:rPr>
          <w:rFonts w:asciiTheme="minorHAnsi" w:hAnsiTheme="minorHAnsi" w:cstheme="minorHAnsi"/>
          <w:b w:val="0"/>
          <w:sz w:val="22"/>
          <w:szCs w:val="22"/>
        </w:rPr>
        <w:t xml:space="preserve"> </w:t>
      </w:r>
      <w:r w:rsidR="00690DAE" w:rsidRPr="003E001D">
        <w:rPr>
          <w:rFonts w:asciiTheme="minorHAnsi" w:hAnsiTheme="minorHAnsi" w:cstheme="minorHAnsi"/>
          <w:b w:val="0"/>
          <w:sz w:val="22"/>
          <w:szCs w:val="22"/>
        </w:rPr>
        <w:t>Percentage</w:t>
      </w:r>
      <w:proofErr w:type="gramEnd"/>
      <w:r w:rsidR="00690DAE" w:rsidRPr="003E001D">
        <w:rPr>
          <w:rFonts w:asciiTheme="minorHAnsi" w:hAnsiTheme="minorHAnsi" w:cstheme="minorHAnsi"/>
          <w:b w:val="0"/>
          <w:sz w:val="22"/>
          <w:szCs w:val="22"/>
        </w:rPr>
        <w:t xml:space="preserve"> of Other Environmental Pollution Complaints Closed</w:t>
      </w:r>
      <w:r w:rsidR="00165B06">
        <w:rPr>
          <w:rFonts w:asciiTheme="minorHAnsi" w:hAnsiTheme="minorHAnsi" w:cstheme="minorHAnsi"/>
          <w:b w:val="0"/>
          <w:sz w:val="22"/>
          <w:szCs w:val="22"/>
        </w:rPr>
        <w:t xml:space="preserve"> in 2014</w:t>
      </w:r>
    </w:p>
    <w:p w:rsidR="005604FA" w:rsidRPr="005604FA" w:rsidRDefault="005604FA" w:rsidP="005604FA">
      <w:pPr>
        <w:pStyle w:val="PITableHeading"/>
        <w:rPr>
          <w:rFonts w:asciiTheme="minorHAnsi" w:hAnsiTheme="minorHAnsi" w:cstheme="minorHAnsi"/>
          <w:b w:val="0"/>
          <w:sz w:val="22"/>
          <w:szCs w:val="22"/>
        </w:rPr>
      </w:pPr>
    </w:p>
    <w:tbl>
      <w:tblPr>
        <w:tblStyle w:val="LightGrid-Accent5"/>
        <w:tblW w:w="9948" w:type="dxa"/>
        <w:tblLayout w:type="fixed"/>
        <w:tblLook w:val="04A0" w:firstRow="1" w:lastRow="0" w:firstColumn="1" w:lastColumn="0" w:noHBand="0" w:noVBand="1"/>
      </w:tblPr>
      <w:tblGrid>
        <w:gridCol w:w="3085"/>
        <w:gridCol w:w="1276"/>
        <w:gridCol w:w="1276"/>
        <w:gridCol w:w="1451"/>
        <w:gridCol w:w="1430"/>
        <w:gridCol w:w="1430"/>
      </w:tblGrid>
      <w:tr w:rsidR="00690DAE" w:rsidRPr="005C4524" w:rsidTr="00771880">
        <w:trPr>
          <w:cnfStyle w:val="100000000000" w:firstRow="1" w:lastRow="0" w:firstColumn="0" w:lastColumn="0" w:oddVBand="0" w:evenVBand="0" w:oddHBand="0" w:evenHBand="0" w:firstRowFirstColumn="0" w:firstRowLastColumn="0" w:lastRowFirstColumn="0" w:lastRowLastColumn="0"/>
          <w:trHeight w:val="1454"/>
        </w:trPr>
        <w:tc>
          <w:tcPr>
            <w:cnfStyle w:val="001000000000" w:firstRow="0" w:lastRow="0" w:firstColumn="1" w:lastColumn="0" w:oddVBand="0" w:evenVBand="0" w:oddHBand="0" w:evenHBand="0" w:firstRowFirstColumn="0" w:firstRowLastColumn="0" w:lastRowFirstColumn="0" w:lastRowLastColumn="0"/>
            <w:tcW w:w="3085" w:type="dxa"/>
            <w:noWrap/>
            <w:vAlign w:val="center"/>
            <w:hideMark/>
          </w:tcPr>
          <w:p w:rsidR="00690DAE" w:rsidRPr="005C4524" w:rsidRDefault="00D36D20" w:rsidP="00771880">
            <w:pPr>
              <w:rPr>
                <w:rFonts w:asciiTheme="minorHAnsi" w:eastAsia="Times New Roman" w:hAnsiTheme="minorHAnsi" w:cstheme="minorHAnsi"/>
                <w:color w:val="000000"/>
                <w:lang w:eastAsia="en-IE"/>
              </w:rPr>
            </w:pPr>
            <w:r w:rsidRPr="00D36D20">
              <w:rPr>
                <w:rFonts w:asciiTheme="minorHAnsi" w:eastAsia="Times New Roman" w:hAnsiTheme="minorHAnsi" w:cstheme="minorHAnsi"/>
                <w:color w:val="000000"/>
                <w:lang w:eastAsia="en-IE"/>
              </w:rPr>
              <w:t>Authority</w:t>
            </w:r>
          </w:p>
        </w:tc>
        <w:tc>
          <w:tcPr>
            <w:tcW w:w="1276" w:type="dxa"/>
            <w:vAlign w:val="center"/>
            <w:hideMark/>
          </w:tcPr>
          <w:p w:rsidR="00690DAE" w:rsidRPr="005C4524" w:rsidRDefault="007C7A2E"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eastAsia="en-IE"/>
              </w:rPr>
            </w:pPr>
            <w:r>
              <w:rPr>
                <w:rFonts w:asciiTheme="minorHAnsi" w:eastAsia="Times New Roman" w:hAnsiTheme="minorHAnsi" w:cstheme="minorHAnsi"/>
                <w:color w:val="000000"/>
                <w:lang w:eastAsia="en-IE"/>
              </w:rPr>
              <w:t>Waste Complaints Referred to the OEE in 2014</w:t>
            </w:r>
          </w:p>
        </w:tc>
        <w:tc>
          <w:tcPr>
            <w:tcW w:w="1276" w:type="dxa"/>
            <w:vAlign w:val="center"/>
            <w:hideMark/>
          </w:tcPr>
          <w:p w:rsidR="00690DAE" w:rsidRPr="005C4524" w:rsidRDefault="00165B06"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eastAsia="en-IE"/>
              </w:rPr>
            </w:pPr>
            <w:r>
              <w:rPr>
                <w:rFonts w:asciiTheme="minorHAnsi" w:eastAsia="Times New Roman" w:hAnsiTheme="minorHAnsi" w:cstheme="minorHAnsi"/>
                <w:color w:val="000000"/>
                <w:lang w:eastAsia="en-IE"/>
              </w:rPr>
              <w:t xml:space="preserve">% </w:t>
            </w:r>
            <w:r w:rsidR="007C7A2E">
              <w:rPr>
                <w:rFonts w:asciiTheme="minorHAnsi" w:eastAsia="Times New Roman" w:hAnsiTheme="minorHAnsi" w:cstheme="minorHAnsi"/>
                <w:color w:val="000000"/>
                <w:lang w:eastAsia="en-IE"/>
              </w:rPr>
              <w:t xml:space="preserve">Litter </w:t>
            </w:r>
            <w:r w:rsidR="00673993">
              <w:rPr>
                <w:rFonts w:asciiTheme="minorHAnsi" w:eastAsia="Times New Roman" w:hAnsiTheme="minorHAnsi" w:cstheme="minorHAnsi"/>
                <w:color w:val="000000"/>
                <w:lang w:eastAsia="en-IE"/>
              </w:rPr>
              <w:t>Complaint Cases Closed</w:t>
            </w:r>
          </w:p>
        </w:tc>
        <w:tc>
          <w:tcPr>
            <w:tcW w:w="1451" w:type="dxa"/>
            <w:vAlign w:val="center"/>
            <w:hideMark/>
          </w:tcPr>
          <w:p w:rsidR="00690DAE" w:rsidRPr="005C4524" w:rsidRDefault="00165B06"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eastAsia="en-IE"/>
              </w:rPr>
            </w:pPr>
            <w:r>
              <w:rPr>
                <w:rFonts w:asciiTheme="minorHAnsi" w:eastAsia="Times New Roman" w:hAnsiTheme="minorHAnsi" w:cstheme="minorHAnsi"/>
                <w:color w:val="000000"/>
                <w:lang w:eastAsia="en-IE"/>
              </w:rPr>
              <w:t xml:space="preserve">% </w:t>
            </w:r>
            <w:r w:rsidR="007C7A2E">
              <w:rPr>
                <w:rFonts w:asciiTheme="minorHAnsi" w:eastAsia="Times New Roman" w:hAnsiTheme="minorHAnsi" w:cstheme="minorHAnsi"/>
                <w:color w:val="000000"/>
                <w:lang w:eastAsia="en-IE"/>
              </w:rPr>
              <w:t>Air Complaint Cases</w:t>
            </w:r>
            <w:r w:rsidR="00673993">
              <w:rPr>
                <w:rFonts w:asciiTheme="minorHAnsi" w:eastAsia="Times New Roman" w:hAnsiTheme="minorHAnsi" w:cstheme="minorHAnsi"/>
                <w:color w:val="000000"/>
                <w:lang w:eastAsia="en-IE"/>
              </w:rPr>
              <w:t xml:space="preserve"> Closed</w:t>
            </w:r>
          </w:p>
        </w:tc>
        <w:tc>
          <w:tcPr>
            <w:tcW w:w="1430" w:type="dxa"/>
            <w:vAlign w:val="center"/>
            <w:hideMark/>
          </w:tcPr>
          <w:p w:rsidR="00690DAE" w:rsidRPr="005C4524" w:rsidRDefault="00165B06"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eastAsia="en-IE"/>
              </w:rPr>
            </w:pPr>
            <w:r>
              <w:rPr>
                <w:rFonts w:asciiTheme="minorHAnsi" w:eastAsia="Times New Roman" w:hAnsiTheme="minorHAnsi" w:cstheme="minorHAnsi"/>
                <w:color w:val="000000"/>
                <w:lang w:eastAsia="en-IE"/>
              </w:rPr>
              <w:t>%</w:t>
            </w:r>
            <w:r w:rsidR="007C7A2E">
              <w:rPr>
                <w:rFonts w:asciiTheme="minorHAnsi" w:eastAsia="Times New Roman" w:hAnsiTheme="minorHAnsi" w:cstheme="minorHAnsi"/>
                <w:color w:val="000000"/>
                <w:lang w:eastAsia="en-IE"/>
              </w:rPr>
              <w:t xml:space="preserve"> Noise Complaint Cases</w:t>
            </w:r>
            <w:r w:rsidR="00673993">
              <w:rPr>
                <w:rFonts w:asciiTheme="minorHAnsi" w:eastAsia="Times New Roman" w:hAnsiTheme="minorHAnsi" w:cstheme="minorHAnsi"/>
                <w:color w:val="000000"/>
                <w:lang w:eastAsia="en-IE"/>
              </w:rPr>
              <w:t xml:space="preserve"> Closed</w:t>
            </w:r>
          </w:p>
        </w:tc>
        <w:tc>
          <w:tcPr>
            <w:tcW w:w="1430" w:type="dxa"/>
            <w:vAlign w:val="center"/>
            <w:hideMark/>
          </w:tcPr>
          <w:p w:rsidR="00690DAE" w:rsidRPr="005C4524" w:rsidRDefault="00165B06"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eastAsia="en-IE"/>
              </w:rPr>
            </w:pPr>
            <w:r>
              <w:rPr>
                <w:rFonts w:asciiTheme="minorHAnsi" w:eastAsia="Times New Roman" w:hAnsiTheme="minorHAnsi" w:cstheme="minorHAnsi"/>
                <w:color w:val="000000"/>
                <w:lang w:eastAsia="en-IE"/>
              </w:rPr>
              <w:t xml:space="preserve">% </w:t>
            </w:r>
            <w:r w:rsidR="007C7A2E">
              <w:rPr>
                <w:rFonts w:asciiTheme="minorHAnsi" w:eastAsia="Times New Roman" w:hAnsiTheme="minorHAnsi" w:cstheme="minorHAnsi"/>
                <w:color w:val="000000"/>
                <w:lang w:eastAsia="en-IE"/>
              </w:rPr>
              <w:t>Water Complaint Cases</w:t>
            </w:r>
            <w:r w:rsidR="00673993">
              <w:rPr>
                <w:rFonts w:asciiTheme="minorHAnsi" w:eastAsia="Times New Roman" w:hAnsiTheme="minorHAnsi" w:cstheme="minorHAnsi"/>
                <w:color w:val="000000"/>
                <w:lang w:eastAsia="en-IE"/>
              </w:rPr>
              <w:t xml:space="preserve"> Closed</w:t>
            </w:r>
          </w:p>
        </w:tc>
      </w:tr>
      <w:tr w:rsidR="00690DAE" w:rsidRPr="005C4524" w:rsidTr="007C7A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 </w:t>
            </w:r>
          </w:p>
        </w:tc>
        <w:tc>
          <w:tcPr>
            <w:tcW w:w="1276" w:type="dxa"/>
            <w:hideMark/>
          </w:tcPr>
          <w:p w:rsidR="00690DAE" w:rsidRPr="005C4524" w:rsidRDefault="00690DAE" w:rsidP="00690D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276" w:type="dxa"/>
            <w:noWrap/>
            <w:hideMark/>
          </w:tcPr>
          <w:p w:rsidR="00690DAE" w:rsidRPr="005C4524" w:rsidRDefault="00690DAE" w:rsidP="00690D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451" w:type="dxa"/>
            <w:noWrap/>
            <w:hideMark/>
          </w:tcPr>
          <w:p w:rsidR="00690DAE" w:rsidRPr="005C4524" w:rsidRDefault="00690DAE" w:rsidP="00690D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430" w:type="dxa"/>
            <w:noWrap/>
            <w:hideMark/>
          </w:tcPr>
          <w:p w:rsidR="00690DAE" w:rsidRPr="005C4524" w:rsidRDefault="00690DAE" w:rsidP="00690D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430" w:type="dxa"/>
            <w:noWrap/>
            <w:hideMark/>
          </w:tcPr>
          <w:p w:rsidR="00690DAE" w:rsidRPr="005C4524" w:rsidRDefault="00690DAE" w:rsidP="00690D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r>
      <w:tr w:rsidR="00690DAE" w:rsidRPr="005C4524" w:rsidTr="007C7A2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Carlow County</w:t>
            </w:r>
          </w:p>
        </w:tc>
        <w:tc>
          <w:tcPr>
            <w:tcW w:w="127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w:t>
            </w:r>
          </w:p>
        </w:tc>
        <w:tc>
          <w:tcPr>
            <w:tcW w:w="1276"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93.15</w:t>
            </w:r>
          </w:p>
        </w:tc>
        <w:tc>
          <w:tcPr>
            <w:tcW w:w="1451"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w:t>
            </w:r>
          </w:p>
        </w:tc>
      </w:tr>
      <w:tr w:rsidR="00690DAE" w:rsidRPr="005C4524" w:rsidTr="007C7A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Cavan County</w:t>
            </w:r>
          </w:p>
        </w:tc>
        <w:tc>
          <w:tcPr>
            <w:tcW w:w="127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276"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98.21</w:t>
            </w:r>
          </w:p>
        </w:tc>
        <w:tc>
          <w:tcPr>
            <w:tcW w:w="1451"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w:t>
            </w:r>
          </w:p>
        </w:tc>
        <w:tc>
          <w:tcPr>
            <w:tcW w:w="1430" w:type="dxa"/>
            <w:noWrap/>
            <w:hideMark/>
          </w:tcPr>
          <w:p w:rsidR="00690DAE" w:rsidRPr="005C4524" w:rsidRDefault="00673993"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Pr>
                <w:rFonts w:eastAsia="Times New Roman" w:cstheme="minorHAnsi"/>
                <w:color w:val="000000"/>
                <w:lang w:eastAsia="en-IE"/>
              </w:rPr>
              <w:t>97</w:t>
            </w:r>
          </w:p>
        </w:tc>
      </w:tr>
      <w:tr w:rsidR="00690DAE" w:rsidRPr="005C4524" w:rsidTr="007C7A2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Clare County</w:t>
            </w:r>
          </w:p>
        </w:tc>
        <w:tc>
          <w:tcPr>
            <w:tcW w:w="127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276"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w:t>
            </w:r>
          </w:p>
        </w:tc>
        <w:tc>
          <w:tcPr>
            <w:tcW w:w="1451"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73.45</w:t>
            </w:r>
          </w:p>
        </w:tc>
      </w:tr>
      <w:tr w:rsidR="00690DAE" w:rsidRPr="005C4524" w:rsidTr="007C7A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Cork City</w:t>
            </w:r>
          </w:p>
        </w:tc>
        <w:tc>
          <w:tcPr>
            <w:tcW w:w="127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276"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19.6</w:t>
            </w:r>
          </w:p>
        </w:tc>
        <w:tc>
          <w:tcPr>
            <w:tcW w:w="1451"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89.47</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85.71</w:t>
            </w:r>
          </w:p>
        </w:tc>
      </w:tr>
      <w:tr w:rsidR="00690DAE" w:rsidRPr="005C4524" w:rsidTr="007C7A2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Cork County</w:t>
            </w:r>
          </w:p>
        </w:tc>
        <w:tc>
          <w:tcPr>
            <w:tcW w:w="127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276"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93.46</w:t>
            </w:r>
          </w:p>
        </w:tc>
        <w:tc>
          <w:tcPr>
            <w:tcW w:w="1451"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59.78</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78.79</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66.16</w:t>
            </w:r>
          </w:p>
        </w:tc>
      </w:tr>
      <w:tr w:rsidR="00690DAE" w:rsidRPr="005C4524" w:rsidTr="007C7A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Donegal County</w:t>
            </w:r>
          </w:p>
        </w:tc>
        <w:tc>
          <w:tcPr>
            <w:tcW w:w="127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4</w:t>
            </w:r>
          </w:p>
        </w:tc>
        <w:tc>
          <w:tcPr>
            <w:tcW w:w="1276"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95.56</w:t>
            </w:r>
          </w:p>
        </w:tc>
        <w:tc>
          <w:tcPr>
            <w:tcW w:w="1451"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90.91</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95.45</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65.88</w:t>
            </w:r>
          </w:p>
        </w:tc>
      </w:tr>
      <w:tr w:rsidR="00690DAE" w:rsidRPr="005C4524" w:rsidTr="007C7A2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Dublin City</w:t>
            </w:r>
          </w:p>
        </w:tc>
        <w:tc>
          <w:tcPr>
            <w:tcW w:w="127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276"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w:t>
            </w:r>
          </w:p>
        </w:tc>
        <w:tc>
          <w:tcPr>
            <w:tcW w:w="1451"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94.83</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89.5</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w:t>
            </w:r>
          </w:p>
        </w:tc>
      </w:tr>
      <w:tr w:rsidR="00690DAE" w:rsidRPr="005C4524" w:rsidTr="007C7A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 xml:space="preserve">Dun Laoghaire </w:t>
            </w:r>
            <w:proofErr w:type="spellStart"/>
            <w:r w:rsidRPr="005C4524">
              <w:rPr>
                <w:rFonts w:asciiTheme="minorHAnsi" w:eastAsia="Times New Roman" w:hAnsiTheme="minorHAnsi" w:cstheme="minorHAnsi"/>
                <w:color w:val="000000"/>
                <w:lang w:eastAsia="en-IE"/>
              </w:rPr>
              <w:t>Rathdown</w:t>
            </w:r>
            <w:proofErr w:type="spellEnd"/>
          </w:p>
        </w:tc>
        <w:tc>
          <w:tcPr>
            <w:tcW w:w="127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276"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w:t>
            </w:r>
          </w:p>
        </w:tc>
        <w:tc>
          <w:tcPr>
            <w:tcW w:w="1451"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96.43</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98.78</w:t>
            </w:r>
          </w:p>
        </w:tc>
      </w:tr>
      <w:tr w:rsidR="00690DAE" w:rsidRPr="005C4524" w:rsidTr="007C7A2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proofErr w:type="spellStart"/>
            <w:r w:rsidRPr="005C4524">
              <w:rPr>
                <w:rFonts w:asciiTheme="minorHAnsi" w:eastAsia="Times New Roman" w:hAnsiTheme="minorHAnsi" w:cstheme="minorHAnsi"/>
                <w:color w:val="000000"/>
                <w:lang w:eastAsia="en-IE"/>
              </w:rPr>
              <w:t>Fingal</w:t>
            </w:r>
            <w:proofErr w:type="spellEnd"/>
            <w:r w:rsidRPr="005C4524">
              <w:rPr>
                <w:rFonts w:asciiTheme="minorHAnsi" w:eastAsia="Times New Roman" w:hAnsiTheme="minorHAnsi" w:cstheme="minorHAnsi"/>
                <w:color w:val="000000"/>
                <w:lang w:eastAsia="en-IE"/>
              </w:rPr>
              <w:t xml:space="preserve"> County</w:t>
            </w:r>
          </w:p>
        </w:tc>
        <w:tc>
          <w:tcPr>
            <w:tcW w:w="127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276"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91.9</w:t>
            </w:r>
          </w:p>
        </w:tc>
        <w:tc>
          <w:tcPr>
            <w:tcW w:w="1451"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4.73</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5.2</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85.71</w:t>
            </w:r>
          </w:p>
        </w:tc>
      </w:tr>
      <w:tr w:rsidR="00690DAE" w:rsidRPr="005C4524" w:rsidTr="007C7A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Galway City</w:t>
            </w:r>
          </w:p>
        </w:tc>
        <w:tc>
          <w:tcPr>
            <w:tcW w:w="127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w:t>
            </w:r>
          </w:p>
        </w:tc>
        <w:tc>
          <w:tcPr>
            <w:tcW w:w="1276"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86.99</w:t>
            </w:r>
          </w:p>
        </w:tc>
        <w:tc>
          <w:tcPr>
            <w:tcW w:w="1451"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88.37</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97.67</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w:t>
            </w:r>
          </w:p>
        </w:tc>
      </w:tr>
      <w:tr w:rsidR="00690DAE" w:rsidRPr="005C4524" w:rsidTr="007C7A2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Galway County</w:t>
            </w:r>
          </w:p>
        </w:tc>
        <w:tc>
          <w:tcPr>
            <w:tcW w:w="127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w:t>
            </w:r>
          </w:p>
        </w:tc>
        <w:tc>
          <w:tcPr>
            <w:tcW w:w="1276"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87.7</w:t>
            </w:r>
          </w:p>
        </w:tc>
        <w:tc>
          <w:tcPr>
            <w:tcW w:w="1451"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87.72</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85.71</w:t>
            </w:r>
          </w:p>
        </w:tc>
      </w:tr>
      <w:tr w:rsidR="00690DAE" w:rsidRPr="005C4524" w:rsidTr="007C7A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Kerry County</w:t>
            </w:r>
          </w:p>
        </w:tc>
        <w:tc>
          <w:tcPr>
            <w:tcW w:w="127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w:t>
            </w:r>
          </w:p>
        </w:tc>
        <w:tc>
          <w:tcPr>
            <w:tcW w:w="1276"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95.68</w:t>
            </w:r>
          </w:p>
        </w:tc>
        <w:tc>
          <w:tcPr>
            <w:tcW w:w="1451"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72.46</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28</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70.14</w:t>
            </w:r>
          </w:p>
        </w:tc>
      </w:tr>
      <w:tr w:rsidR="00690DAE" w:rsidRPr="005C4524" w:rsidTr="007C7A2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Kildare County</w:t>
            </w:r>
          </w:p>
        </w:tc>
        <w:tc>
          <w:tcPr>
            <w:tcW w:w="127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276"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88.5</w:t>
            </w:r>
          </w:p>
        </w:tc>
        <w:tc>
          <w:tcPr>
            <w:tcW w:w="1451"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93.33</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66.94</w:t>
            </w:r>
          </w:p>
        </w:tc>
      </w:tr>
      <w:tr w:rsidR="00690DAE" w:rsidRPr="005C4524" w:rsidTr="007C7A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Kilkenny County</w:t>
            </w:r>
          </w:p>
        </w:tc>
        <w:tc>
          <w:tcPr>
            <w:tcW w:w="127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276"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95.5</w:t>
            </w:r>
          </w:p>
        </w:tc>
        <w:tc>
          <w:tcPr>
            <w:tcW w:w="1451"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94.87</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66.67</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87.5</w:t>
            </w:r>
          </w:p>
        </w:tc>
      </w:tr>
      <w:tr w:rsidR="00690DAE" w:rsidRPr="005C4524" w:rsidTr="007C7A2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Laois County</w:t>
            </w:r>
          </w:p>
        </w:tc>
        <w:tc>
          <w:tcPr>
            <w:tcW w:w="127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w:t>
            </w:r>
          </w:p>
        </w:tc>
        <w:tc>
          <w:tcPr>
            <w:tcW w:w="1276"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95.68</w:t>
            </w:r>
          </w:p>
        </w:tc>
        <w:tc>
          <w:tcPr>
            <w:tcW w:w="1451"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85.71</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66.67</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82.46</w:t>
            </w:r>
          </w:p>
        </w:tc>
      </w:tr>
      <w:tr w:rsidR="00690DAE" w:rsidRPr="005C4524" w:rsidTr="007C7A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Leitrim County</w:t>
            </w:r>
          </w:p>
        </w:tc>
        <w:tc>
          <w:tcPr>
            <w:tcW w:w="127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0</w:t>
            </w:r>
          </w:p>
        </w:tc>
        <w:tc>
          <w:tcPr>
            <w:tcW w:w="1276"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81.82</w:t>
            </w:r>
          </w:p>
        </w:tc>
        <w:tc>
          <w:tcPr>
            <w:tcW w:w="1451"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40</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80</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36.36</w:t>
            </w:r>
          </w:p>
        </w:tc>
      </w:tr>
      <w:tr w:rsidR="00690DAE" w:rsidRPr="005C4524" w:rsidTr="007C7A2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Limerick City &amp; County</w:t>
            </w:r>
          </w:p>
        </w:tc>
        <w:tc>
          <w:tcPr>
            <w:tcW w:w="127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w:t>
            </w:r>
          </w:p>
        </w:tc>
        <w:tc>
          <w:tcPr>
            <w:tcW w:w="1276"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92.01</w:t>
            </w:r>
          </w:p>
        </w:tc>
        <w:tc>
          <w:tcPr>
            <w:tcW w:w="1451"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97.5</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89.11</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w:t>
            </w:r>
          </w:p>
        </w:tc>
      </w:tr>
      <w:tr w:rsidR="00690DAE" w:rsidRPr="005C4524" w:rsidTr="007C7A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Longford County</w:t>
            </w:r>
          </w:p>
        </w:tc>
        <w:tc>
          <w:tcPr>
            <w:tcW w:w="127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276"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97.94</w:t>
            </w:r>
          </w:p>
        </w:tc>
        <w:tc>
          <w:tcPr>
            <w:tcW w:w="1451"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42.86</w:t>
            </w:r>
          </w:p>
        </w:tc>
      </w:tr>
      <w:tr w:rsidR="00690DAE" w:rsidRPr="005C4524" w:rsidTr="007C7A2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Louth County</w:t>
            </w:r>
          </w:p>
        </w:tc>
        <w:tc>
          <w:tcPr>
            <w:tcW w:w="127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276"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81.49</w:t>
            </w:r>
          </w:p>
        </w:tc>
        <w:tc>
          <w:tcPr>
            <w:tcW w:w="1451"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96.3</w:t>
            </w:r>
          </w:p>
        </w:tc>
      </w:tr>
      <w:tr w:rsidR="00690DAE" w:rsidRPr="005C4524" w:rsidTr="007C7A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Mayo County</w:t>
            </w:r>
          </w:p>
        </w:tc>
        <w:tc>
          <w:tcPr>
            <w:tcW w:w="127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276"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84.2</w:t>
            </w:r>
          </w:p>
        </w:tc>
        <w:tc>
          <w:tcPr>
            <w:tcW w:w="1451"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81.63</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78.67</w:t>
            </w:r>
          </w:p>
        </w:tc>
      </w:tr>
      <w:tr w:rsidR="00690DAE" w:rsidRPr="005C4524" w:rsidTr="007C7A2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Meath County</w:t>
            </w:r>
          </w:p>
        </w:tc>
        <w:tc>
          <w:tcPr>
            <w:tcW w:w="127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63</w:t>
            </w:r>
          </w:p>
        </w:tc>
        <w:tc>
          <w:tcPr>
            <w:tcW w:w="1276"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90.92</w:t>
            </w:r>
          </w:p>
        </w:tc>
        <w:tc>
          <w:tcPr>
            <w:tcW w:w="1451"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66.18</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70.59</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69.72</w:t>
            </w:r>
          </w:p>
        </w:tc>
      </w:tr>
      <w:tr w:rsidR="00690DAE" w:rsidRPr="005C4524" w:rsidTr="007C7A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Monaghan County</w:t>
            </w:r>
          </w:p>
        </w:tc>
        <w:tc>
          <w:tcPr>
            <w:tcW w:w="127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w:t>
            </w:r>
          </w:p>
        </w:tc>
        <w:tc>
          <w:tcPr>
            <w:tcW w:w="1276"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w:t>
            </w:r>
          </w:p>
        </w:tc>
        <w:tc>
          <w:tcPr>
            <w:tcW w:w="1451"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w:t>
            </w:r>
          </w:p>
        </w:tc>
        <w:tc>
          <w:tcPr>
            <w:tcW w:w="1430" w:type="dxa"/>
            <w:noWrap/>
            <w:hideMark/>
          </w:tcPr>
          <w:p w:rsidR="00690DAE" w:rsidRPr="005C4524" w:rsidRDefault="00521A16"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Pr>
                <w:rFonts w:eastAsia="Times New Roman" w:cstheme="minorHAnsi"/>
                <w:color w:val="000000"/>
                <w:lang w:eastAsia="en-IE"/>
              </w:rPr>
              <w:t>N/A</w:t>
            </w:r>
            <w:r w:rsidR="00690DAE" w:rsidRPr="005C4524">
              <w:rPr>
                <w:rFonts w:eastAsia="Times New Roman" w:cstheme="minorHAnsi"/>
                <w:color w:val="000000"/>
                <w:lang w:eastAsia="en-IE"/>
              </w:rPr>
              <w:t> </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71.77</w:t>
            </w:r>
          </w:p>
        </w:tc>
      </w:tr>
      <w:tr w:rsidR="00690DAE" w:rsidRPr="005C4524" w:rsidTr="007C7A2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Offaly County</w:t>
            </w:r>
          </w:p>
        </w:tc>
        <w:tc>
          <w:tcPr>
            <w:tcW w:w="127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276"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96.81</w:t>
            </w:r>
          </w:p>
        </w:tc>
        <w:tc>
          <w:tcPr>
            <w:tcW w:w="1451"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37.5</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42.31</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25.58</w:t>
            </w:r>
          </w:p>
        </w:tc>
      </w:tr>
      <w:tr w:rsidR="00690DAE" w:rsidRPr="005C4524" w:rsidTr="007C7A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Roscommon County</w:t>
            </w:r>
          </w:p>
        </w:tc>
        <w:tc>
          <w:tcPr>
            <w:tcW w:w="127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276"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91.38</w:t>
            </w:r>
          </w:p>
        </w:tc>
        <w:tc>
          <w:tcPr>
            <w:tcW w:w="1451"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77.27</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42.86</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46.67</w:t>
            </w:r>
          </w:p>
        </w:tc>
      </w:tr>
      <w:tr w:rsidR="00690DAE" w:rsidRPr="005C4524" w:rsidTr="007C7A2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Sligo County</w:t>
            </w:r>
          </w:p>
        </w:tc>
        <w:tc>
          <w:tcPr>
            <w:tcW w:w="127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w:t>
            </w:r>
          </w:p>
        </w:tc>
        <w:tc>
          <w:tcPr>
            <w:tcW w:w="1276"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99.66</w:t>
            </w:r>
          </w:p>
        </w:tc>
        <w:tc>
          <w:tcPr>
            <w:tcW w:w="1451"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64.29</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86.61</w:t>
            </w:r>
          </w:p>
        </w:tc>
      </w:tr>
      <w:tr w:rsidR="00690DAE" w:rsidRPr="005C4524" w:rsidTr="007C7A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South Dublin County</w:t>
            </w:r>
          </w:p>
        </w:tc>
        <w:tc>
          <w:tcPr>
            <w:tcW w:w="127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w:t>
            </w:r>
          </w:p>
        </w:tc>
        <w:tc>
          <w:tcPr>
            <w:tcW w:w="1276"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87.29</w:t>
            </w:r>
          </w:p>
        </w:tc>
        <w:tc>
          <w:tcPr>
            <w:tcW w:w="1451"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96.12</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96.21</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w:t>
            </w:r>
          </w:p>
        </w:tc>
      </w:tr>
      <w:tr w:rsidR="00690DAE" w:rsidRPr="005C4524" w:rsidTr="007C7A2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Tipperary County</w:t>
            </w:r>
          </w:p>
        </w:tc>
        <w:tc>
          <w:tcPr>
            <w:tcW w:w="127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18</w:t>
            </w:r>
          </w:p>
        </w:tc>
        <w:tc>
          <w:tcPr>
            <w:tcW w:w="1276"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83.77</w:t>
            </w:r>
          </w:p>
        </w:tc>
        <w:tc>
          <w:tcPr>
            <w:tcW w:w="1451"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71.26</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74.19</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70.31</w:t>
            </w:r>
          </w:p>
        </w:tc>
      </w:tr>
      <w:tr w:rsidR="00690DAE" w:rsidRPr="005C4524" w:rsidTr="007C7A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Waterford City &amp; County</w:t>
            </w:r>
          </w:p>
        </w:tc>
        <w:tc>
          <w:tcPr>
            <w:tcW w:w="127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w:t>
            </w:r>
          </w:p>
        </w:tc>
        <w:tc>
          <w:tcPr>
            <w:tcW w:w="1276"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w:t>
            </w:r>
          </w:p>
        </w:tc>
        <w:tc>
          <w:tcPr>
            <w:tcW w:w="1451"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66.67</w:t>
            </w:r>
          </w:p>
        </w:tc>
      </w:tr>
      <w:tr w:rsidR="00690DAE" w:rsidRPr="005C4524" w:rsidTr="007C7A2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Westmeath County</w:t>
            </w:r>
          </w:p>
        </w:tc>
        <w:tc>
          <w:tcPr>
            <w:tcW w:w="127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0</w:t>
            </w:r>
          </w:p>
        </w:tc>
        <w:tc>
          <w:tcPr>
            <w:tcW w:w="1276"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94.69</w:t>
            </w:r>
          </w:p>
        </w:tc>
        <w:tc>
          <w:tcPr>
            <w:tcW w:w="1451"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81.58</w:t>
            </w:r>
          </w:p>
        </w:tc>
        <w:tc>
          <w:tcPr>
            <w:tcW w:w="1430" w:type="dxa"/>
            <w:noWrap/>
            <w:hideMark/>
          </w:tcPr>
          <w:p w:rsidR="00690DAE" w:rsidRPr="00A74465"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103.85</w:t>
            </w:r>
            <w:r w:rsidR="00326A0E">
              <w:rPr>
                <w:rFonts w:eastAsia="Times New Roman" w:cstheme="minorHAnsi"/>
                <w:color w:val="000000"/>
                <w:vertAlign w:val="superscript"/>
                <w:lang w:eastAsia="en-IE"/>
              </w:rPr>
              <w:t>a</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60</w:t>
            </w:r>
          </w:p>
        </w:tc>
      </w:tr>
      <w:tr w:rsidR="00690DAE" w:rsidRPr="005C4524" w:rsidTr="007C7A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Wexford County</w:t>
            </w:r>
          </w:p>
        </w:tc>
        <w:tc>
          <w:tcPr>
            <w:tcW w:w="127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w:t>
            </w:r>
          </w:p>
        </w:tc>
        <w:tc>
          <w:tcPr>
            <w:tcW w:w="1276"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85.71</w:t>
            </w:r>
          </w:p>
        </w:tc>
        <w:tc>
          <w:tcPr>
            <w:tcW w:w="1451"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48.28</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56.67</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69.74</w:t>
            </w:r>
          </w:p>
        </w:tc>
      </w:tr>
      <w:tr w:rsidR="00690DAE" w:rsidRPr="005C4524" w:rsidTr="007C7A2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Wicklow County</w:t>
            </w:r>
          </w:p>
        </w:tc>
        <w:tc>
          <w:tcPr>
            <w:tcW w:w="1276" w:type="dxa"/>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w:t>
            </w:r>
          </w:p>
        </w:tc>
        <w:tc>
          <w:tcPr>
            <w:tcW w:w="1276"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75.68</w:t>
            </w:r>
          </w:p>
        </w:tc>
        <w:tc>
          <w:tcPr>
            <w:tcW w:w="1451"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80.74</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60</w:t>
            </w:r>
          </w:p>
        </w:tc>
        <w:tc>
          <w:tcPr>
            <w:tcW w:w="1430" w:type="dxa"/>
            <w:noWrap/>
            <w:hideMark/>
          </w:tcPr>
          <w:p w:rsidR="00690DAE" w:rsidRPr="005C4524" w:rsidRDefault="00690DAE" w:rsidP="00690DA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78.57</w:t>
            </w:r>
          </w:p>
        </w:tc>
      </w:tr>
      <w:tr w:rsidR="00690DAE" w:rsidRPr="005C4524" w:rsidTr="007C7A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noWrap/>
            <w:hideMark/>
          </w:tcPr>
          <w:p w:rsidR="00690DAE" w:rsidRPr="005C4524" w:rsidRDefault="00690DAE" w:rsidP="00690DAE">
            <w:pPr>
              <w:rPr>
                <w:rFonts w:asciiTheme="minorHAnsi" w:eastAsia="Times New Roman" w:hAnsiTheme="minorHAnsi" w:cstheme="minorHAnsi"/>
                <w:b w:val="0"/>
                <w:bCs w:val="0"/>
                <w:color w:val="000000"/>
                <w:lang w:eastAsia="en-IE"/>
              </w:rPr>
            </w:pPr>
            <w:r w:rsidRPr="005C4524">
              <w:rPr>
                <w:rFonts w:asciiTheme="minorHAnsi" w:eastAsia="Times New Roman" w:hAnsiTheme="minorHAnsi" w:cstheme="minorHAnsi"/>
                <w:color w:val="000000"/>
                <w:lang w:eastAsia="en-IE"/>
              </w:rPr>
              <w:t>Totals</w:t>
            </w:r>
          </w:p>
        </w:tc>
        <w:tc>
          <w:tcPr>
            <w:tcW w:w="1276" w:type="dxa"/>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IE"/>
              </w:rPr>
            </w:pPr>
            <w:r w:rsidRPr="005C4524">
              <w:rPr>
                <w:rFonts w:eastAsia="Times New Roman" w:cstheme="minorHAnsi"/>
                <w:b/>
                <w:bCs/>
                <w:color w:val="000000"/>
                <w:lang w:eastAsia="en-IE"/>
              </w:rPr>
              <w:t>113</w:t>
            </w:r>
          </w:p>
        </w:tc>
        <w:tc>
          <w:tcPr>
            <w:tcW w:w="1276"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IE"/>
              </w:rPr>
            </w:pPr>
            <w:r w:rsidRPr="005C4524">
              <w:rPr>
                <w:rFonts w:eastAsia="Times New Roman" w:cstheme="minorHAnsi"/>
                <w:b/>
                <w:bCs/>
                <w:color w:val="000000"/>
                <w:lang w:eastAsia="en-IE"/>
              </w:rPr>
              <w:t> </w:t>
            </w:r>
          </w:p>
        </w:tc>
        <w:tc>
          <w:tcPr>
            <w:tcW w:w="1451"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IE"/>
              </w:rPr>
            </w:pPr>
            <w:r w:rsidRPr="005C4524">
              <w:rPr>
                <w:rFonts w:eastAsia="Times New Roman" w:cstheme="minorHAnsi"/>
                <w:b/>
                <w:bCs/>
                <w:color w:val="000000"/>
                <w:lang w:eastAsia="en-IE"/>
              </w:rPr>
              <w:t> </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IE"/>
              </w:rPr>
            </w:pPr>
            <w:r w:rsidRPr="005C4524">
              <w:rPr>
                <w:rFonts w:eastAsia="Times New Roman" w:cstheme="minorHAnsi"/>
                <w:b/>
                <w:bCs/>
                <w:color w:val="000000"/>
                <w:lang w:eastAsia="en-IE"/>
              </w:rPr>
              <w:t> </w:t>
            </w:r>
          </w:p>
        </w:tc>
        <w:tc>
          <w:tcPr>
            <w:tcW w:w="1430" w:type="dxa"/>
            <w:noWrap/>
            <w:hideMark/>
          </w:tcPr>
          <w:p w:rsidR="00690DAE" w:rsidRPr="005C4524" w:rsidRDefault="00690DAE" w:rsidP="00690DA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IE"/>
              </w:rPr>
            </w:pPr>
            <w:r w:rsidRPr="005C4524">
              <w:rPr>
                <w:rFonts w:eastAsia="Times New Roman" w:cstheme="minorHAnsi"/>
                <w:b/>
                <w:bCs/>
                <w:color w:val="000000"/>
                <w:lang w:eastAsia="en-IE"/>
              </w:rPr>
              <w:t> </w:t>
            </w:r>
          </w:p>
        </w:tc>
      </w:tr>
    </w:tbl>
    <w:p w:rsidR="00690DAE" w:rsidRDefault="00690DAE" w:rsidP="009A7822">
      <w:pPr>
        <w:spacing w:after="0" w:line="240" w:lineRule="auto"/>
        <w:rPr>
          <w:rFonts w:eastAsia="Times New Roman" w:cstheme="minorHAnsi"/>
          <w:b/>
          <w:bCs/>
          <w:color w:val="000000"/>
          <w:lang w:eastAsia="en-IE"/>
        </w:rPr>
      </w:pPr>
    </w:p>
    <w:p w:rsidR="002F3607" w:rsidRDefault="002F3607" w:rsidP="009A7822">
      <w:pPr>
        <w:spacing w:after="0" w:line="240" w:lineRule="auto"/>
        <w:rPr>
          <w:rFonts w:eastAsia="Times New Roman" w:cstheme="minorHAnsi"/>
          <w:b/>
          <w:bCs/>
          <w:color w:val="000000"/>
          <w:lang w:eastAsia="en-IE"/>
        </w:rPr>
      </w:pPr>
    </w:p>
    <w:p w:rsidR="002F3607" w:rsidRDefault="002F3607" w:rsidP="009A7822">
      <w:pPr>
        <w:spacing w:after="0" w:line="240" w:lineRule="auto"/>
        <w:rPr>
          <w:rFonts w:eastAsia="Times New Roman" w:cstheme="minorHAnsi"/>
          <w:b/>
          <w:bCs/>
          <w:color w:val="000000"/>
          <w:lang w:eastAsia="en-IE"/>
        </w:rPr>
      </w:pPr>
    </w:p>
    <w:p w:rsidR="005604FA" w:rsidRDefault="005604FA" w:rsidP="009A7822">
      <w:pPr>
        <w:spacing w:after="0" w:line="240" w:lineRule="auto"/>
        <w:rPr>
          <w:rFonts w:eastAsia="Times New Roman" w:cstheme="minorHAnsi"/>
          <w:b/>
          <w:bCs/>
          <w:color w:val="000000"/>
          <w:lang w:eastAsia="en-IE"/>
        </w:rPr>
      </w:pPr>
    </w:p>
    <w:p w:rsidR="002F3607" w:rsidRDefault="002F3607" w:rsidP="009A7822">
      <w:pPr>
        <w:spacing w:after="0" w:line="240" w:lineRule="auto"/>
        <w:rPr>
          <w:rFonts w:eastAsia="Times New Roman" w:cstheme="minorHAnsi"/>
          <w:b/>
          <w:bCs/>
          <w:color w:val="000000"/>
          <w:lang w:eastAsia="en-IE"/>
        </w:rPr>
      </w:pPr>
    </w:p>
    <w:p w:rsidR="00A74465" w:rsidRPr="00A74465" w:rsidRDefault="00326A0E" w:rsidP="009660A3">
      <w:pPr>
        <w:spacing w:after="0" w:line="240" w:lineRule="auto"/>
        <w:jc w:val="both"/>
        <w:rPr>
          <w:rFonts w:eastAsia="Times New Roman" w:cstheme="minorHAnsi"/>
          <w:bCs/>
          <w:color w:val="000000"/>
          <w:sz w:val="18"/>
          <w:szCs w:val="18"/>
          <w:lang w:eastAsia="en-IE"/>
        </w:rPr>
      </w:pPr>
      <w:proofErr w:type="spellStart"/>
      <w:proofErr w:type="gramStart"/>
      <w:r w:rsidRPr="00326A0E">
        <w:rPr>
          <w:rFonts w:eastAsia="Times New Roman" w:cstheme="minorHAnsi"/>
          <w:bCs/>
          <w:color w:val="000000"/>
          <w:sz w:val="18"/>
          <w:szCs w:val="18"/>
          <w:vertAlign w:val="superscript"/>
          <w:lang w:eastAsia="en-IE"/>
        </w:rPr>
        <w:t>a</w:t>
      </w:r>
      <w:r w:rsidR="00A74465">
        <w:rPr>
          <w:rFonts w:eastAsia="Times New Roman" w:cstheme="minorHAnsi"/>
          <w:bCs/>
          <w:color w:val="000000"/>
          <w:sz w:val="18"/>
          <w:szCs w:val="18"/>
          <w:u w:val="single"/>
          <w:lang w:eastAsia="en-IE"/>
        </w:rPr>
        <w:t>Westmeath</w:t>
      </w:r>
      <w:proofErr w:type="spellEnd"/>
      <w:proofErr w:type="gramEnd"/>
      <w:r w:rsidR="00A74465">
        <w:rPr>
          <w:rFonts w:eastAsia="Times New Roman" w:cstheme="minorHAnsi"/>
          <w:bCs/>
          <w:color w:val="000000"/>
          <w:sz w:val="18"/>
          <w:szCs w:val="18"/>
          <w:u w:val="single"/>
          <w:lang w:eastAsia="en-IE"/>
        </w:rPr>
        <w:t xml:space="preserve">; </w:t>
      </w:r>
      <w:r w:rsidR="00A74465">
        <w:rPr>
          <w:rFonts w:eastAsia="Times New Roman" w:cstheme="minorHAnsi"/>
          <w:bCs/>
          <w:color w:val="000000"/>
          <w:sz w:val="18"/>
          <w:szCs w:val="18"/>
          <w:lang w:eastAsia="en-IE"/>
        </w:rPr>
        <w:t>Contrary to the issued guidelines, the cases closed figure includes cases carried over from 2013</w:t>
      </w:r>
    </w:p>
    <w:p w:rsidR="002F3607" w:rsidRDefault="002F3607" w:rsidP="009A7822">
      <w:pPr>
        <w:spacing w:after="0" w:line="240" w:lineRule="auto"/>
        <w:rPr>
          <w:rFonts w:eastAsia="Times New Roman" w:cstheme="minorHAnsi"/>
          <w:b/>
          <w:bCs/>
          <w:color w:val="000000"/>
          <w:lang w:eastAsia="en-IE"/>
        </w:rPr>
      </w:pPr>
    </w:p>
    <w:p w:rsidR="002F3607" w:rsidRDefault="002F3607" w:rsidP="009A7822">
      <w:pPr>
        <w:spacing w:after="0" w:line="240" w:lineRule="auto"/>
        <w:rPr>
          <w:rFonts w:eastAsia="Times New Roman" w:cstheme="minorHAnsi"/>
          <w:b/>
          <w:bCs/>
          <w:color w:val="000000"/>
          <w:lang w:eastAsia="en-IE"/>
        </w:rPr>
      </w:pPr>
    </w:p>
    <w:tbl>
      <w:tblPr>
        <w:tblW w:w="5964" w:type="dxa"/>
        <w:tblInd w:w="98" w:type="dxa"/>
        <w:tblLook w:val="04A0" w:firstRow="1" w:lastRow="0" w:firstColumn="1" w:lastColumn="0" w:noHBand="0" w:noVBand="1"/>
      </w:tblPr>
      <w:tblGrid>
        <w:gridCol w:w="967"/>
        <w:gridCol w:w="3579"/>
        <w:gridCol w:w="1418"/>
      </w:tblGrid>
      <w:tr w:rsidR="00A572D5" w:rsidRPr="00B97E75" w:rsidTr="00E17A00">
        <w:trPr>
          <w:trHeight w:val="315"/>
        </w:trPr>
        <w:tc>
          <w:tcPr>
            <w:tcW w:w="596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572D5" w:rsidRPr="00B97E75" w:rsidRDefault="00A572D5"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Waste Complaints Lodged with EPA Office</w:t>
            </w:r>
            <w:r w:rsidR="002E49C5">
              <w:rPr>
                <w:rFonts w:eastAsia="Times New Roman" w:cstheme="minorHAnsi"/>
                <w:b/>
                <w:bCs/>
                <w:color w:val="000000"/>
                <w:lang w:eastAsia="en-IE"/>
              </w:rPr>
              <w:t xml:space="preserve"> of Environmental Enforcement</w:t>
            </w:r>
            <w:r w:rsidR="00673993">
              <w:rPr>
                <w:rFonts w:cstheme="minorHAnsi"/>
                <w:b/>
              </w:rPr>
              <w:t xml:space="preserve"> because problem persisted after investigation by LA</w:t>
            </w:r>
            <w:r w:rsidR="002E49C5">
              <w:rPr>
                <w:rFonts w:eastAsia="Times New Roman" w:cstheme="minorHAnsi"/>
                <w:b/>
                <w:bCs/>
                <w:color w:val="000000"/>
                <w:lang w:eastAsia="en-IE"/>
              </w:rPr>
              <w:t xml:space="preserve">; </w:t>
            </w:r>
            <w:r w:rsidRPr="00B97E75">
              <w:rPr>
                <w:rFonts w:eastAsia="Times New Roman" w:cstheme="minorHAnsi"/>
                <w:b/>
                <w:bCs/>
                <w:color w:val="000000"/>
                <w:lang w:eastAsia="en-IE"/>
              </w:rPr>
              <w:t>Percentage of Other Environmental Pollution Complaints Closed</w:t>
            </w:r>
            <w:r w:rsidR="00673993">
              <w:rPr>
                <w:rFonts w:eastAsia="Times New Roman" w:cstheme="minorHAnsi"/>
                <w:b/>
                <w:bCs/>
                <w:color w:val="000000"/>
                <w:lang w:eastAsia="en-IE"/>
              </w:rPr>
              <w:t xml:space="preserve"> in 2014</w:t>
            </w:r>
          </w:p>
        </w:tc>
      </w:tr>
      <w:tr w:rsidR="00A572D5" w:rsidRPr="00B97E75" w:rsidTr="00E17A00">
        <w:trPr>
          <w:trHeight w:val="315"/>
        </w:trPr>
        <w:tc>
          <w:tcPr>
            <w:tcW w:w="4546"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Persistent</w:t>
            </w:r>
            <w:r w:rsidR="00A74465">
              <w:rPr>
                <w:rFonts w:eastAsia="Times New Roman" w:cstheme="minorHAnsi"/>
                <w:color w:val="000000"/>
                <w:lang w:eastAsia="en-IE"/>
              </w:rPr>
              <w:t xml:space="preserve"> Waste</w:t>
            </w:r>
            <w:r w:rsidRPr="00B97E75">
              <w:rPr>
                <w:rFonts w:eastAsia="Times New Roman" w:cstheme="minorHAnsi"/>
                <w:color w:val="000000"/>
                <w:lang w:eastAsia="en-IE"/>
              </w:rPr>
              <w:t xml:space="preserve"> Complaints</w:t>
            </w:r>
          </w:p>
        </w:tc>
        <w:tc>
          <w:tcPr>
            <w:tcW w:w="1418" w:type="dxa"/>
            <w:tcBorders>
              <w:top w:val="nil"/>
              <w:left w:val="nil"/>
              <w:bottom w:val="single" w:sz="8" w:space="0" w:color="auto"/>
              <w:right w:val="single" w:sz="8" w:space="0" w:color="auto"/>
            </w:tcBorders>
            <w:shd w:val="clear" w:color="auto" w:fill="B6DDE8" w:themeFill="accent5" w:themeFillTint="66"/>
            <w:vAlign w:val="center"/>
            <w:hideMark/>
          </w:tcPr>
          <w:p w:rsidR="00A572D5" w:rsidRPr="00B97E75" w:rsidRDefault="00A572D5"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2014</w:t>
            </w:r>
          </w:p>
        </w:tc>
      </w:tr>
      <w:tr w:rsidR="00A572D5"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3579" w:type="dxa"/>
            <w:tcBorders>
              <w:top w:val="nil"/>
              <w:left w:val="nil"/>
              <w:bottom w:val="single" w:sz="8" w:space="0" w:color="auto"/>
              <w:right w:val="nil"/>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31</w:t>
            </w:r>
          </w:p>
        </w:tc>
      </w:tr>
      <w:tr w:rsidR="00A572D5"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3579" w:type="dxa"/>
            <w:tcBorders>
              <w:top w:val="nil"/>
              <w:left w:val="nil"/>
              <w:bottom w:val="single" w:sz="8" w:space="0" w:color="auto"/>
              <w:right w:val="nil"/>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0</w:t>
            </w:r>
          </w:p>
        </w:tc>
      </w:tr>
      <w:tr w:rsidR="00A572D5"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3579" w:type="dxa"/>
            <w:tcBorders>
              <w:top w:val="nil"/>
              <w:left w:val="nil"/>
              <w:bottom w:val="single" w:sz="8" w:space="0" w:color="auto"/>
              <w:right w:val="nil"/>
            </w:tcBorders>
            <w:shd w:val="clear" w:color="auto" w:fill="auto"/>
            <w:vAlign w:val="center"/>
            <w:hideMark/>
          </w:tcPr>
          <w:p w:rsidR="00A572D5" w:rsidRPr="00B97E75" w:rsidRDefault="00A572D5"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0.50</w:t>
            </w:r>
          </w:p>
        </w:tc>
      </w:tr>
      <w:tr w:rsidR="00A572D5"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3579" w:type="dxa"/>
            <w:tcBorders>
              <w:top w:val="nil"/>
              <w:left w:val="nil"/>
              <w:bottom w:val="single" w:sz="8" w:space="0" w:color="auto"/>
              <w:right w:val="nil"/>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3.77</w:t>
            </w:r>
          </w:p>
        </w:tc>
      </w:tr>
      <w:tr w:rsidR="00A572D5" w:rsidRPr="00B97E75" w:rsidTr="00E17A00">
        <w:trPr>
          <w:trHeight w:val="315"/>
        </w:trPr>
        <w:tc>
          <w:tcPr>
            <w:tcW w:w="4546" w:type="dxa"/>
            <w:gridSpan w:val="2"/>
            <w:tcBorders>
              <w:top w:val="single" w:sz="8" w:space="0" w:color="auto"/>
              <w:left w:val="single" w:sz="8" w:space="0" w:color="auto"/>
              <w:bottom w:val="single" w:sz="8" w:space="0" w:color="auto"/>
              <w:right w:val="nil"/>
            </w:tcBorders>
            <w:shd w:val="clear" w:color="auto" w:fill="B6DDE8" w:themeFill="accent5" w:themeFillTint="66"/>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xml:space="preserve">Complaint Cases </w:t>
            </w:r>
            <w:r w:rsidR="00673993">
              <w:rPr>
                <w:rFonts w:eastAsia="Times New Roman" w:cstheme="minorHAnsi"/>
                <w:color w:val="000000"/>
                <w:lang w:eastAsia="en-IE"/>
              </w:rPr>
              <w:t xml:space="preserve">Closed </w:t>
            </w:r>
            <w:r w:rsidRPr="00B97E75">
              <w:rPr>
                <w:rFonts w:eastAsia="Times New Roman" w:cstheme="minorHAnsi"/>
                <w:color w:val="000000"/>
                <w:lang w:eastAsia="en-IE"/>
              </w:rPr>
              <w:t>% (Litter)</w:t>
            </w:r>
          </w:p>
        </w:tc>
        <w:tc>
          <w:tcPr>
            <w:tcW w:w="1418" w:type="dxa"/>
            <w:tcBorders>
              <w:top w:val="nil"/>
              <w:left w:val="single" w:sz="8" w:space="0" w:color="auto"/>
              <w:bottom w:val="single" w:sz="8" w:space="0" w:color="auto"/>
              <w:right w:val="single" w:sz="8" w:space="0" w:color="auto"/>
            </w:tcBorders>
            <w:shd w:val="clear" w:color="auto" w:fill="B6DDE8" w:themeFill="accent5" w:themeFillTint="66"/>
            <w:vAlign w:val="center"/>
            <w:hideMark/>
          </w:tcPr>
          <w:p w:rsidR="00A572D5" w:rsidRPr="00B97E75" w:rsidRDefault="00A572D5"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2014</w:t>
            </w:r>
          </w:p>
        </w:tc>
      </w:tr>
      <w:tr w:rsidR="00A572D5"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3579" w:type="dxa"/>
            <w:tcBorders>
              <w:top w:val="nil"/>
              <w:left w:val="nil"/>
              <w:bottom w:val="single" w:sz="8" w:space="0" w:color="auto"/>
              <w:right w:val="nil"/>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31</w:t>
            </w:r>
          </w:p>
        </w:tc>
      </w:tr>
      <w:tr w:rsidR="00A572D5"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3579" w:type="dxa"/>
            <w:tcBorders>
              <w:top w:val="nil"/>
              <w:left w:val="nil"/>
              <w:bottom w:val="single" w:sz="8" w:space="0" w:color="auto"/>
              <w:right w:val="nil"/>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0</w:t>
            </w:r>
          </w:p>
        </w:tc>
      </w:tr>
      <w:tr w:rsidR="00A572D5"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3579"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418"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93.15</w:t>
            </w:r>
          </w:p>
        </w:tc>
      </w:tr>
      <w:tr w:rsidR="00A572D5"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3579"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418"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89.85</w:t>
            </w:r>
          </w:p>
        </w:tc>
      </w:tr>
      <w:tr w:rsidR="00A572D5" w:rsidRPr="00B97E75" w:rsidTr="00E17A00">
        <w:trPr>
          <w:trHeight w:val="315"/>
        </w:trPr>
        <w:tc>
          <w:tcPr>
            <w:tcW w:w="4546"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xml:space="preserve">Complaint Cases </w:t>
            </w:r>
            <w:r w:rsidR="00673993">
              <w:rPr>
                <w:rFonts w:eastAsia="Times New Roman" w:cstheme="minorHAnsi"/>
                <w:color w:val="000000"/>
                <w:lang w:eastAsia="en-IE"/>
              </w:rPr>
              <w:t xml:space="preserve">Closed </w:t>
            </w:r>
            <w:r w:rsidRPr="00B97E75">
              <w:rPr>
                <w:rFonts w:eastAsia="Times New Roman" w:cstheme="minorHAnsi"/>
                <w:color w:val="000000"/>
                <w:lang w:eastAsia="en-IE"/>
              </w:rPr>
              <w:t>% (Air)</w:t>
            </w:r>
          </w:p>
        </w:tc>
        <w:tc>
          <w:tcPr>
            <w:tcW w:w="1418" w:type="dxa"/>
            <w:tcBorders>
              <w:top w:val="nil"/>
              <w:left w:val="nil"/>
              <w:bottom w:val="single" w:sz="8" w:space="0" w:color="auto"/>
              <w:right w:val="single" w:sz="8" w:space="0" w:color="auto"/>
            </w:tcBorders>
            <w:shd w:val="clear" w:color="auto" w:fill="B6DDE8" w:themeFill="accent5" w:themeFillTint="66"/>
            <w:vAlign w:val="center"/>
            <w:hideMark/>
          </w:tcPr>
          <w:p w:rsidR="00A572D5" w:rsidRPr="00B97E75" w:rsidRDefault="00A572D5"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2014</w:t>
            </w:r>
          </w:p>
        </w:tc>
      </w:tr>
      <w:tr w:rsidR="00A572D5"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3579"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418"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31</w:t>
            </w:r>
          </w:p>
        </w:tc>
      </w:tr>
      <w:tr w:rsidR="00A572D5"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3579"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418"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0</w:t>
            </w:r>
          </w:p>
        </w:tc>
      </w:tr>
      <w:tr w:rsidR="00A572D5"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3579"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418"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88.37</w:t>
            </w:r>
          </w:p>
        </w:tc>
      </w:tr>
      <w:tr w:rsidR="00A572D5"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3579"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418"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81.35</w:t>
            </w:r>
          </w:p>
        </w:tc>
      </w:tr>
      <w:tr w:rsidR="00A572D5" w:rsidRPr="00B97E75" w:rsidTr="00E17A00">
        <w:trPr>
          <w:trHeight w:val="315"/>
        </w:trPr>
        <w:tc>
          <w:tcPr>
            <w:tcW w:w="4546"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xml:space="preserve">Complaint Cases </w:t>
            </w:r>
            <w:r w:rsidR="00673993">
              <w:rPr>
                <w:rFonts w:eastAsia="Times New Roman" w:cstheme="minorHAnsi"/>
                <w:color w:val="000000"/>
                <w:lang w:eastAsia="en-IE"/>
              </w:rPr>
              <w:t>Closed</w:t>
            </w:r>
            <w:r w:rsidRPr="00B97E75">
              <w:rPr>
                <w:rFonts w:eastAsia="Times New Roman" w:cstheme="minorHAnsi"/>
                <w:color w:val="000000"/>
                <w:lang w:eastAsia="en-IE"/>
              </w:rPr>
              <w:t>% (Noise)</w:t>
            </w:r>
          </w:p>
        </w:tc>
        <w:tc>
          <w:tcPr>
            <w:tcW w:w="1418" w:type="dxa"/>
            <w:tcBorders>
              <w:top w:val="nil"/>
              <w:left w:val="nil"/>
              <w:bottom w:val="single" w:sz="8" w:space="0" w:color="auto"/>
              <w:right w:val="single" w:sz="8" w:space="0" w:color="auto"/>
            </w:tcBorders>
            <w:shd w:val="clear" w:color="auto" w:fill="B6DDE8" w:themeFill="accent5" w:themeFillTint="66"/>
            <w:vAlign w:val="center"/>
            <w:hideMark/>
          </w:tcPr>
          <w:p w:rsidR="00A572D5" w:rsidRPr="00B97E75" w:rsidRDefault="00A572D5"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2014</w:t>
            </w:r>
          </w:p>
        </w:tc>
      </w:tr>
      <w:tr w:rsidR="00A572D5"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3579"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418"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31</w:t>
            </w:r>
          </w:p>
        </w:tc>
      </w:tr>
      <w:tr w:rsidR="00A572D5"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3579"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418"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0</w:t>
            </w:r>
          </w:p>
        </w:tc>
      </w:tr>
      <w:tr w:rsidR="00A572D5"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3579"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418"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91.42</w:t>
            </w:r>
          </w:p>
        </w:tc>
      </w:tr>
      <w:tr w:rsidR="00A572D5"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3579"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418"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80.77</w:t>
            </w:r>
          </w:p>
        </w:tc>
      </w:tr>
      <w:tr w:rsidR="00A572D5" w:rsidRPr="00B97E75" w:rsidTr="00E17A00">
        <w:trPr>
          <w:trHeight w:val="315"/>
        </w:trPr>
        <w:tc>
          <w:tcPr>
            <w:tcW w:w="4546"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xml:space="preserve">Complaint Cases </w:t>
            </w:r>
            <w:r w:rsidR="00673993">
              <w:rPr>
                <w:rFonts w:eastAsia="Times New Roman" w:cstheme="minorHAnsi"/>
                <w:color w:val="000000"/>
                <w:lang w:eastAsia="en-IE"/>
              </w:rPr>
              <w:t xml:space="preserve">Closed </w:t>
            </w:r>
            <w:r w:rsidRPr="00B97E75">
              <w:rPr>
                <w:rFonts w:eastAsia="Times New Roman" w:cstheme="minorHAnsi"/>
                <w:color w:val="000000"/>
                <w:lang w:eastAsia="en-IE"/>
              </w:rPr>
              <w:t>% (Water)</w:t>
            </w:r>
          </w:p>
        </w:tc>
        <w:tc>
          <w:tcPr>
            <w:tcW w:w="1418" w:type="dxa"/>
            <w:tcBorders>
              <w:top w:val="nil"/>
              <w:left w:val="nil"/>
              <w:bottom w:val="single" w:sz="8" w:space="0" w:color="auto"/>
              <w:right w:val="single" w:sz="8" w:space="0" w:color="auto"/>
            </w:tcBorders>
            <w:shd w:val="clear" w:color="auto" w:fill="B6DDE8" w:themeFill="accent5" w:themeFillTint="66"/>
            <w:vAlign w:val="center"/>
            <w:hideMark/>
          </w:tcPr>
          <w:p w:rsidR="00A572D5" w:rsidRPr="00B97E75" w:rsidRDefault="00A572D5"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2014</w:t>
            </w:r>
          </w:p>
        </w:tc>
      </w:tr>
      <w:tr w:rsidR="00A572D5"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3579"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418"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31</w:t>
            </w:r>
          </w:p>
        </w:tc>
      </w:tr>
      <w:tr w:rsidR="00A572D5"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3579"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418"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0</w:t>
            </w:r>
          </w:p>
        </w:tc>
      </w:tr>
      <w:tr w:rsidR="00A572D5"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3579"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418"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78.57</w:t>
            </w:r>
          </w:p>
        </w:tc>
      </w:tr>
      <w:tr w:rsidR="00A572D5"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3579"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418" w:type="dxa"/>
            <w:tcBorders>
              <w:top w:val="nil"/>
              <w:left w:val="nil"/>
              <w:bottom w:val="single" w:sz="8" w:space="0" w:color="auto"/>
              <w:right w:val="single" w:sz="8" w:space="0" w:color="auto"/>
            </w:tcBorders>
            <w:shd w:val="clear" w:color="auto" w:fill="auto"/>
            <w:vAlign w:val="center"/>
            <w:hideMark/>
          </w:tcPr>
          <w:p w:rsidR="00A572D5" w:rsidRPr="00B97E75" w:rsidRDefault="00A572D5"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76.</w:t>
            </w:r>
            <w:r w:rsidR="00673993">
              <w:rPr>
                <w:rFonts w:eastAsia="Times New Roman" w:cstheme="minorHAnsi"/>
                <w:color w:val="000000"/>
                <w:lang w:eastAsia="en-IE"/>
              </w:rPr>
              <w:t>30</w:t>
            </w:r>
          </w:p>
        </w:tc>
      </w:tr>
    </w:tbl>
    <w:p w:rsidR="00690DAE" w:rsidRPr="00B97E75" w:rsidRDefault="00690DAE" w:rsidP="00201EC9">
      <w:pPr>
        <w:rPr>
          <w:rFonts w:eastAsia="Times New Roman" w:cstheme="minorHAnsi"/>
          <w:b/>
          <w:bCs/>
          <w:color w:val="000000"/>
          <w:lang w:eastAsia="en-IE"/>
        </w:rPr>
      </w:pPr>
    </w:p>
    <w:p w:rsidR="00431F6E" w:rsidRDefault="00431F6E" w:rsidP="00257E70">
      <w:pPr>
        <w:pStyle w:val="PITableHeading"/>
        <w:rPr>
          <w:rFonts w:asciiTheme="minorHAnsi" w:hAnsiTheme="minorHAnsi" w:cstheme="minorHAnsi"/>
          <w:sz w:val="22"/>
          <w:szCs w:val="22"/>
        </w:rPr>
      </w:pPr>
    </w:p>
    <w:p w:rsidR="009660A3" w:rsidRDefault="009660A3" w:rsidP="00257E70">
      <w:pPr>
        <w:pStyle w:val="PITableHeading"/>
        <w:rPr>
          <w:rFonts w:asciiTheme="minorHAnsi" w:hAnsiTheme="minorHAnsi" w:cstheme="minorHAnsi"/>
          <w:sz w:val="22"/>
          <w:szCs w:val="22"/>
        </w:rPr>
      </w:pPr>
    </w:p>
    <w:p w:rsidR="009660A3" w:rsidRDefault="009660A3" w:rsidP="00257E70">
      <w:pPr>
        <w:pStyle w:val="PITableHeading"/>
        <w:rPr>
          <w:rFonts w:asciiTheme="minorHAnsi" w:hAnsiTheme="minorHAnsi" w:cstheme="minorHAnsi"/>
          <w:sz w:val="22"/>
          <w:szCs w:val="22"/>
        </w:rPr>
      </w:pPr>
    </w:p>
    <w:p w:rsidR="004C099D" w:rsidRDefault="004C099D" w:rsidP="00257E70">
      <w:pPr>
        <w:pStyle w:val="PITableHeading"/>
        <w:rPr>
          <w:rFonts w:asciiTheme="minorHAnsi" w:hAnsiTheme="minorHAnsi" w:cstheme="minorHAnsi"/>
          <w:sz w:val="22"/>
          <w:szCs w:val="22"/>
        </w:rPr>
      </w:pPr>
    </w:p>
    <w:p w:rsidR="004C099D" w:rsidRDefault="004C099D" w:rsidP="00257E70">
      <w:pPr>
        <w:pStyle w:val="PITableHeading"/>
        <w:rPr>
          <w:rFonts w:asciiTheme="minorHAnsi" w:hAnsiTheme="minorHAnsi" w:cstheme="minorHAnsi"/>
          <w:sz w:val="22"/>
          <w:szCs w:val="22"/>
        </w:rPr>
      </w:pPr>
    </w:p>
    <w:p w:rsidR="00DD6A92" w:rsidRDefault="00DD6A92" w:rsidP="00257E70">
      <w:pPr>
        <w:pStyle w:val="PITableHeading"/>
        <w:rPr>
          <w:rFonts w:asciiTheme="minorHAnsi" w:hAnsiTheme="minorHAnsi" w:cstheme="minorHAnsi"/>
          <w:sz w:val="22"/>
          <w:szCs w:val="22"/>
        </w:rPr>
      </w:pPr>
    </w:p>
    <w:p w:rsidR="00DD6A92" w:rsidRDefault="00DD6A92" w:rsidP="00257E70">
      <w:pPr>
        <w:pStyle w:val="PITableHeading"/>
        <w:rPr>
          <w:rFonts w:asciiTheme="minorHAnsi" w:hAnsiTheme="minorHAnsi" w:cstheme="minorHAnsi"/>
          <w:sz w:val="22"/>
          <w:szCs w:val="22"/>
        </w:rPr>
      </w:pPr>
    </w:p>
    <w:p w:rsidR="004C099D" w:rsidRDefault="004C099D" w:rsidP="00257E70">
      <w:pPr>
        <w:pStyle w:val="PITableHeading"/>
        <w:rPr>
          <w:rFonts w:asciiTheme="minorHAnsi" w:hAnsiTheme="minorHAnsi" w:cstheme="minorHAnsi"/>
          <w:sz w:val="22"/>
          <w:szCs w:val="22"/>
        </w:rPr>
      </w:pPr>
    </w:p>
    <w:p w:rsidR="004C099D" w:rsidRDefault="004C099D" w:rsidP="00257E70">
      <w:pPr>
        <w:pStyle w:val="PITableHeading"/>
        <w:rPr>
          <w:rFonts w:asciiTheme="minorHAnsi" w:hAnsiTheme="minorHAnsi" w:cstheme="minorHAnsi"/>
          <w:sz w:val="22"/>
          <w:szCs w:val="22"/>
        </w:rPr>
      </w:pPr>
    </w:p>
    <w:p w:rsidR="00201EC9" w:rsidRPr="003E001D" w:rsidRDefault="00201EC9" w:rsidP="00257E70">
      <w:pPr>
        <w:pStyle w:val="PITableHeading"/>
        <w:rPr>
          <w:rFonts w:asciiTheme="minorHAnsi" w:hAnsiTheme="minorHAnsi" w:cstheme="minorHAnsi"/>
          <w:b w:val="0"/>
          <w:sz w:val="22"/>
          <w:szCs w:val="22"/>
        </w:rPr>
      </w:pPr>
      <w:r w:rsidRPr="00B97E75">
        <w:rPr>
          <w:rFonts w:asciiTheme="minorHAnsi" w:hAnsiTheme="minorHAnsi" w:cstheme="minorHAnsi"/>
          <w:sz w:val="22"/>
          <w:szCs w:val="22"/>
        </w:rPr>
        <w:lastRenderedPageBreak/>
        <w:t>Table 1</w:t>
      </w:r>
      <w:r w:rsidR="00B70292">
        <w:rPr>
          <w:rFonts w:asciiTheme="minorHAnsi" w:hAnsiTheme="minorHAnsi" w:cstheme="minorHAnsi"/>
          <w:sz w:val="22"/>
          <w:szCs w:val="22"/>
        </w:rPr>
        <w:t>4</w:t>
      </w:r>
      <w:r w:rsidRPr="00B97E75">
        <w:rPr>
          <w:rFonts w:asciiTheme="minorHAnsi" w:hAnsiTheme="minorHAnsi" w:cstheme="minorHAnsi"/>
          <w:sz w:val="22"/>
          <w:szCs w:val="22"/>
        </w:rPr>
        <w:t xml:space="preserve">: </w:t>
      </w:r>
      <w:r w:rsidR="00B904ED" w:rsidRPr="003E001D">
        <w:rPr>
          <w:rFonts w:asciiTheme="minorHAnsi" w:hAnsiTheme="minorHAnsi" w:cstheme="minorHAnsi"/>
          <w:b w:val="0"/>
          <w:sz w:val="22"/>
          <w:szCs w:val="22"/>
        </w:rPr>
        <w:t xml:space="preserve">Percentage </w:t>
      </w:r>
      <w:r w:rsidR="002E49C5" w:rsidRPr="003E001D">
        <w:rPr>
          <w:rFonts w:asciiTheme="minorHAnsi" w:hAnsiTheme="minorHAnsi" w:cstheme="minorHAnsi"/>
          <w:b w:val="0"/>
          <w:sz w:val="22"/>
          <w:szCs w:val="22"/>
        </w:rPr>
        <w:t>Area within the Five</w:t>
      </w:r>
      <w:r w:rsidR="00B904ED" w:rsidRPr="003E001D">
        <w:rPr>
          <w:rFonts w:asciiTheme="minorHAnsi" w:hAnsiTheme="minorHAnsi" w:cstheme="minorHAnsi"/>
          <w:b w:val="0"/>
          <w:sz w:val="22"/>
          <w:szCs w:val="22"/>
        </w:rPr>
        <w:t xml:space="preserve"> Levels of Litter Pollution</w:t>
      </w:r>
    </w:p>
    <w:tbl>
      <w:tblPr>
        <w:tblStyle w:val="LightGrid-Accent5"/>
        <w:tblW w:w="5000" w:type="pct"/>
        <w:tblLayout w:type="fixed"/>
        <w:tblLook w:val="04A0" w:firstRow="1" w:lastRow="0" w:firstColumn="1" w:lastColumn="0" w:noHBand="0" w:noVBand="1"/>
      </w:tblPr>
      <w:tblGrid>
        <w:gridCol w:w="2835"/>
        <w:gridCol w:w="1281"/>
        <w:gridCol w:w="1281"/>
        <w:gridCol w:w="1373"/>
        <w:gridCol w:w="1418"/>
        <w:gridCol w:w="1054"/>
      </w:tblGrid>
      <w:tr w:rsidR="00257E70" w:rsidRPr="005C4524" w:rsidTr="00771880">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34" w:type="pct"/>
            <w:noWrap/>
            <w:vAlign w:val="center"/>
            <w:hideMark/>
          </w:tcPr>
          <w:p w:rsidR="00257E70" w:rsidRPr="005C4524" w:rsidRDefault="00D36D20" w:rsidP="00771880">
            <w:pPr>
              <w:rPr>
                <w:rFonts w:asciiTheme="minorHAnsi" w:eastAsia="Times New Roman" w:hAnsiTheme="minorHAnsi" w:cstheme="minorHAnsi"/>
                <w:color w:val="000000"/>
                <w:lang w:eastAsia="en-IE"/>
              </w:rPr>
            </w:pPr>
            <w:r w:rsidRPr="00D36D20">
              <w:rPr>
                <w:rFonts w:asciiTheme="minorHAnsi" w:eastAsia="Times New Roman" w:hAnsiTheme="minorHAnsi" w:cstheme="minorHAnsi"/>
                <w:color w:val="000000"/>
                <w:lang w:eastAsia="en-IE"/>
              </w:rPr>
              <w:t>Authority</w:t>
            </w:r>
          </w:p>
        </w:tc>
        <w:tc>
          <w:tcPr>
            <w:tcW w:w="693" w:type="pct"/>
            <w:vAlign w:val="center"/>
            <w:hideMark/>
          </w:tcPr>
          <w:p w:rsidR="00257E70" w:rsidRPr="005C4524" w:rsidRDefault="00257E70"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Unpolluted or litter free</w:t>
            </w:r>
          </w:p>
        </w:tc>
        <w:tc>
          <w:tcPr>
            <w:tcW w:w="693" w:type="pct"/>
            <w:vAlign w:val="center"/>
            <w:hideMark/>
          </w:tcPr>
          <w:p w:rsidR="00257E70" w:rsidRPr="005C4524" w:rsidRDefault="00257E70"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Slightly polluted</w:t>
            </w:r>
          </w:p>
        </w:tc>
        <w:tc>
          <w:tcPr>
            <w:tcW w:w="743" w:type="pct"/>
            <w:vAlign w:val="center"/>
            <w:hideMark/>
          </w:tcPr>
          <w:p w:rsidR="00257E70" w:rsidRPr="005C4524" w:rsidRDefault="00257E70"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Moderately polluted</w:t>
            </w:r>
          </w:p>
        </w:tc>
        <w:tc>
          <w:tcPr>
            <w:tcW w:w="767" w:type="pct"/>
            <w:vAlign w:val="center"/>
            <w:hideMark/>
          </w:tcPr>
          <w:p w:rsidR="00257E70" w:rsidRPr="005C4524" w:rsidRDefault="00257E70"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Significantly polluted</w:t>
            </w:r>
          </w:p>
        </w:tc>
        <w:tc>
          <w:tcPr>
            <w:tcW w:w="570" w:type="pct"/>
            <w:vAlign w:val="center"/>
            <w:hideMark/>
          </w:tcPr>
          <w:p w:rsidR="00257E70" w:rsidRPr="005C4524" w:rsidRDefault="00257E70"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Grossly polluted</w:t>
            </w:r>
          </w:p>
        </w:tc>
      </w:tr>
      <w:tr w:rsidR="00257E70" w:rsidRPr="005C4524" w:rsidTr="002E49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 </w:t>
            </w:r>
          </w:p>
        </w:tc>
        <w:tc>
          <w:tcPr>
            <w:tcW w:w="693" w:type="pct"/>
            <w:hideMark/>
          </w:tcPr>
          <w:p w:rsidR="00257E70" w:rsidRPr="005C4524" w:rsidRDefault="00257E70" w:rsidP="008C023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693" w:type="pct"/>
            <w:hideMark/>
          </w:tcPr>
          <w:p w:rsidR="00257E70" w:rsidRPr="005C4524" w:rsidRDefault="00257E70" w:rsidP="008C023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743" w:type="pct"/>
            <w:noWrap/>
            <w:hideMark/>
          </w:tcPr>
          <w:p w:rsidR="00257E70" w:rsidRPr="005C4524" w:rsidRDefault="00257E70" w:rsidP="008C023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767" w:type="pct"/>
            <w:hideMark/>
          </w:tcPr>
          <w:p w:rsidR="00257E70" w:rsidRPr="005C4524" w:rsidRDefault="00257E70" w:rsidP="008C023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570" w:type="pct"/>
            <w:noWrap/>
            <w:hideMark/>
          </w:tcPr>
          <w:p w:rsidR="00257E70" w:rsidRPr="005C4524" w:rsidRDefault="00257E70" w:rsidP="008C023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r>
      <w:tr w:rsidR="00257E70" w:rsidRPr="005C4524" w:rsidTr="002E49C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Carlow County</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97</w:t>
            </w:r>
          </w:p>
        </w:tc>
        <w:tc>
          <w:tcPr>
            <w:tcW w:w="74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w:t>
            </w:r>
          </w:p>
        </w:tc>
        <w:tc>
          <w:tcPr>
            <w:tcW w:w="767"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570"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r>
      <w:tr w:rsidR="00257E70" w:rsidRPr="005C4524" w:rsidTr="002E49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Cavan County</w:t>
            </w:r>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w:t>
            </w:r>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90</w:t>
            </w:r>
          </w:p>
        </w:tc>
        <w:tc>
          <w:tcPr>
            <w:tcW w:w="74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w:t>
            </w:r>
          </w:p>
        </w:tc>
        <w:tc>
          <w:tcPr>
            <w:tcW w:w="767"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w:t>
            </w:r>
          </w:p>
        </w:tc>
        <w:tc>
          <w:tcPr>
            <w:tcW w:w="570"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r>
      <w:tr w:rsidR="00257E70" w:rsidRPr="005C4524" w:rsidTr="002E49C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Clare County</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w:t>
            </w:r>
            <w:r w:rsidR="002C3237">
              <w:rPr>
                <w:rFonts w:eastAsia="Times New Roman" w:cstheme="minorHAnsi"/>
                <w:color w:val="000000"/>
                <w:lang w:eastAsia="en-IE"/>
              </w:rPr>
              <w:t>0</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70</w:t>
            </w:r>
          </w:p>
        </w:tc>
        <w:tc>
          <w:tcPr>
            <w:tcW w:w="74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16</w:t>
            </w:r>
          </w:p>
        </w:tc>
        <w:tc>
          <w:tcPr>
            <w:tcW w:w="767"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w:t>
            </w:r>
          </w:p>
        </w:tc>
        <w:tc>
          <w:tcPr>
            <w:tcW w:w="570"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w:t>
            </w:r>
          </w:p>
        </w:tc>
      </w:tr>
      <w:tr w:rsidR="00257E70" w:rsidRPr="005C4524" w:rsidTr="002E49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Cork City</w:t>
            </w:r>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2</w:t>
            </w:r>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81</w:t>
            </w:r>
          </w:p>
        </w:tc>
        <w:tc>
          <w:tcPr>
            <w:tcW w:w="74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16</w:t>
            </w:r>
          </w:p>
        </w:tc>
        <w:tc>
          <w:tcPr>
            <w:tcW w:w="767"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w:t>
            </w:r>
          </w:p>
        </w:tc>
        <w:tc>
          <w:tcPr>
            <w:tcW w:w="570"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r>
      <w:tr w:rsidR="00257E70" w:rsidRPr="005C4524" w:rsidTr="002E49C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Cork County</w:t>
            </w:r>
          </w:p>
        </w:tc>
        <w:tc>
          <w:tcPr>
            <w:tcW w:w="693" w:type="pct"/>
            <w:noWrap/>
            <w:hideMark/>
          </w:tcPr>
          <w:p w:rsidR="00257E70" w:rsidRPr="00086532"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0</w:t>
            </w:r>
            <w:r w:rsidR="00086532">
              <w:rPr>
                <w:rFonts w:eastAsia="Times New Roman" w:cstheme="minorHAnsi"/>
                <w:color w:val="000000"/>
                <w:vertAlign w:val="superscript"/>
                <w:lang w:eastAsia="en-IE"/>
              </w:rPr>
              <w:t>a</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94</w:t>
            </w:r>
          </w:p>
        </w:tc>
        <w:tc>
          <w:tcPr>
            <w:tcW w:w="74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w:t>
            </w:r>
          </w:p>
        </w:tc>
        <w:tc>
          <w:tcPr>
            <w:tcW w:w="767"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570"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r>
      <w:tr w:rsidR="00257E70" w:rsidRPr="005C4524" w:rsidTr="002E49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Donegal County</w:t>
            </w:r>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w:t>
            </w:r>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79</w:t>
            </w:r>
          </w:p>
        </w:tc>
        <w:tc>
          <w:tcPr>
            <w:tcW w:w="74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12</w:t>
            </w:r>
          </w:p>
        </w:tc>
        <w:tc>
          <w:tcPr>
            <w:tcW w:w="767"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570"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r>
      <w:tr w:rsidR="00257E70" w:rsidRPr="005C4524" w:rsidTr="002E49C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Dublin City</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14</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48</w:t>
            </w:r>
          </w:p>
        </w:tc>
        <w:tc>
          <w:tcPr>
            <w:tcW w:w="74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29</w:t>
            </w:r>
          </w:p>
        </w:tc>
        <w:tc>
          <w:tcPr>
            <w:tcW w:w="767"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w:t>
            </w:r>
          </w:p>
        </w:tc>
        <w:tc>
          <w:tcPr>
            <w:tcW w:w="570"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w:t>
            </w:r>
          </w:p>
        </w:tc>
      </w:tr>
      <w:tr w:rsidR="00257E70" w:rsidRPr="005C4524" w:rsidTr="002E49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 xml:space="preserve">Dun Laoghaire </w:t>
            </w:r>
            <w:proofErr w:type="spellStart"/>
            <w:r w:rsidRPr="005C4524">
              <w:rPr>
                <w:rFonts w:asciiTheme="minorHAnsi" w:eastAsia="Times New Roman" w:hAnsiTheme="minorHAnsi" w:cstheme="minorHAnsi"/>
                <w:color w:val="000000"/>
                <w:lang w:eastAsia="en-IE"/>
              </w:rPr>
              <w:t>Rathdown</w:t>
            </w:r>
            <w:proofErr w:type="spellEnd"/>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43</w:t>
            </w:r>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43</w:t>
            </w:r>
          </w:p>
        </w:tc>
        <w:tc>
          <w:tcPr>
            <w:tcW w:w="74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12</w:t>
            </w:r>
          </w:p>
        </w:tc>
        <w:tc>
          <w:tcPr>
            <w:tcW w:w="767"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w:t>
            </w:r>
          </w:p>
        </w:tc>
        <w:tc>
          <w:tcPr>
            <w:tcW w:w="570"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r>
      <w:tr w:rsidR="00257E70" w:rsidRPr="005C4524" w:rsidTr="002E49C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proofErr w:type="spellStart"/>
            <w:r w:rsidRPr="005C4524">
              <w:rPr>
                <w:rFonts w:asciiTheme="minorHAnsi" w:eastAsia="Times New Roman" w:hAnsiTheme="minorHAnsi" w:cstheme="minorHAnsi"/>
                <w:color w:val="000000"/>
                <w:lang w:eastAsia="en-IE"/>
              </w:rPr>
              <w:t>Fingal</w:t>
            </w:r>
            <w:proofErr w:type="spellEnd"/>
            <w:r w:rsidRPr="005C4524">
              <w:rPr>
                <w:rFonts w:asciiTheme="minorHAnsi" w:eastAsia="Times New Roman" w:hAnsiTheme="minorHAnsi" w:cstheme="minorHAnsi"/>
                <w:color w:val="000000"/>
                <w:lang w:eastAsia="en-IE"/>
              </w:rPr>
              <w:t xml:space="preserve"> County</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64</w:t>
            </w:r>
          </w:p>
        </w:tc>
        <w:tc>
          <w:tcPr>
            <w:tcW w:w="74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27</w:t>
            </w:r>
          </w:p>
        </w:tc>
        <w:tc>
          <w:tcPr>
            <w:tcW w:w="767"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w:t>
            </w:r>
          </w:p>
        </w:tc>
        <w:tc>
          <w:tcPr>
            <w:tcW w:w="570"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r>
      <w:tr w:rsidR="00257E70" w:rsidRPr="005C4524" w:rsidTr="002E49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Galway City</w:t>
            </w:r>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58</w:t>
            </w:r>
          </w:p>
        </w:tc>
        <w:tc>
          <w:tcPr>
            <w:tcW w:w="74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36</w:t>
            </w:r>
          </w:p>
        </w:tc>
        <w:tc>
          <w:tcPr>
            <w:tcW w:w="767"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w:t>
            </w:r>
          </w:p>
        </w:tc>
        <w:tc>
          <w:tcPr>
            <w:tcW w:w="570"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r>
      <w:tr w:rsidR="00257E70" w:rsidRPr="005C4524" w:rsidTr="002E49C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Galway County</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12</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52</w:t>
            </w:r>
          </w:p>
        </w:tc>
        <w:tc>
          <w:tcPr>
            <w:tcW w:w="74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24</w:t>
            </w:r>
          </w:p>
        </w:tc>
        <w:tc>
          <w:tcPr>
            <w:tcW w:w="767"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11</w:t>
            </w:r>
          </w:p>
        </w:tc>
        <w:tc>
          <w:tcPr>
            <w:tcW w:w="570"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w:t>
            </w:r>
          </w:p>
        </w:tc>
      </w:tr>
      <w:tr w:rsidR="00257E70" w:rsidRPr="005C4524" w:rsidTr="002E49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Kerry County</w:t>
            </w:r>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19</w:t>
            </w:r>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w:t>
            </w:r>
            <w:r w:rsidR="002C3237">
              <w:rPr>
                <w:rFonts w:eastAsia="Times New Roman" w:cstheme="minorHAnsi"/>
                <w:color w:val="000000"/>
                <w:lang w:eastAsia="en-IE"/>
              </w:rPr>
              <w:t>6</w:t>
            </w:r>
          </w:p>
        </w:tc>
        <w:tc>
          <w:tcPr>
            <w:tcW w:w="74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15</w:t>
            </w:r>
          </w:p>
        </w:tc>
        <w:tc>
          <w:tcPr>
            <w:tcW w:w="767"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570"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r>
      <w:tr w:rsidR="00257E70" w:rsidRPr="005C4524" w:rsidTr="002E49C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Kildare County</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25</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48</w:t>
            </w:r>
          </w:p>
        </w:tc>
        <w:tc>
          <w:tcPr>
            <w:tcW w:w="74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23</w:t>
            </w:r>
          </w:p>
        </w:tc>
        <w:tc>
          <w:tcPr>
            <w:tcW w:w="767"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xml:space="preserve">4 </w:t>
            </w:r>
          </w:p>
        </w:tc>
        <w:tc>
          <w:tcPr>
            <w:tcW w:w="570"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r>
      <w:tr w:rsidR="00257E70" w:rsidRPr="005C4524" w:rsidTr="002E49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Kilkenny County</w:t>
            </w:r>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w:t>
            </w:r>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63</w:t>
            </w:r>
          </w:p>
        </w:tc>
        <w:tc>
          <w:tcPr>
            <w:tcW w:w="74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31</w:t>
            </w:r>
          </w:p>
        </w:tc>
        <w:tc>
          <w:tcPr>
            <w:tcW w:w="767"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w:t>
            </w:r>
          </w:p>
        </w:tc>
        <w:tc>
          <w:tcPr>
            <w:tcW w:w="570"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r>
      <w:tr w:rsidR="00257E70" w:rsidRPr="005C4524" w:rsidTr="002E49C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Laois County</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87</w:t>
            </w:r>
          </w:p>
        </w:tc>
        <w:tc>
          <w:tcPr>
            <w:tcW w:w="74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w:t>
            </w:r>
          </w:p>
        </w:tc>
        <w:tc>
          <w:tcPr>
            <w:tcW w:w="767"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570"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r>
      <w:tr w:rsidR="00257E70" w:rsidRPr="005C4524" w:rsidTr="002E49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Leitrim County</w:t>
            </w:r>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 </w:t>
            </w:r>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  </w:t>
            </w:r>
          </w:p>
        </w:tc>
        <w:tc>
          <w:tcPr>
            <w:tcW w:w="74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N/A </w:t>
            </w:r>
          </w:p>
        </w:tc>
        <w:tc>
          <w:tcPr>
            <w:tcW w:w="767"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  </w:t>
            </w:r>
          </w:p>
        </w:tc>
        <w:tc>
          <w:tcPr>
            <w:tcW w:w="570"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  </w:t>
            </w:r>
          </w:p>
        </w:tc>
      </w:tr>
      <w:tr w:rsidR="00257E70" w:rsidRPr="005C4524" w:rsidTr="002E49C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Limerick City &amp; County</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N/A </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 </w:t>
            </w:r>
          </w:p>
        </w:tc>
        <w:tc>
          <w:tcPr>
            <w:tcW w:w="74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  </w:t>
            </w:r>
          </w:p>
        </w:tc>
        <w:tc>
          <w:tcPr>
            <w:tcW w:w="767"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  </w:t>
            </w:r>
          </w:p>
        </w:tc>
        <w:tc>
          <w:tcPr>
            <w:tcW w:w="570"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N/A </w:t>
            </w:r>
          </w:p>
        </w:tc>
      </w:tr>
      <w:tr w:rsidR="00257E70" w:rsidRPr="005C4524" w:rsidTr="002E49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Longford County</w:t>
            </w:r>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21</w:t>
            </w:r>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61</w:t>
            </w:r>
          </w:p>
        </w:tc>
        <w:tc>
          <w:tcPr>
            <w:tcW w:w="74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13</w:t>
            </w:r>
          </w:p>
        </w:tc>
        <w:tc>
          <w:tcPr>
            <w:tcW w:w="767"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w:t>
            </w:r>
          </w:p>
        </w:tc>
        <w:tc>
          <w:tcPr>
            <w:tcW w:w="570"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r>
      <w:tr w:rsidR="00257E70" w:rsidRPr="005C4524" w:rsidTr="002E49C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Louth County</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56</w:t>
            </w:r>
          </w:p>
        </w:tc>
        <w:tc>
          <w:tcPr>
            <w:tcW w:w="74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36</w:t>
            </w:r>
          </w:p>
        </w:tc>
        <w:tc>
          <w:tcPr>
            <w:tcW w:w="767"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w:t>
            </w:r>
          </w:p>
        </w:tc>
        <w:tc>
          <w:tcPr>
            <w:tcW w:w="570"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r>
      <w:tr w:rsidR="00257E70" w:rsidRPr="005C4524" w:rsidTr="002E49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Mayo County</w:t>
            </w:r>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19</w:t>
            </w:r>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55</w:t>
            </w:r>
          </w:p>
        </w:tc>
        <w:tc>
          <w:tcPr>
            <w:tcW w:w="74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25</w:t>
            </w:r>
          </w:p>
        </w:tc>
        <w:tc>
          <w:tcPr>
            <w:tcW w:w="767"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w:t>
            </w:r>
          </w:p>
        </w:tc>
        <w:tc>
          <w:tcPr>
            <w:tcW w:w="570"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r>
      <w:tr w:rsidR="00257E70" w:rsidRPr="005C4524" w:rsidTr="002E49C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Meath County</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73</w:t>
            </w:r>
          </w:p>
        </w:tc>
        <w:tc>
          <w:tcPr>
            <w:tcW w:w="74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24</w:t>
            </w:r>
          </w:p>
        </w:tc>
        <w:tc>
          <w:tcPr>
            <w:tcW w:w="767"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w:t>
            </w:r>
          </w:p>
        </w:tc>
        <w:tc>
          <w:tcPr>
            <w:tcW w:w="570"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w:t>
            </w:r>
          </w:p>
        </w:tc>
      </w:tr>
      <w:tr w:rsidR="00257E70" w:rsidRPr="005C4524" w:rsidTr="002E49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Monaghan County</w:t>
            </w:r>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w:t>
            </w:r>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81</w:t>
            </w:r>
          </w:p>
        </w:tc>
        <w:tc>
          <w:tcPr>
            <w:tcW w:w="74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18</w:t>
            </w:r>
          </w:p>
        </w:tc>
        <w:tc>
          <w:tcPr>
            <w:tcW w:w="767"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570"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r>
      <w:tr w:rsidR="00257E70" w:rsidRPr="005C4524" w:rsidTr="002E49C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Offaly County</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13</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70</w:t>
            </w:r>
          </w:p>
        </w:tc>
        <w:tc>
          <w:tcPr>
            <w:tcW w:w="74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16</w:t>
            </w:r>
          </w:p>
        </w:tc>
        <w:tc>
          <w:tcPr>
            <w:tcW w:w="767"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w:t>
            </w:r>
          </w:p>
        </w:tc>
        <w:tc>
          <w:tcPr>
            <w:tcW w:w="570"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r>
      <w:tr w:rsidR="00257E70" w:rsidRPr="005C4524" w:rsidTr="002E49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Roscommon County</w:t>
            </w:r>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12</w:t>
            </w:r>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79</w:t>
            </w:r>
          </w:p>
        </w:tc>
        <w:tc>
          <w:tcPr>
            <w:tcW w:w="74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w:t>
            </w:r>
          </w:p>
        </w:tc>
        <w:tc>
          <w:tcPr>
            <w:tcW w:w="767"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570"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r>
      <w:tr w:rsidR="00257E70" w:rsidRPr="005C4524" w:rsidTr="002E49C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Sligo County</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12</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50</w:t>
            </w:r>
          </w:p>
        </w:tc>
        <w:tc>
          <w:tcPr>
            <w:tcW w:w="74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36</w:t>
            </w:r>
          </w:p>
        </w:tc>
        <w:tc>
          <w:tcPr>
            <w:tcW w:w="767"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w:t>
            </w:r>
          </w:p>
        </w:tc>
        <w:tc>
          <w:tcPr>
            <w:tcW w:w="570"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w:t>
            </w:r>
          </w:p>
        </w:tc>
      </w:tr>
      <w:tr w:rsidR="00257E70" w:rsidRPr="005C4524" w:rsidTr="002E49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South Dublin County</w:t>
            </w:r>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N/A </w:t>
            </w:r>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N/A </w:t>
            </w:r>
          </w:p>
        </w:tc>
        <w:tc>
          <w:tcPr>
            <w:tcW w:w="74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  </w:t>
            </w:r>
          </w:p>
        </w:tc>
        <w:tc>
          <w:tcPr>
            <w:tcW w:w="767"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  </w:t>
            </w:r>
          </w:p>
        </w:tc>
        <w:tc>
          <w:tcPr>
            <w:tcW w:w="570"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  </w:t>
            </w:r>
          </w:p>
        </w:tc>
      </w:tr>
      <w:tr w:rsidR="00257E70" w:rsidRPr="005C4524" w:rsidTr="002E49C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Tipperary County</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14</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74</w:t>
            </w:r>
          </w:p>
        </w:tc>
        <w:tc>
          <w:tcPr>
            <w:tcW w:w="74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w:t>
            </w:r>
          </w:p>
        </w:tc>
        <w:tc>
          <w:tcPr>
            <w:tcW w:w="767"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w:t>
            </w:r>
          </w:p>
        </w:tc>
        <w:tc>
          <w:tcPr>
            <w:tcW w:w="570"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w:t>
            </w:r>
          </w:p>
        </w:tc>
      </w:tr>
      <w:tr w:rsidR="00257E70" w:rsidRPr="005C4524" w:rsidTr="002E49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Waterford City &amp; County</w:t>
            </w:r>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w:t>
            </w:r>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75</w:t>
            </w:r>
          </w:p>
        </w:tc>
        <w:tc>
          <w:tcPr>
            <w:tcW w:w="74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19</w:t>
            </w:r>
          </w:p>
        </w:tc>
        <w:tc>
          <w:tcPr>
            <w:tcW w:w="767"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w:t>
            </w:r>
          </w:p>
        </w:tc>
        <w:tc>
          <w:tcPr>
            <w:tcW w:w="570"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r>
      <w:tr w:rsidR="00257E70" w:rsidRPr="005C4524" w:rsidTr="002E49C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Westmeath County</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87</w:t>
            </w:r>
          </w:p>
        </w:tc>
        <w:tc>
          <w:tcPr>
            <w:tcW w:w="74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12</w:t>
            </w:r>
          </w:p>
        </w:tc>
        <w:tc>
          <w:tcPr>
            <w:tcW w:w="767"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570"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r>
      <w:tr w:rsidR="00257E70" w:rsidRPr="005C4524" w:rsidTr="002E49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Wexford County</w:t>
            </w:r>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37</w:t>
            </w:r>
          </w:p>
        </w:tc>
        <w:tc>
          <w:tcPr>
            <w:tcW w:w="69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51</w:t>
            </w:r>
          </w:p>
        </w:tc>
        <w:tc>
          <w:tcPr>
            <w:tcW w:w="743"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12</w:t>
            </w:r>
          </w:p>
        </w:tc>
        <w:tc>
          <w:tcPr>
            <w:tcW w:w="767"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570" w:type="pct"/>
            <w:noWrap/>
            <w:hideMark/>
          </w:tcPr>
          <w:p w:rsidR="00257E70" w:rsidRPr="005C4524" w:rsidRDefault="00257E70" w:rsidP="008C023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r>
      <w:tr w:rsidR="00257E70" w:rsidRPr="005C4524" w:rsidTr="002E49C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4" w:type="pct"/>
            <w:noWrap/>
            <w:hideMark/>
          </w:tcPr>
          <w:p w:rsidR="00257E70" w:rsidRPr="005C4524" w:rsidRDefault="00257E70" w:rsidP="008C023C">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Wicklow County</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w:t>
            </w:r>
          </w:p>
        </w:tc>
        <w:tc>
          <w:tcPr>
            <w:tcW w:w="69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70</w:t>
            </w:r>
          </w:p>
        </w:tc>
        <w:tc>
          <w:tcPr>
            <w:tcW w:w="743"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21</w:t>
            </w:r>
          </w:p>
        </w:tc>
        <w:tc>
          <w:tcPr>
            <w:tcW w:w="767"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w:t>
            </w:r>
          </w:p>
        </w:tc>
        <w:tc>
          <w:tcPr>
            <w:tcW w:w="570" w:type="pct"/>
            <w:noWrap/>
            <w:hideMark/>
          </w:tcPr>
          <w:p w:rsidR="00257E70" w:rsidRPr="005C4524" w:rsidRDefault="00257E70" w:rsidP="008C023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r>
    </w:tbl>
    <w:p w:rsidR="00B904ED" w:rsidRDefault="00B904ED" w:rsidP="00201EC9">
      <w:pPr>
        <w:rPr>
          <w:rFonts w:eastAsia="Times New Roman" w:cstheme="minorHAnsi"/>
          <w:b/>
          <w:bCs/>
          <w:color w:val="000000"/>
          <w:lang w:eastAsia="en-IE"/>
        </w:rPr>
      </w:pPr>
    </w:p>
    <w:p w:rsidR="00431F6E" w:rsidRPr="009660A3" w:rsidRDefault="00431F6E" w:rsidP="009660A3">
      <w:pPr>
        <w:spacing w:line="240" w:lineRule="auto"/>
        <w:jc w:val="both"/>
        <w:rPr>
          <w:rFonts w:eastAsia="Times New Roman" w:cstheme="minorHAnsi"/>
          <w:bCs/>
          <w:color w:val="000000"/>
          <w:sz w:val="18"/>
          <w:szCs w:val="18"/>
          <w:lang w:eastAsia="en-IE"/>
        </w:rPr>
      </w:pPr>
      <w:proofErr w:type="gramStart"/>
      <w:r w:rsidRPr="009660A3">
        <w:rPr>
          <w:rFonts w:eastAsia="Times New Roman" w:cstheme="minorHAnsi"/>
          <w:bCs/>
          <w:color w:val="000000"/>
          <w:sz w:val="18"/>
          <w:szCs w:val="18"/>
          <w:vertAlign w:val="superscript"/>
          <w:lang w:eastAsia="en-IE"/>
        </w:rPr>
        <w:t>a</w:t>
      </w:r>
      <w:proofErr w:type="gramEnd"/>
      <w:r w:rsidRPr="009660A3">
        <w:rPr>
          <w:rFonts w:eastAsia="Times New Roman" w:cstheme="minorHAnsi"/>
          <w:bCs/>
          <w:color w:val="000000"/>
          <w:sz w:val="18"/>
          <w:szCs w:val="18"/>
          <w:vertAlign w:val="superscript"/>
          <w:lang w:eastAsia="en-IE"/>
        </w:rPr>
        <w:t xml:space="preserve"> </w:t>
      </w:r>
      <w:r w:rsidRPr="009660A3">
        <w:rPr>
          <w:rFonts w:eastAsia="Times New Roman" w:cstheme="minorHAnsi"/>
          <w:bCs/>
          <w:color w:val="000000"/>
          <w:sz w:val="18"/>
          <w:szCs w:val="18"/>
          <w:u w:val="single"/>
          <w:lang w:eastAsia="en-IE"/>
        </w:rPr>
        <w:t>Cork</w:t>
      </w:r>
      <w:r w:rsidR="00086532">
        <w:rPr>
          <w:rFonts w:eastAsia="Times New Roman" w:cstheme="minorHAnsi"/>
          <w:bCs/>
          <w:color w:val="000000"/>
          <w:sz w:val="18"/>
          <w:szCs w:val="18"/>
          <w:u w:val="single"/>
          <w:lang w:eastAsia="en-IE"/>
        </w:rPr>
        <w:t xml:space="preserve"> County</w:t>
      </w:r>
      <w:r w:rsidRPr="009660A3">
        <w:rPr>
          <w:rFonts w:eastAsia="Times New Roman" w:cstheme="minorHAnsi"/>
          <w:color w:val="000000"/>
          <w:sz w:val="18"/>
          <w:szCs w:val="18"/>
          <w:lang w:eastAsia="en-IE"/>
        </w:rPr>
        <w:t>: Applies to Wes</w:t>
      </w:r>
      <w:r w:rsidR="002E49C5" w:rsidRPr="009660A3">
        <w:rPr>
          <w:rFonts w:eastAsia="Times New Roman" w:cstheme="minorHAnsi"/>
          <w:color w:val="000000"/>
          <w:sz w:val="18"/>
          <w:szCs w:val="18"/>
          <w:lang w:eastAsia="en-IE"/>
        </w:rPr>
        <w:t>t Cork monitoring only for all five</w:t>
      </w:r>
      <w:r w:rsidRPr="009660A3">
        <w:rPr>
          <w:rFonts w:eastAsia="Times New Roman" w:cstheme="minorHAnsi"/>
          <w:color w:val="000000"/>
          <w:sz w:val="18"/>
          <w:szCs w:val="18"/>
          <w:lang w:eastAsia="en-IE"/>
        </w:rPr>
        <w:t xml:space="preserve"> levels</w:t>
      </w:r>
    </w:p>
    <w:p w:rsidR="00B904ED" w:rsidRPr="00B97E75" w:rsidRDefault="00B904ED" w:rsidP="00201EC9">
      <w:pPr>
        <w:rPr>
          <w:rFonts w:eastAsia="Times New Roman" w:cstheme="minorHAnsi"/>
          <w:b/>
          <w:bCs/>
          <w:color w:val="000000"/>
          <w:lang w:eastAsia="en-IE"/>
        </w:rPr>
      </w:pPr>
    </w:p>
    <w:p w:rsidR="008C023C" w:rsidRPr="00B97E75" w:rsidRDefault="008C023C" w:rsidP="00201EC9">
      <w:pPr>
        <w:rPr>
          <w:rFonts w:eastAsia="Times New Roman" w:cstheme="minorHAnsi"/>
          <w:b/>
          <w:bCs/>
          <w:color w:val="000000"/>
          <w:lang w:eastAsia="en-IE"/>
        </w:rPr>
      </w:pPr>
    </w:p>
    <w:p w:rsidR="008D0377" w:rsidRPr="00B97E75" w:rsidRDefault="008D0377" w:rsidP="00201EC9">
      <w:pPr>
        <w:rPr>
          <w:rFonts w:eastAsia="Times New Roman" w:cstheme="minorHAnsi"/>
          <w:b/>
          <w:bCs/>
          <w:color w:val="000000"/>
          <w:lang w:eastAsia="en-IE"/>
        </w:rPr>
      </w:pPr>
    </w:p>
    <w:p w:rsidR="008D0377" w:rsidRPr="00B97E75" w:rsidRDefault="008D0377" w:rsidP="00201EC9">
      <w:pPr>
        <w:rPr>
          <w:rFonts w:eastAsia="Times New Roman" w:cstheme="minorHAnsi"/>
          <w:b/>
          <w:bCs/>
          <w:color w:val="000000"/>
          <w:lang w:eastAsia="en-IE"/>
        </w:rPr>
      </w:pPr>
    </w:p>
    <w:tbl>
      <w:tblPr>
        <w:tblW w:w="7680" w:type="dxa"/>
        <w:tblInd w:w="91" w:type="dxa"/>
        <w:tblLayout w:type="fixed"/>
        <w:tblLook w:val="04A0" w:firstRow="1" w:lastRow="0" w:firstColumn="1" w:lastColumn="0" w:noHBand="0" w:noVBand="1"/>
      </w:tblPr>
      <w:tblGrid>
        <w:gridCol w:w="968"/>
        <w:gridCol w:w="1884"/>
        <w:gridCol w:w="993"/>
        <w:gridCol w:w="958"/>
        <w:gridCol w:w="959"/>
        <w:gridCol w:w="959"/>
        <w:gridCol w:w="959"/>
      </w:tblGrid>
      <w:tr w:rsidR="002E49C5" w:rsidRPr="002E49C5" w:rsidTr="00E17A00">
        <w:trPr>
          <w:trHeight w:val="406"/>
        </w:trPr>
        <w:tc>
          <w:tcPr>
            <w:tcW w:w="768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lastRenderedPageBreak/>
              <w:t>Percentage Area Within the Five Levels of Litter Pollution</w:t>
            </w:r>
          </w:p>
        </w:tc>
      </w:tr>
      <w:tr w:rsidR="002E49C5" w:rsidRPr="002E49C5" w:rsidTr="00E17A00">
        <w:trPr>
          <w:trHeight w:val="358"/>
        </w:trPr>
        <w:tc>
          <w:tcPr>
            <w:tcW w:w="2852" w:type="dxa"/>
            <w:gridSpan w:val="2"/>
            <w:tcBorders>
              <w:top w:val="nil"/>
              <w:left w:val="single" w:sz="8" w:space="0" w:color="auto"/>
              <w:bottom w:val="single" w:sz="8" w:space="0" w:color="auto"/>
              <w:right w:val="single" w:sz="8" w:space="0" w:color="000000"/>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Unpolluted or Litter Free</w:t>
            </w:r>
          </w:p>
        </w:tc>
        <w:tc>
          <w:tcPr>
            <w:tcW w:w="993" w:type="dxa"/>
            <w:tcBorders>
              <w:top w:val="nil"/>
              <w:left w:val="nil"/>
              <w:bottom w:val="single" w:sz="8" w:space="0" w:color="auto"/>
              <w:right w:val="nil"/>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2010</w:t>
            </w:r>
          </w:p>
        </w:tc>
        <w:tc>
          <w:tcPr>
            <w:tcW w:w="958" w:type="dxa"/>
            <w:tcBorders>
              <w:top w:val="nil"/>
              <w:left w:val="single" w:sz="8" w:space="0" w:color="auto"/>
              <w:bottom w:val="single" w:sz="8" w:space="0" w:color="auto"/>
              <w:right w:val="single" w:sz="8" w:space="0" w:color="000000"/>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2011</w:t>
            </w:r>
          </w:p>
        </w:tc>
        <w:tc>
          <w:tcPr>
            <w:tcW w:w="959" w:type="dxa"/>
            <w:tcBorders>
              <w:top w:val="nil"/>
              <w:left w:val="nil"/>
              <w:bottom w:val="single" w:sz="8" w:space="0" w:color="auto"/>
              <w:right w:val="single" w:sz="8" w:space="0" w:color="auto"/>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2012</w:t>
            </w:r>
          </w:p>
        </w:tc>
        <w:tc>
          <w:tcPr>
            <w:tcW w:w="959" w:type="dxa"/>
            <w:tcBorders>
              <w:top w:val="nil"/>
              <w:left w:val="nil"/>
              <w:bottom w:val="single" w:sz="8" w:space="0" w:color="auto"/>
              <w:right w:val="single" w:sz="8" w:space="0" w:color="auto"/>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2013</w:t>
            </w:r>
          </w:p>
        </w:tc>
        <w:tc>
          <w:tcPr>
            <w:tcW w:w="959" w:type="dxa"/>
            <w:tcBorders>
              <w:top w:val="nil"/>
              <w:left w:val="nil"/>
              <w:bottom w:val="single" w:sz="8" w:space="0" w:color="auto"/>
              <w:right w:val="single" w:sz="8" w:space="0" w:color="auto"/>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2014</w:t>
            </w:r>
          </w:p>
        </w:tc>
      </w:tr>
      <w:tr w:rsidR="002E49C5" w:rsidRPr="002E49C5" w:rsidTr="00E17A00">
        <w:trPr>
          <w:trHeight w:val="315"/>
        </w:trPr>
        <w:tc>
          <w:tcPr>
            <w:tcW w:w="968" w:type="dxa"/>
            <w:tcBorders>
              <w:top w:val="nil"/>
              <w:left w:val="single" w:sz="8" w:space="0" w:color="auto"/>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N</w:t>
            </w:r>
          </w:p>
        </w:tc>
        <w:tc>
          <w:tcPr>
            <w:tcW w:w="1884" w:type="dxa"/>
            <w:tcBorders>
              <w:top w:val="nil"/>
              <w:left w:val="nil"/>
              <w:bottom w:val="single" w:sz="8" w:space="0" w:color="auto"/>
              <w:right w:val="nil"/>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Valid</w:t>
            </w:r>
          </w:p>
        </w:tc>
        <w:tc>
          <w:tcPr>
            <w:tcW w:w="993" w:type="dxa"/>
            <w:tcBorders>
              <w:top w:val="nil"/>
              <w:left w:val="single" w:sz="8" w:space="0" w:color="auto"/>
              <w:bottom w:val="single" w:sz="8" w:space="0" w:color="auto"/>
              <w:right w:val="nil"/>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32</w:t>
            </w:r>
          </w:p>
        </w:tc>
        <w:tc>
          <w:tcPr>
            <w:tcW w:w="95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32</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32</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33</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DD6A92" w:rsidP="00E17A00">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28</w:t>
            </w:r>
          </w:p>
        </w:tc>
      </w:tr>
      <w:tr w:rsidR="002E49C5" w:rsidRPr="002E49C5" w:rsidTr="00E17A00">
        <w:trPr>
          <w:trHeight w:val="315"/>
        </w:trPr>
        <w:tc>
          <w:tcPr>
            <w:tcW w:w="968" w:type="dxa"/>
            <w:tcBorders>
              <w:top w:val="nil"/>
              <w:left w:val="single" w:sz="8" w:space="0" w:color="auto"/>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 </w:t>
            </w:r>
          </w:p>
        </w:tc>
        <w:tc>
          <w:tcPr>
            <w:tcW w:w="1884" w:type="dxa"/>
            <w:tcBorders>
              <w:top w:val="nil"/>
              <w:left w:val="nil"/>
              <w:bottom w:val="single" w:sz="8" w:space="0" w:color="auto"/>
              <w:right w:val="nil"/>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Missing</w:t>
            </w:r>
          </w:p>
        </w:tc>
        <w:tc>
          <w:tcPr>
            <w:tcW w:w="993" w:type="dxa"/>
            <w:tcBorders>
              <w:top w:val="nil"/>
              <w:left w:val="single" w:sz="8" w:space="0" w:color="auto"/>
              <w:bottom w:val="single" w:sz="8" w:space="0" w:color="auto"/>
              <w:right w:val="nil"/>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2</w:t>
            </w:r>
          </w:p>
        </w:tc>
        <w:tc>
          <w:tcPr>
            <w:tcW w:w="95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2</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2</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0</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DD6A92" w:rsidP="00E17A00">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3</w:t>
            </w:r>
          </w:p>
        </w:tc>
      </w:tr>
      <w:tr w:rsidR="002E49C5" w:rsidRPr="002E49C5" w:rsidTr="00E17A00">
        <w:trPr>
          <w:trHeight w:val="315"/>
        </w:trPr>
        <w:tc>
          <w:tcPr>
            <w:tcW w:w="968" w:type="dxa"/>
            <w:tcBorders>
              <w:top w:val="nil"/>
              <w:left w:val="single" w:sz="8" w:space="0" w:color="auto"/>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Average</w:t>
            </w:r>
          </w:p>
        </w:tc>
        <w:tc>
          <w:tcPr>
            <w:tcW w:w="1884" w:type="dxa"/>
            <w:tcBorders>
              <w:top w:val="nil"/>
              <w:left w:val="nil"/>
              <w:bottom w:val="single" w:sz="8" w:space="0" w:color="auto"/>
              <w:right w:val="nil"/>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Median</w:t>
            </w:r>
          </w:p>
        </w:tc>
        <w:tc>
          <w:tcPr>
            <w:tcW w:w="993" w:type="dxa"/>
            <w:tcBorders>
              <w:top w:val="nil"/>
              <w:left w:val="single" w:sz="8" w:space="0" w:color="auto"/>
              <w:bottom w:val="single" w:sz="8" w:space="0" w:color="auto"/>
              <w:right w:val="nil"/>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0.5</w:t>
            </w:r>
          </w:p>
        </w:tc>
        <w:tc>
          <w:tcPr>
            <w:tcW w:w="95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9</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8</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11</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C3237" w:rsidP="00E17A00">
            <w:pPr>
              <w:spacing w:after="0" w:line="240" w:lineRule="auto"/>
              <w:rPr>
                <w:rFonts w:ascii="Calibri" w:eastAsia="Times New Roman" w:hAnsi="Calibri" w:cs="Calibri"/>
                <w:b/>
                <w:bCs/>
                <w:color w:val="000000"/>
                <w:lang w:eastAsia="en-IE"/>
              </w:rPr>
            </w:pPr>
            <w:r>
              <w:rPr>
                <w:rFonts w:ascii="Calibri" w:eastAsia="Times New Roman" w:hAnsi="Calibri" w:cs="Calibri"/>
                <w:b/>
                <w:bCs/>
                <w:color w:val="000000"/>
                <w:lang w:eastAsia="en-IE"/>
              </w:rPr>
              <w:t>9.50</w:t>
            </w:r>
          </w:p>
        </w:tc>
      </w:tr>
      <w:tr w:rsidR="002E49C5" w:rsidRPr="002E49C5" w:rsidTr="00E17A00">
        <w:trPr>
          <w:trHeight w:val="315"/>
        </w:trPr>
        <w:tc>
          <w:tcPr>
            <w:tcW w:w="968" w:type="dxa"/>
            <w:tcBorders>
              <w:top w:val="nil"/>
              <w:left w:val="single" w:sz="8" w:space="0" w:color="auto"/>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 </w:t>
            </w:r>
          </w:p>
        </w:tc>
        <w:tc>
          <w:tcPr>
            <w:tcW w:w="1884" w:type="dxa"/>
            <w:tcBorders>
              <w:top w:val="nil"/>
              <w:left w:val="nil"/>
              <w:bottom w:val="single" w:sz="8" w:space="0" w:color="auto"/>
              <w:right w:val="nil"/>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Mean</w:t>
            </w:r>
          </w:p>
        </w:tc>
        <w:tc>
          <w:tcPr>
            <w:tcW w:w="993" w:type="dxa"/>
            <w:tcBorders>
              <w:top w:val="nil"/>
              <w:left w:val="single" w:sz="8" w:space="0" w:color="auto"/>
              <w:bottom w:val="single" w:sz="8" w:space="0" w:color="auto"/>
              <w:right w:val="nil"/>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3.77</w:t>
            </w:r>
          </w:p>
        </w:tc>
        <w:tc>
          <w:tcPr>
            <w:tcW w:w="95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11.3</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10.3</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10.84</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C3237" w:rsidP="00E17A00">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10.93</w:t>
            </w:r>
          </w:p>
        </w:tc>
      </w:tr>
      <w:tr w:rsidR="002E49C5" w:rsidRPr="002E49C5" w:rsidTr="0040405D">
        <w:trPr>
          <w:trHeight w:val="315"/>
        </w:trPr>
        <w:tc>
          <w:tcPr>
            <w:tcW w:w="2852" w:type="dxa"/>
            <w:gridSpan w:val="2"/>
            <w:tcBorders>
              <w:top w:val="single" w:sz="8" w:space="0" w:color="auto"/>
              <w:left w:val="single" w:sz="8" w:space="0" w:color="auto"/>
              <w:bottom w:val="single" w:sz="8" w:space="0" w:color="auto"/>
              <w:right w:val="single" w:sz="4" w:space="0" w:color="auto"/>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 xml:space="preserve">Slightly Polluted </w:t>
            </w:r>
          </w:p>
        </w:tc>
        <w:tc>
          <w:tcPr>
            <w:tcW w:w="993" w:type="dxa"/>
            <w:tcBorders>
              <w:top w:val="nil"/>
              <w:left w:val="single" w:sz="4" w:space="0" w:color="auto"/>
              <w:bottom w:val="single" w:sz="8" w:space="0" w:color="auto"/>
              <w:right w:val="nil"/>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2010</w:t>
            </w:r>
          </w:p>
        </w:tc>
        <w:tc>
          <w:tcPr>
            <w:tcW w:w="958" w:type="dxa"/>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2011</w:t>
            </w:r>
          </w:p>
        </w:tc>
        <w:tc>
          <w:tcPr>
            <w:tcW w:w="959" w:type="dxa"/>
            <w:tcBorders>
              <w:top w:val="nil"/>
              <w:left w:val="nil"/>
              <w:bottom w:val="single" w:sz="8" w:space="0" w:color="auto"/>
              <w:right w:val="single" w:sz="8" w:space="0" w:color="auto"/>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2012</w:t>
            </w:r>
          </w:p>
        </w:tc>
        <w:tc>
          <w:tcPr>
            <w:tcW w:w="959" w:type="dxa"/>
            <w:tcBorders>
              <w:top w:val="nil"/>
              <w:left w:val="nil"/>
              <w:bottom w:val="single" w:sz="8" w:space="0" w:color="auto"/>
              <w:right w:val="single" w:sz="8" w:space="0" w:color="auto"/>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2013</w:t>
            </w:r>
          </w:p>
        </w:tc>
        <w:tc>
          <w:tcPr>
            <w:tcW w:w="959" w:type="dxa"/>
            <w:tcBorders>
              <w:top w:val="nil"/>
              <w:left w:val="nil"/>
              <w:bottom w:val="single" w:sz="8" w:space="0" w:color="auto"/>
              <w:right w:val="single" w:sz="8" w:space="0" w:color="auto"/>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2014</w:t>
            </w:r>
          </w:p>
        </w:tc>
      </w:tr>
      <w:tr w:rsidR="002E49C5" w:rsidRPr="002E49C5" w:rsidTr="0040405D">
        <w:trPr>
          <w:trHeight w:val="315"/>
        </w:trPr>
        <w:tc>
          <w:tcPr>
            <w:tcW w:w="968" w:type="dxa"/>
            <w:tcBorders>
              <w:top w:val="nil"/>
              <w:left w:val="single" w:sz="8" w:space="0" w:color="auto"/>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N</w:t>
            </w:r>
          </w:p>
        </w:tc>
        <w:tc>
          <w:tcPr>
            <w:tcW w:w="1884" w:type="dxa"/>
            <w:tcBorders>
              <w:top w:val="nil"/>
              <w:left w:val="nil"/>
              <w:bottom w:val="single" w:sz="8" w:space="0" w:color="auto"/>
              <w:right w:val="single" w:sz="4"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Valid</w:t>
            </w:r>
          </w:p>
        </w:tc>
        <w:tc>
          <w:tcPr>
            <w:tcW w:w="993" w:type="dxa"/>
            <w:tcBorders>
              <w:top w:val="nil"/>
              <w:left w:val="single" w:sz="4" w:space="0" w:color="auto"/>
              <w:bottom w:val="single" w:sz="8" w:space="0" w:color="auto"/>
              <w:right w:val="nil"/>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32</w:t>
            </w:r>
          </w:p>
        </w:tc>
        <w:tc>
          <w:tcPr>
            <w:tcW w:w="95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32</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32</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33</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28</w:t>
            </w:r>
          </w:p>
        </w:tc>
      </w:tr>
      <w:tr w:rsidR="002E49C5" w:rsidRPr="002E49C5" w:rsidTr="00E17A00">
        <w:trPr>
          <w:trHeight w:val="315"/>
        </w:trPr>
        <w:tc>
          <w:tcPr>
            <w:tcW w:w="968" w:type="dxa"/>
            <w:tcBorders>
              <w:top w:val="nil"/>
              <w:left w:val="single" w:sz="8" w:space="0" w:color="auto"/>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 </w:t>
            </w:r>
          </w:p>
        </w:tc>
        <w:tc>
          <w:tcPr>
            <w:tcW w:w="1884" w:type="dxa"/>
            <w:tcBorders>
              <w:top w:val="nil"/>
              <w:left w:val="nil"/>
              <w:bottom w:val="single" w:sz="8" w:space="0" w:color="auto"/>
              <w:right w:val="nil"/>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Missing</w:t>
            </w:r>
          </w:p>
        </w:tc>
        <w:tc>
          <w:tcPr>
            <w:tcW w:w="993" w:type="dxa"/>
            <w:tcBorders>
              <w:top w:val="nil"/>
              <w:left w:val="single" w:sz="8" w:space="0" w:color="auto"/>
              <w:bottom w:val="single" w:sz="8" w:space="0" w:color="auto"/>
              <w:right w:val="nil"/>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2</w:t>
            </w:r>
          </w:p>
        </w:tc>
        <w:tc>
          <w:tcPr>
            <w:tcW w:w="95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2</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2</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0</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3</w:t>
            </w:r>
          </w:p>
        </w:tc>
      </w:tr>
      <w:tr w:rsidR="002E49C5" w:rsidRPr="002E49C5" w:rsidTr="00E17A00">
        <w:trPr>
          <w:trHeight w:val="315"/>
        </w:trPr>
        <w:tc>
          <w:tcPr>
            <w:tcW w:w="968" w:type="dxa"/>
            <w:tcBorders>
              <w:top w:val="nil"/>
              <w:left w:val="single" w:sz="8" w:space="0" w:color="auto"/>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Average</w:t>
            </w:r>
          </w:p>
        </w:tc>
        <w:tc>
          <w:tcPr>
            <w:tcW w:w="1884"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Median</w:t>
            </w:r>
          </w:p>
        </w:tc>
        <w:tc>
          <w:tcPr>
            <w:tcW w:w="993" w:type="dxa"/>
            <w:tcBorders>
              <w:top w:val="nil"/>
              <w:left w:val="nil"/>
              <w:bottom w:val="single" w:sz="8" w:space="0" w:color="auto"/>
              <w:right w:val="nil"/>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65</w:t>
            </w:r>
          </w:p>
        </w:tc>
        <w:tc>
          <w:tcPr>
            <w:tcW w:w="95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67.5</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61</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63</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70</w:t>
            </w:r>
          </w:p>
        </w:tc>
      </w:tr>
      <w:tr w:rsidR="002E49C5" w:rsidRPr="002E49C5" w:rsidTr="00E17A00">
        <w:trPr>
          <w:trHeight w:val="315"/>
        </w:trPr>
        <w:tc>
          <w:tcPr>
            <w:tcW w:w="968" w:type="dxa"/>
            <w:tcBorders>
              <w:top w:val="nil"/>
              <w:left w:val="single" w:sz="8" w:space="0" w:color="auto"/>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 </w:t>
            </w:r>
          </w:p>
        </w:tc>
        <w:tc>
          <w:tcPr>
            <w:tcW w:w="1884"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Mean</w:t>
            </w:r>
          </w:p>
        </w:tc>
        <w:tc>
          <w:tcPr>
            <w:tcW w:w="993" w:type="dxa"/>
            <w:tcBorders>
              <w:top w:val="nil"/>
              <w:left w:val="nil"/>
              <w:bottom w:val="single" w:sz="8" w:space="0" w:color="auto"/>
              <w:right w:val="nil"/>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62.6</w:t>
            </w:r>
          </w:p>
        </w:tc>
        <w:tc>
          <w:tcPr>
            <w:tcW w:w="95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63.8</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62.41</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61.64</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68.</w:t>
            </w:r>
            <w:r w:rsidR="002C3237">
              <w:rPr>
                <w:rFonts w:ascii="Calibri" w:eastAsia="Times New Roman" w:hAnsi="Calibri" w:cs="Calibri"/>
                <w:color w:val="000000"/>
                <w:lang w:eastAsia="en-IE"/>
              </w:rPr>
              <w:t>64</w:t>
            </w:r>
          </w:p>
        </w:tc>
      </w:tr>
      <w:tr w:rsidR="002E49C5" w:rsidRPr="002E49C5" w:rsidTr="00E17A00">
        <w:trPr>
          <w:trHeight w:val="349"/>
        </w:trPr>
        <w:tc>
          <w:tcPr>
            <w:tcW w:w="2852"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 xml:space="preserve">Moderately Polluted </w:t>
            </w:r>
          </w:p>
        </w:tc>
        <w:tc>
          <w:tcPr>
            <w:tcW w:w="993" w:type="dxa"/>
            <w:tcBorders>
              <w:top w:val="nil"/>
              <w:left w:val="nil"/>
              <w:bottom w:val="single" w:sz="8" w:space="0" w:color="auto"/>
              <w:right w:val="nil"/>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2010</w:t>
            </w:r>
          </w:p>
        </w:tc>
        <w:tc>
          <w:tcPr>
            <w:tcW w:w="958" w:type="dxa"/>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2011</w:t>
            </w:r>
          </w:p>
        </w:tc>
        <w:tc>
          <w:tcPr>
            <w:tcW w:w="959" w:type="dxa"/>
            <w:tcBorders>
              <w:top w:val="nil"/>
              <w:left w:val="nil"/>
              <w:bottom w:val="single" w:sz="8" w:space="0" w:color="auto"/>
              <w:right w:val="single" w:sz="8" w:space="0" w:color="auto"/>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2012</w:t>
            </w:r>
          </w:p>
        </w:tc>
        <w:tc>
          <w:tcPr>
            <w:tcW w:w="959" w:type="dxa"/>
            <w:tcBorders>
              <w:top w:val="nil"/>
              <w:left w:val="nil"/>
              <w:bottom w:val="single" w:sz="8" w:space="0" w:color="auto"/>
              <w:right w:val="single" w:sz="8" w:space="0" w:color="auto"/>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2013</w:t>
            </w:r>
          </w:p>
        </w:tc>
        <w:tc>
          <w:tcPr>
            <w:tcW w:w="959" w:type="dxa"/>
            <w:tcBorders>
              <w:top w:val="nil"/>
              <w:left w:val="nil"/>
              <w:bottom w:val="single" w:sz="8" w:space="0" w:color="auto"/>
              <w:right w:val="single" w:sz="8" w:space="0" w:color="auto"/>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2014</w:t>
            </w:r>
          </w:p>
        </w:tc>
      </w:tr>
      <w:tr w:rsidR="002E49C5" w:rsidRPr="002E49C5" w:rsidTr="00E17A00">
        <w:trPr>
          <w:trHeight w:val="315"/>
        </w:trPr>
        <w:tc>
          <w:tcPr>
            <w:tcW w:w="968" w:type="dxa"/>
            <w:tcBorders>
              <w:top w:val="nil"/>
              <w:left w:val="single" w:sz="8" w:space="0" w:color="auto"/>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N</w:t>
            </w:r>
          </w:p>
        </w:tc>
        <w:tc>
          <w:tcPr>
            <w:tcW w:w="1884"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Valid</w:t>
            </w:r>
          </w:p>
        </w:tc>
        <w:tc>
          <w:tcPr>
            <w:tcW w:w="993" w:type="dxa"/>
            <w:tcBorders>
              <w:top w:val="nil"/>
              <w:left w:val="nil"/>
              <w:bottom w:val="single" w:sz="8" w:space="0" w:color="auto"/>
              <w:right w:val="nil"/>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32</w:t>
            </w:r>
          </w:p>
        </w:tc>
        <w:tc>
          <w:tcPr>
            <w:tcW w:w="95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32</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32</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33</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28</w:t>
            </w:r>
          </w:p>
        </w:tc>
      </w:tr>
      <w:tr w:rsidR="002E49C5" w:rsidRPr="002E49C5" w:rsidTr="00E17A00">
        <w:trPr>
          <w:trHeight w:val="315"/>
        </w:trPr>
        <w:tc>
          <w:tcPr>
            <w:tcW w:w="968" w:type="dxa"/>
            <w:tcBorders>
              <w:top w:val="nil"/>
              <w:left w:val="single" w:sz="8" w:space="0" w:color="auto"/>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 </w:t>
            </w:r>
          </w:p>
        </w:tc>
        <w:tc>
          <w:tcPr>
            <w:tcW w:w="1884"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Missing</w:t>
            </w:r>
          </w:p>
        </w:tc>
        <w:tc>
          <w:tcPr>
            <w:tcW w:w="993" w:type="dxa"/>
            <w:tcBorders>
              <w:top w:val="nil"/>
              <w:left w:val="nil"/>
              <w:bottom w:val="single" w:sz="8" w:space="0" w:color="auto"/>
              <w:right w:val="nil"/>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2</w:t>
            </w:r>
          </w:p>
        </w:tc>
        <w:tc>
          <w:tcPr>
            <w:tcW w:w="95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2</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2</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0</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3</w:t>
            </w:r>
          </w:p>
        </w:tc>
      </w:tr>
      <w:tr w:rsidR="002E49C5" w:rsidRPr="002E49C5" w:rsidTr="00E17A00">
        <w:trPr>
          <w:trHeight w:val="315"/>
        </w:trPr>
        <w:tc>
          <w:tcPr>
            <w:tcW w:w="968" w:type="dxa"/>
            <w:tcBorders>
              <w:top w:val="nil"/>
              <w:left w:val="single" w:sz="8" w:space="0" w:color="auto"/>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Average</w:t>
            </w:r>
          </w:p>
        </w:tc>
        <w:tc>
          <w:tcPr>
            <w:tcW w:w="1884"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Median</w:t>
            </w:r>
          </w:p>
        </w:tc>
        <w:tc>
          <w:tcPr>
            <w:tcW w:w="993" w:type="dxa"/>
            <w:tcBorders>
              <w:top w:val="nil"/>
              <w:left w:val="nil"/>
              <w:bottom w:val="single" w:sz="8" w:space="0" w:color="auto"/>
              <w:right w:val="nil"/>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20.5</w:t>
            </w:r>
          </w:p>
        </w:tc>
        <w:tc>
          <w:tcPr>
            <w:tcW w:w="95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21</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23</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21</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16</w:t>
            </w:r>
          </w:p>
        </w:tc>
      </w:tr>
      <w:tr w:rsidR="002E49C5" w:rsidRPr="002E49C5" w:rsidTr="00E17A00">
        <w:trPr>
          <w:trHeight w:val="315"/>
        </w:trPr>
        <w:tc>
          <w:tcPr>
            <w:tcW w:w="968" w:type="dxa"/>
            <w:tcBorders>
              <w:top w:val="nil"/>
              <w:left w:val="single" w:sz="8" w:space="0" w:color="auto"/>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 </w:t>
            </w:r>
          </w:p>
        </w:tc>
        <w:tc>
          <w:tcPr>
            <w:tcW w:w="1884"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Mean</w:t>
            </w:r>
          </w:p>
        </w:tc>
        <w:tc>
          <w:tcPr>
            <w:tcW w:w="993" w:type="dxa"/>
            <w:tcBorders>
              <w:top w:val="nil"/>
              <w:left w:val="nil"/>
              <w:bottom w:val="single" w:sz="8" w:space="0" w:color="auto"/>
              <w:right w:val="nil"/>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22.8</w:t>
            </w:r>
          </w:p>
        </w:tc>
        <w:tc>
          <w:tcPr>
            <w:tcW w:w="95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23.2</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22.88</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22.88</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18.11</w:t>
            </w:r>
          </w:p>
        </w:tc>
      </w:tr>
      <w:tr w:rsidR="002E49C5" w:rsidRPr="002E49C5" w:rsidTr="00E17A00">
        <w:trPr>
          <w:trHeight w:val="345"/>
        </w:trPr>
        <w:tc>
          <w:tcPr>
            <w:tcW w:w="2852"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 xml:space="preserve">Significantly Polluted </w:t>
            </w:r>
          </w:p>
        </w:tc>
        <w:tc>
          <w:tcPr>
            <w:tcW w:w="993" w:type="dxa"/>
            <w:tcBorders>
              <w:top w:val="nil"/>
              <w:left w:val="nil"/>
              <w:bottom w:val="single" w:sz="8" w:space="0" w:color="auto"/>
              <w:right w:val="nil"/>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2010</w:t>
            </w:r>
          </w:p>
        </w:tc>
        <w:tc>
          <w:tcPr>
            <w:tcW w:w="958" w:type="dxa"/>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2011</w:t>
            </w:r>
          </w:p>
        </w:tc>
        <w:tc>
          <w:tcPr>
            <w:tcW w:w="959" w:type="dxa"/>
            <w:tcBorders>
              <w:top w:val="nil"/>
              <w:left w:val="nil"/>
              <w:bottom w:val="single" w:sz="8" w:space="0" w:color="auto"/>
              <w:right w:val="single" w:sz="8" w:space="0" w:color="auto"/>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2012</w:t>
            </w:r>
          </w:p>
        </w:tc>
        <w:tc>
          <w:tcPr>
            <w:tcW w:w="959" w:type="dxa"/>
            <w:tcBorders>
              <w:top w:val="nil"/>
              <w:left w:val="nil"/>
              <w:bottom w:val="single" w:sz="8" w:space="0" w:color="auto"/>
              <w:right w:val="single" w:sz="8" w:space="0" w:color="auto"/>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2013</w:t>
            </w:r>
          </w:p>
        </w:tc>
        <w:tc>
          <w:tcPr>
            <w:tcW w:w="959" w:type="dxa"/>
            <w:tcBorders>
              <w:top w:val="nil"/>
              <w:left w:val="nil"/>
              <w:bottom w:val="single" w:sz="8" w:space="0" w:color="auto"/>
              <w:right w:val="single" w:sz="8" w:space="0" w:color="auto"/>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2014</w:t>
            </w:r>
          </w:p>
        </w:tc>
      </w:tr>
      <w:tr w:rsidR="002E49C5" w:rsidRPr="002E49C5" w:rsidTr="00E17A00">
        <w:trPr>
          <w:trHeight w:val="315"/>
        </w:trPr>
        <w:tc>
          <w:tcPr>
            <w:tcW w:w="968" w:type="dxa"/>
            <w:tcBorders>
              <w:top w:val="nil"/>
              <w:left w:val="single" w:sz="8" w:space="0" w:color="auto"/>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N</w:t>
            </w:r>
          </w:p>
        </w:tc>
        <w:tc>
          <w:tcPr>
            <w:tcW w:w="1884"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Valid</w:t>
            </w:r>
          </w:p>
        </w:tc>
        <w:tc>
          <w:tcPr>
            <w:tcW w:w="993" w:type="dxa"/>
            <w:tcBorders>
              <w:top w:val="nil"/>
              <w:left w:val="nil"/>
              <w:bottom w:val="single" w:sz="8" w:space="0" w:color="auto"/>
              <w:right w:val="nil"/>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32</w:t>
            </w:r>
          </w:p>
        </w:tc>
        <w:tc>
          <w:tcPr>
            <w:tcW w:w="95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32</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32</w:t>
            </w:r>
          </w:p>
        </w:tc>
        <w:tc>
          <w:tcPr>
            <w:tcW w:w="959" w:type="dxa"/>
            <w:tcBorders>
              <w:top w:val="nil"/>
              <w:left w:val="nil"/>
              <w:bottom w:val="single" w:sz="8" w:space="0" w:color="auto"/>
              <w:right w:val="nil"/>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33</w:t>
            </w:r>
          </w:p>
        </w:tc>
        <w:tc>
          <w:tcPr>
            <w:tcW w:w="959" w:type="dxa"/>
            <w:tcBorders>
              <w:top w:val="nil"/>
              <w:left w:val="single" w:sz="8" w:space="0" w:color="auto"/>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28</w:t>
            </w:r>
          </w:p>
        </w:tc>
      </w:tr>
      <w:tr w:rsidR="002E49C5" w:rsidRPr="002E49C5" w:rsidTr="00E17A00">
        <w:trPr>
          <w:trHeight w:val="315"/>
        </w:trPr>
        <w:tc>
          <w:tcPr>
            <w:tcW w:w="968" w:type="dxa"/>
            <w:tcBorders>
              <w:top w:val="nil"/>
              <w:left w:val="single" w:sz="8" w:space="0" w:color="auto"/>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 </w:t>
            </w:r>
          </w:p>
        </w:tc>
        <w:tc>
          <w:tcPr>
            <w:tcW w:w="1884"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Missing</w:t>
            </w:r>
          </w:p>
        </w:tc>
        <w:tc>
          <w:tcPr>
            <w:tcW w:w="993" w:type="dxa"/>
            <w:tcBorders>
              <w:top w:val="nil"/>
              <w:left w:val="nil"/>
              <w:bottom w:val="single" w:sz="8" w:space="0" w:color="auto"/>
              <w:right w:val="nil"/>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2</w:t>
            </w:r>
          </w:p>
        </w:tc>
        <w:tc>
          <w:tcPr>
            <w:tcW w:w="95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2</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2</w:t>
            </w:r>
          </w:p>
        </w:tc>
        <w:tc>
          <w:tcPr>
            <w:tcW w:w="959" w:type="dxa"/>
            <w:tcBorders>
              <w:top w:val="nil"/>
              <w:left w:val="nil"/>
              <w:bottom w:val="single" w:sz="8" w:space="0" w:color="auto"/>
              <w:right w:val="nil"/>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0</w:t>
            </w:r>
          </w:p>
        </w:tc>
        <w:tc>
          <w:tcPr>
            <w:tcW w:w="959" w:type="dxa"/>
            <w:tcBorders>
              <w:top w:val="nil"/>
              <w:left w:val="single" w:sz="8" w:space="0" w:color="auto"/>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3</w:t>
            </w:r>
          </w:p>
        </w:tc>
      </w:tr>
      <w:tr w:rsidR="002E49C5" w:rsidRPr="002E49C5" w:rsidTr="00E17A00">
        <w:trPr>
          <w:trHeight w:val="315"/>
        </w:trPr>
        <w:tc>
          <w:tcPr>
            <w:tcW w:w="968" w:type="dxa"/>
            <w:tcBorders>
              <w:top w:val="nil"/>
              <w:left w:val="single" w:sz="8" w:space="0" w:color="auto"/>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Average</w:t>
            </w:r>
          </w:p>
        </w:tc>
        <w:tc>
          <w:tcPr>
            <w:tcW w:w="1884"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Median</w:t>
            </w:r>
          </w:p>
        </w:tc>
        <w:tc>
          <w:tcPr>
            <w:tcW w:w="993" w:type="dxa"/>
            <w:tcBorders>
              <w:top w:val="nil"/>
              <w:left w:val="nil"/>
              <w:bottom w:val="single" w:sz="8" w:space="0" w:color="auto"/>
              <w:right w:val="nil"/>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w:t>
            </w:r>
          </w:p>
        </w:tc>
        <w:tc>
          <w:tcPr>
            <w:tcW w:w="95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1</w:t>
            </w:r>
          </w:p>
        </w:tc>
        <w:tc>
          <w:tcPr>
            <w:tcW w:w="959" w:type="dxa"/>
            <w:tcBorders>
              <w:top w:val="nil"/>
              <w:left w:val="nil"/>
              <w:bottom w:val="nil"/>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3</w:t>
            </w:r>
          </w:p>
        </w:tc>
        <w:tc>
          <w:tcPr>
            <w:tcW w:w="959" w:type="dxa"/>
            <w:tcBorders>
              <w:top w:val="nil"/>
              <w:left w:val="nil"/>
              <w:bottom w:val="nil"/>
              <w:right w:val="nil"/>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w:t>
            </w:r>
          </w:p>
        </w:tc>
        <w:tc>
          <w:tcPr>
            <w:tcW w:w="959" w:type="dxa"/>
            <w:tcBorders>
              <w:top w:val="nil"/>
              <w:left w:val="single" w:sz="8" w:space="0" w:color="auto"/>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1</w:t>
            </w:r>
          </w:p>
        </w:tc>
      </w:tr>
      <w:tr w:rsidR="002E49C5" w:rsidRPr="002E49C5" w:rsidTr="00E17A00">
        <w:trPr>
          <w:trHeight w:val="315"/>
        </w:trPr>
        <w:tc>
          <w:tcPr>
            <w:tcW w:w="968" w:type="dxa"/>
            <w:tcBorders>
              <w:top w:val="nil"/>
              <w:left w:val="single" w:sz="8" w:space="0" w:color="auto"/>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 </w:t>
            </w:r>
          </w:p>
        </w:tc>
        <w:tc>
          <w:tcPr>
            <w:tcW w:w="1884"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Mean</w:t>
            </w:r>
          </w:p>
        </w:tc>
        <w:tc>
          <w:tcPr>
            <w:tcW w:w="993" w:type="dxa"/>
            <w:tcBorders>
              <w:top w:val="nil"/>
              <w:left w:val="nil"/>
              <w:bottom w:val="single" w:sz="8" w:space="0" w:color="auto"/>
              <w:right w:val="nil"/>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3.1</w:t>
            </w:r>
          </w:p>
        </w:tc>
        <w:tc>
          <w:tcPr>
            <w:tcW w:w="95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2.3</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3.66</w:t>
            </w:r>
          </w:p>
        </w:tc>
        <w:tc>
          <w:tcPr>
            <w:tcW w:w="959" w:type="dxa"/>
            <w:tcBorders>
              <w:top w:val="single" w:sz="8" w:space="0" w:color="auto"/>
              <w:left w:val="nil"/>
              <w:bottom w:val="single" w:sz="8" w:space="0" w:color="auto"/>
              <w:right w:val="nil"/>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3.58</w:t>
            </w:r>
          </w:p>
        </w:tc>
        <w:tc>
          <w:tcPr>
            <w:tcW w:w="959" w:type="dxa"/>
            <w:tcBorders>
              <w:top w:val="nil"/>
              <w:left w:val="single" w:sz="8" w:space="0" w:color="auto"/>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2.04</w:t>
            </w:r>
          </w:p>
        </w:tc>
      </w:tr>
      <w:tr w:rsidR="002E49C5" w:rsidRPr="002E49C5" w:rsidTr="00E17A00">
        <w:trPr>
          <w:trHeight w:val="315"/>
        </w:trPr>
        <w:tc>
          <w:tcPr>
            <w:tcW w:w="2852"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 xml:space="preserve">Grossly Polluted </w:t>
            </w:r>
          </w:p>
        </w:tc>
        <w:tc>
          <w:tcPr>
            <w:tcW w:w="993" w:type="dxa"/>
            <w:tcBorders>
              <w:top w:val="nil"/>
              <w:left w:val="nil"/>
              <w:bottom w:val="single" w:sz="8" w:space="0" w:color="auto"/>
              <w:right w:val="nil"/>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2010</w:t>
            </w:r>
          </w:p>
        </w:tc>
        <w:tc>
          <w:tcPr>
            <w:tcW w:w="958" w:type="dxa"/>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2011</w:t>
            </w:r>
          </w:p>
        </w:tc>
        <w:tc>
          <w:tcPr>
            <w:tcW w:w="959" w:type="dxa"/>
            <w:tcBorders>
              <w:top w:val="nil"/>
              <w:left w:val="nil"/>
              <w:bottom w:val="single" w:sz="8" w:space="0" w:color="auto"/>
              <w:right w:val="single" w:sz="8" w:space="0" w:color="auto"/>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2012</w:t>
            </w:r>
          </w:p>
        </w:tc>
        <w:tc>
          <w:tcPr>
            <w:tcW w:w="959" w:type="dxa"/>
            <w:tcBorders>
              <w:top w:val="nil"/>
              <w:left w:val="nil"/>
              <w:bottom w:val="single" w:sz="8" w:space="0" w:color="auto"/>
              <w:right w:val="single" w:sz="8" w:space="0" w:color="auto"/>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2013</w:t>
            </w:r>
          </w:p>
        </w:tc>
        <w:tc>
          <w:tcPr>
            <w:tcW w:w="959" w:type="dxa"/>
            <w:tcBorders>
              <w:top w:val="nil"/>
              <w:left w:val="nil"/>
              <w:bottom w:val="single" w:sz="8" w:space="0" w:color="auto"/>
              <w:right w:val="single" w:sz="8" w:space="0" w:color="auto"/>
            </w:tcBorders>
            <w:shd w:val="clear" w:color="auto" w:fill="B6DDE8" w:themeFill="accent5" w:themeFillTint="66"/>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2014</w:t>
            </w:r>
          </w:p>
        </w:tc>
      </w:tr>
      <w:tr w:rsidR="002E49C5" w:rsidRPr="002E49C5" w:rsidTr="00E17A00">
        <w:trPr>
          <w:trHeight w:val="315"/>
        </w:trPr>
        <w:tc>
          <w:tcPr>
            <w:tcW w:w="968" w:type="dxa"/>
            <w:tcBorders>
              <w:top w:val="nil"/>
              <w:left w:val="single" w:sz="8" w:space="0" w:color="auto"/>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N</w:t>
            </w:r>
          </w:p>
        </w:tc>
        <w:tc>
          <w:tcPr>
            <w:tcW w:w="1884"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Valid</w:t>
            </w:r>
          </w:p>
        </w:tc>
        <w:tc>
          <w:tcPr>
            <w:tcW w:w="993" w:type="dxa"/>
            <w:tcBorders>
              <w:top w:val="nil"/>
              <w:left w:val="nil"/>
              <w:bottom w:val="single" w:sz="8" w:space="0" w:color="auto"/>
              <w:right w:val="nil"/>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32</w:t>
            </w:r>
          </w:p>
        </w:tc>
        <w:tc>
          <w:tcPr>
            <w:tcW w:w="95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32</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32</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33</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28</w:t>
            </w:r>
          </w:p>
        </w:tc>
      </w:tr>
      <w:tr w:rsidR="002E49C5" w:rsidRPr="002E49C5" w:rsidTr="00E17A00">
        <w:trPr>
          <w:trHeight w:val="315"/>
        </w:trPr>
        <w:tc>
          <w:tcPr>
            <w:tcW w:w="968" w:type="dxa"/>
            <w:tcBorders>
              <w:top w:val="nil"/>
              <w:left w:val="single" w:sz="8" w:space="0" w:color="auto"/>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 </w:t>
            </w:r>
          </w:p>
        </w:tc>
        <w:tc>
          <w:tcPr>
            <w:tcW w:w="1884"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Missing</w:t>
            </w:r>
          </w:p>
        </w:tc>
        <w:tc>
          <w:tcPr>
            <w:tcW w:w="993" w:type="dxa"/>
            <w:tcBorders>
              <w:top w:val="nil"/>
              <w:left w:val="nil"/>
              <w:bottom w:val="single" w:sz="8" w:space="0" w:color="auto"/>
              <w:right w:val="nil"/>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2</w:t>
            </w:r>
          </w:p>
        </w:tc>
        <w:tc>
          <w:tcPr>
            <w:tcW w:w="95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2</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2</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0</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3</w:t>
            </w:r>
          </w:p>
        </w:tc>
      </w:tr>
      <w:tr w:rsidR="002E49C5" w:rsidRPr="002E49C5" w:rsidTr="00E17A00">
        <w:trPr>
          <w:trHeight w:val="315"/>
        </w:trPr>
        <w:tc>
          <w:tcPr>
            <w:tcW w:w="968" w:type="dxa"/>
            <w:tcBorders>
              <w:top w:val="nil"/>
              <w:left w:val="single" w:sz="8" w:space="0" w:color="auto"/>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Average</w:t>
            </w:r>
          </w:p>
        </w:tc>
        <w:tc>
          <w:tcPr>
            <w:tcW w:w="1884"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Median</w:t>
            </w:r>
          </w:p>
        </w:tc>
        <w:tc>
          <w:tcPr>
            <w:tcW w:w="993" w:type="dxa"/>
            <w:tcBorders>
              <w:top w:val="nil"/>
              <w:left w:val="nil"/>
              <w:bottom w:val="single" w:sz="8" w:space="0" w:color="auto"/>
              <w:right w:val="nil"/>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0</w:t>
            </w:r>
          </w:p>
        </w:tc>
        <w:tc>
          <w:tcPr>
            <w:tcW w:w="95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0</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1.5</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0</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b/>
                <w:bCs/>
                <w:color w:val="000000"/>
                <w:lang w:eastAsia="en-IE"/>
              </w:rPr>
            </w:pPr>
            <w:r w:rsidRPr="002E49C5">
              <w:rPr>
                <w:rFonts w:ascii="Calibri" w:eastAsia="Times New Roman" w:hAnsi="Calibri" w:cs="Calibri"/>
                <w:b/>
                <w:bCs/>
                <w:color w:val="000000"/>
                <w:lang w:eastAsia="en-IE"/>
              </w:rPr>
              <w:t>0</w:t>
            </w:r>
          </w:p>
        </w:tc>
      </w:tr>
      <w:tr w:rsidR="002E49C5" w:rsidRPr="002E49C5" w:rsidTr="00E17A00">
        <w:trPr>
          <w:trHeight w:val="315"/>
        </w:trPr>
        <w:tc>
          <w:tcPr>
            <w:tcW w:w="968" w:type="dxa"/>
            <w:tcBorders>
              <w:top w:val="nil"/>
              <w:left w:val="single" w:sz="8" w:space="0" w:color="auto"/>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 </w:t>
            </w:r>
          </w:p>
        </w:tc>
        <w:tc>
          <w:tcPr>
            <w:tcW w:w="1884"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Mean</w:t>
            </w:r>
          </w:p>
        </w:tc>
        <w:tc>
          <w:tcPr>
            <w:tcW w:w="993" w:type="dxa"/>
            <w:tcBorders>
              <w:top w:val="nil"/>
              <w:left w:val="nil"/>
              <w:bottom w:val="single" w:sz="8" w:space="0" w:color="auto"/>
              <w:right w:val="nil"/>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0.4</w:t>
            </w:r>
          </w:p>
        </w:tc>
        <w:tc>
          <w:tcPr>
            <w:tcW w:w="95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0.4</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0.41</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0.48</w:t>
            </w:r>
          </w:p>
        </w:tc>
        <w:tc>
          <w:tcPr>
            <w:tcW w:w="959" w:type="dxa"/>
            <w:tcBorders>
              <w:top w:val="nil"/>
              <w:left w:val="nil"/>
              <w:bottom w:val="single" w:sz="8" w:space="0" w:color="auto"/>
              <w:right w:val="single" w:sz="8" w:space="0" w:color="auto"/>
            </w:tcBorders>
            <w:shd w:val="clear" w:color="auto" w:fill="auto"/>
            <w:vAlign w:val="center"/>
            <w:hideMark/>
          </w:tcPr>
          <w:p w:rsidR="002E49C5" w:rsidRPr="002E49C5" w:rsidRDefault="002E49C5" w:rsidP="00E17A00">
            <w:pPr>
              <w:spacing w:after="0" w:line="240" w:lineRule="auto"/>
              <w:rPr>
                <w:rFonts w:ascii="Calibri" w:eastAsia="Times New Roman" w:hAnsi="Calibri" w:cs="Calibri"/>
                <w:color w:val="000000"/>
                <w:lang w:eastAsia="en-IE"/>
              </w:rPr>
            </w:pPr>
            <w:r w:rsidRPr="002E49C5">
              <w:rPr>
                <w:rFonts w:ascii="Calibri" w:eastAsia="Times New Roman" w:hAnsi="Calibri" w:cs="Calibri"/>
                <w:color w:val="000000"/>
                <w:lang w:eastAsia="en-IE"/>
              </w:rPr>
              <w:t>0.25</w:t>
            </w:r>
          </w:p>
        </w:tc>
      </w:tr>
    </w:tbl>
    <w:p w:rsidR="00B904ED" w:rsidRPr="00B97E75" w:rsidRDefault="00B904ED" w:rsidP="00201EC9">
      <w:pPr>
        <w:rPr>
          <w:rFonts w:eastAsia="Times New Roman" w:cstheme="minorHAnsi"/>
          <w:b/>
          <w:bCs/>
          <w:color w:val="000000"/>
          <w:lang w:eastAsia="en-IE"/>
        </w:rPr>
      </w:pPr>
    </w:p>
    <w:p w:rsidR="00B904ED" w:rsidRPr="00B97E75" w:rsidRDefault="00B904ED" w:rsidP="00201EC9">
      <w:pPr>
        <w:rPr>
          <w:rFonts w:eastAsia="Times New Roman" w:cstheme="minorHAnsi"/>
          <w:b/>
          <w:bCs/>
          <w:color w:val="000000"/>
          <w:lang w:eastAsia="en-IE"/>
        </w:rPr>
      </w:pPr>
    </w:p>
    <w:tbl>
      <w:tblPr>
        <w:tblW w:w="8740" w:type="dxa"/>
        <w:tblInd w:w="98" w:type="dxa"/>
        <w:tblLook w:val="04A0" w:firstRow="1" w:lastRow="0" w:firstColumn="1" w:lastColumn="0" w:noHBand="0" w:noVBand="1"/>
      </w:tblPr>
      <w:tblGrid>
        <w:gridCol w:w="2460"/>
        <w:gridCol w:w="1260"/>
        <w:gridCol w:w="1260"/>
        <w:gridCol w:w="1260"/>
        <w:gridCol w:w="1260"/>
        <w:gridCol w:w="1240"/>
      </w:tblGrid>
      <w:tr w:rsidR="008C023C" w:rsidRPr="00B97E75" w:rsidTr="00E17A00">
        <w:trPr>
          <w:trHeight w:val="240"/>
        </w:trPr>
        <w:tc>
          <w:tcPr>
            <w:tcW w:w="8740" w:type="dxa"/>
            <w:gridSpan w:val="6"/>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C023C" w:rsidRPr="00B97E75" w:rsidRDefault="008C023C" w:rsidP="00E17A00">
            <w:pPr>
              <w:spacing w:after="0" w:line="240" w:lineRule="auto"/>
              <w:rPr>
                <w:rFonts w:eastAsia="Times New Roman" w:cstheme="minorHAnsi"/>
                <w:b/>
                <w:color w:val="000000"/>
                <w:lang w:eastAsia="en-IE"/>
              </w:rPr>
            </w:pPr>
            <w:r w:rsidRPr="00B97E75">
              <w:rPr>
                <w:rFonts w:eastAsia="Times New Roman" w:cstheme="minorHAnsi"/>
                <w:b/>
                <w:color w:val="000000"/>
                <w:lang w:eastAsia="en-IE"/>
              </w:rPr>
              <w:t>Summary Statistics 2010 - 2014</w:t>
            </w:r>
          </w:p>
        </w:tc>
      </w:tr>
      <w:tr w:rsidR="008C023C" w:rsidRPr="00B97E75" w:rsidTr="00E17A00">
        <w:trPr>
          <w:trHeight w:val="240"/>
        </w:trPr>
        <w:tc>
          <w:tcPr>
            <w:tcW w:w="2460" w:type="dxa"/>
            <w:tcBorders>
              <w:top w:val="single" w:sz="8" w:space="0" w:color="auto"/>
              <w:left w:val="single" w:sz="8" w:space="0" w:color="auto"/>
              <w:bottom w:val="single" w:sz="4" w:space="0" w:color="auto"/>
              <w:right w:val="single" w:sz="4" w:space="0" w:color="auto"/>
            </w:tcBorders>
            <w:shd w:val="clear" w:color="auto" w:fill="B6DDE8" w:themeFill="accent5" w:themeFillTint="66"/>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260"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2010</w:t>
            </w:r>
          </w:p>
        </w:tc>
        <w:tc>
          <w:tcPr>
            <w:tcW w:w="1260"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2011</w:t>
            </w:r>
          </w:p>
        </w:tc>
        <w:tc>
          <w:tcPr>
            <w:tcW w:w="1260"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2012</w:t>
            </w:r>
          </w:p>
        </w:tc>
        <w:tc>
          <w:tcPr>
            <w:tcW w:w="1260"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2013</w:t>
            </w:r>
          </w:p>
        </w:tc>
        <w:tc>
          <w:tcPr>
            <w:tcW w:w="1240" w:type="dxa"/>
            <w:tcBorders>
              <w:top w:val="single" w:sz="8" w:space="0" w:color="auto"/>
              <w:left w:val="nil"/>
              <w:bottom w:val="single" w:sz="4" w:space="0" w:color="auto"/>
              <w:right w:val="single" w:sz="8" w:space="0" w:color="auto"/>
            </w:tcBorders>
            <w:shd w:val="clear" w:color="auto" w:fill="B6DDE8" w:themeFill="accent5" w:themeFillTint="66"/>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2014</w:t>
            </w:r>
          </w:p>
        </w:tc>
      </w:tr>
      <w:tr w:rsidR="008C023C" w:rsidRPr="00B97E75" w:rsidTr="00E17A00">
        <w:trPr>
          <w:trHeight w:val="240"/>
        </w:trPr>
        <w:tc>
          <w:tcPr>
            <w:tcW w:w="2460" w:type="dxa"/>
            <w:tcBorders>
              <w:top w:val="nil"/>
              <w:left w:val="single" w:sz="8" w:space="0" w:color="auto"/>
              <w:bottom w:val="single" w:sz="4" w:space="0" w:color="auto"/>
              <w:right w:val="single" w:sz="4" w:space="0" w:color="auto"/>
            </w:tcBorders>
            <w:shd w:val="clear" w:color="000000" w:fill="FFFFFF"/>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Unpolluted or Litter Free</w:t>
            </w:r>
          </w:p>
        </w:tc>
        <w:tc>
          <w:tcPr>
            <w:tcW w:w="1260" w:type="dxa"/>
            <w:tcBorders>
              <w:top w:val="nil"/>
              <w:left w:val="nil"/>
              <w:bottom w:val="single" w:sz="4" w:space="0" w:color="auto"/>
              <w:right w:val="single" w:sz="4" w:space="0" w:color="auto"/>
            </w:tcBorders>
            <w:shd w:val="clear" w:color="auto" w:fill="auto"/>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11.30</w:t>
            </w:r>
          </w:p>
        </w:tc>
        <w:tc>
          <w:tcPr>
            <w:tcW w:w="1260" w:type="dxa"/>
            <w:tcBorders>
              <w:top w:val="nil"/>
              <w:left w:val="nil"/>
              <w:bottom w:val="single" w:sz="4" w:space="0" w:color="auto"/>
              <w:right w:val="single" w:sz="4" w:space="0" w:color="auto"/>
            </w:tcBorders>
            <w:shd w:val="clear" w:color="auto" w:fill="auto"/>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10.30</w:t>
            </w:r>
          </w:p>
        </w:tc>
        <w:tc>
          <w:tcPr>
            <w:tcW w:w="1260" w:type="dxa"/>
            <w:tcBorders>
              <w:top w:val="nil"/>
              <w:left w:val="nil"/>
              <w:bottom w:val="single" w:sz="4" w:space="0" w:color="auto"/>
              <w:right w:val="single" w:sz="4" w:space="0" w:color="auto"/>
            </w:tcBorders>
            <w:shd w:val="clear" w:color="auto" w:fill="auto"/>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10.84</w:t>
            </w:r>
          </w:p>
        </w:tc>
        <w:tc>
          <w:tcPr>
            <w:tcW w:w="1260" w:type="dxa"/>
            <w:tcBorders>
              <w:top w:val="nil"/>
              <w:left w:val="nil"/>
              <w:bottom w:val="single" w:sz="4" w:space="0" w:color="auto"/>
              <w:right w:val="single" w:sz="4" w:space="0" w:color="auto"/>
            </w:tcBorders>
            <w:shd w:val="clear" w:color="auto" w:fill="auto"/>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11.42</w:t>
            </w:r>
          </w:p>
        </w:tc>
        <w:tc>
          <w:tcPr>
            <w:tcW w:w="1240" w:type="dxa"/>
            <w:tcBorders>
              <w:top w:val="nil"/>
              <w:left w:val="nil"/>
              <w:bottom w:val="single" w:sz="4" w:space="0" w:color="auto"/>
              <w:right w:val="single" w:sz="8" w:space="0" w:color="auto"/>
            </w:tcBorders>
            <w:shd w:val="clear" w:color="auto" w:fill="auto"/>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10.</w:t>
            </w:r>
            <w:r w:rsidR="002C3237">
              <w:rPr>
                <w:rFonts w:eastAsia="Times New Roman" w:cstheme="minorHAnsi"/>
                <w:color w:val="000000"/>
                <w:lang w:eastAsia="en-IE"/>
              </w:rPr>
              <w:t>93</w:t>
            </w:r>
          </w:p>
        </w:tc>
      </w:tr>
      <w:tr w:rsidR="008C023C" w:rsidRPr="00B97E75" w:rsidTr="00E17A00">
        <w:trPr>
          <w:trHeight w:val="240"/>
        </w:trPr>
        <w:tc>
          <w:tcPr>
            <w:tcW w:w="2460" w:type="dxa"/>
            <w:tcBorders>
              <w:top w:val="nil"/>
              <w:left w:val="single" w:sz="8" w:space="0" w:color="auto"/>
              <w:bottom w:val="single" w:sz="4" w:space="0" w:color="auto"/>
              <w:right w:val="single" w:sz="4" w:space="0" w:color="auto"/>
            </w:tcBorders>
            <w:shd w:val="clear" w:color="000000" w:fill="FFFFFF"/>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xml:space="preserve">Slightly Polluted </w:t>
            </w:r>
          </w:p>
        </w:tc>
        <w:tc>
          <w:tcPr>
            <w:tcW w:w="1260" w:type="dxa"/>
            <w:tcBorders>
              <w:top w:val="nil"/>
              <w:left w:val="nil"/>
              <w:bottom w:val="single" w:sz="4" w:space="0" w:color="auto"/>
              <w:right w:val="single" w:sz="4" w:space="0" w:color="auto"/>
            </w:tcBorders>
            <w:shd w:val="clear" w:color="auto" w:fill="auto"/>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62.60</w:t>
            </w:r>
          </w:p>
        </w:tc>
        <w:tc>
          <w:tcPr>
            <w:tcW w:w="1260" w:type="dxa"/>
            <w:tcBorders>
              <w:top w:val="nil"/>
              <w:left w:val="nil"/>
              <w:bottom w:val="single" w:sz="4" w:space="0" w:color="auto"/>
              <w:right w:val="single" w:sz="4" w:space="0" w:color="auto"/>
            </w:tcBorders>
            <w:shd w:val="clear" w:color="auto" w:fill="auto"/>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63.80</w:t>
            </w:r>
          </w:p>
        </w:tc>
        <w:tc>
          <w:tcPr>
            <w:tcW w:w="1260" w:type="dxa"/>
            <w:tcBorders>
              <w:top w:val="nil"/>
              <w:left w:val="nil"/>
              <w:bottom w:val="single" w:sz="4" w:space="0" w:color="auto"/>
              <w:right w:val="single" w:sz="4" w:space="0" w:color="auto"/>
            </w:tcBorders>
            <w:shd w:val="clear" w:color="auto" w:fill="auto"/>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62.41</w:t>
            </w:r>
          </w:p>
        </w:tc>
        <w:tc>
          <w:tcPr>
            <w:tcW w:w="1260" w:type="dxa"/>
            <w:tcBorders>
              <w:top w:val="nil"/>
              <w:left w:val="nil"/>
              <w:bottom w:val="single" w:sz="4" w:space="0" w:color="auto"/>
              <w:right w:val="single" w:sz="4" w:space="0" w:color="auto"/>
            </w:tcBorders>
            <w:shd w:val="clear" w:color="auto" w:fill="auto"/>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61.64</w:t>
            </w:r>
          </w:p>
        </w:tc>
        <w:tc>
          <w:tcPr>
            <w:tcW w:w="1240" w:type="dxa"/>
            <w:tcBorders>
              <w:top w:val="nil"/>
              <w:left w:val="nil"/>
              <w:bottom w:val="single" w:sz="4" w:space="0" w:color="auto"/>
              <w:right w:val="single" w:sz="8" w:space="0" w:color="auto"/>
            </w:tcBorders>
            <w:shd w:val="clear" w:color="auto" w:fill="auto"/>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68.</w:t>
            </w:r>
            <w:r w:rsidR="002C3237">
              <w:rPr>
                <w:rFonts w:eastAsia="Times New Roman" w:cstheme="minorHAnsi"/>
                <w:color w:val="000000"/>
                <w:lang w:eastAsia="en-IE"/>
              </w:rPr>
              <w:t>64</w:t>
            </w:r>
          </w:p>
        </w:tc>
      </w:tr>
      <w:tr w:rsidR="008C023C" w:rsidRPr="00B97E75" w:rsidTr="00E17A00">
        <w:trPr>
          <w:trHeight w:val="240"/>
        </w:trPr>
        <w:tc>
          <w:tcPr>
            <w:tcW w:w="2460" w:type="dxa"/>
            <w:tcBorders>
              <w:top w:val="nil"/>
              <w:left w:val="single" w:sz="8" w:space="0" w:color="auto"/>
              <w:bottom w:val="single" w:sz="4" w:space="0" w:color="auto"/>
              <w:right w:val="single" w:sz="4" w:space="0" w:color="auto"/>
            </w:tcBorders>
            <w:shd w:val="clear" w:color="000000" w:fill="FFFFFF"/>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xml:space="preserve">Moderately Polluted </w:t>
            </w:r>
          </w:p>
        </w:tc>
        <w:tc>
          <w:tcPr>
            <w:tcW w:w="1260" w:type="dxa"/>
            <w:tcBorders>
              <w:top w:val="nil"/>
              <w:left w:val="nil"/>
              <w:bottom w:val="single" w:sz="4" w:space="0" w:color="auto"/>
              <w:right w:val="single" w:sz="4" w:space="0" w:color="auto"/>
            </w:tcBorders>
            <w:shd w:val="clear" w:color="auto" w:fill="auto"/>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22.80</w:t>
            </w:r>
          </w:p>
        </w:tc>
        <w:tc>
          <w:tcPr>
            <w:tcW w:w="1260" w:type="dxa"/>
            <w:tcBorders>
              <w:top w:val="nil"/>
              <w:left w:val="nil"/>
              <w:bottom w:val="single" w:sz="4" w:space="0" w:color="auto"/>
              <w:right w:val="single" w:sz="4" w:space="0" w:color="auto"/>
            </w:tcBorders>
            <w:shd w:val="clear" w:color="auto" w:fill="auto"/>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23.20</w:t>
            </w:r>
          </w:p>
        </w:tc>
        <w:tc>
          <w:tcPr>
            <w:tcW w:w="1260" w:type="dxa"/>
            <w:tcBorders>
              <w:top w:val="nil"/>
              <w:left w:val="nil"/>
              <w:bottom w:val="single" w:sz="4" w:space="0" w:color="auto"/>
              <w:right w:val="single" w:sz="4" w:space="0" w:color="auto"/>
            </w:tcBorders>
            <w:shd w:val="clear" w:color="auto" w:fill="auto"/>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22.88</w:t>
            </w:r>
          </w:p>
        </w:tc>
        <w:tc>
          <w:tcPr>
            <w:tcW w:w="1260" w:type="dxa"/>
            <w:tcBorders>
              <w:top w:val="nil"/>
              <w:left w:val="nil"/>
              <w:bottom w:val="single" w:sz="4" w:space="0" w:color="auto"/>
              <w:right w:val="single" w:sz="4" w:space="0" w:color="auto"/>
            </w:tcBorders>
            <w:shd w:val="clear" w:color="auto" w:fill="auto"/>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22.88</w:t>
            </w:r>
          </w:p>
        </w:tc>
        <w:tc>
          <w:tcPr>
            <w:tcW w:w="1240" w:type="dxa"/>
            <w:tcBorders>
              <w:top w:val="nil"/>
              <w:left w:val="nil"/>
              <w:bottom w:val="single" w:sz="4" w:space="0" w:color="auto"/>
              <w:right w:val="single" w:sz="8" w:space="0" w:color="auto"/>
            </w:tcBorders>
            <w:shd w:val="clear" w:color="auto" w:fill="auto"/>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18.11</w:t>
            </w:r>
          </w:p>
        </w:tc>
      </w:tr>
      <w:tr w:rsidR="008C023C" w:rsidRPr="00B97E75" w:rsidTr="00E17A00">
        <w:trPr>
          <w:trHeight w:val="240"/>
        </w:trPr>
        <w:tc>
          <w:tcPr>
            <w:tcW w:w="2460" w:type="dxa"/>
            <w:tcBorders>
              <w:top w:val="nil"/>
              <w:left w:val="single" w:sz="8" w:space="0" w:color="auto"/>
              <w:bottom w:val="single" w:sz="4" w:space="0" w:color="auto"/>
              <w:right w:val="single" w:sz="4" w:space="0" w:color="auto"/>
            </w:tcBorders>
            <w:shd w:val="clear" w:color="000000" w:fill="FFFFFF"/>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xml:space="preserve">Significantly Polluted </w:t>
            </w:r>
          </w:p>
        </w:tc>
        <w:tc>
          <w:tcPr>
            <w:tcW w:w="1260" w:type="dxa"/>
            <w:tcBorders>
              <w:top w:val="nil"/>
              <w:left w:val="nil"/>
              <w:bottom w:val="single" w:sz="4" w:space="0" w:color="auto"/>
              <w:right w:val="single" w:sz="4" w:space="0" w:color="auto"/>
            </w:tcBorders>
            <w:shd w:val="clear" w:color="auto" w:fill="auto"/>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3.10</w:t>
            </w:r>
          </w:p>
        </w:tc>
        <w:tc>
          <w:tcPr>
            <w:tcW w:w="1260" w:type="dxa"/>
            <w:tcBorders>
              <w:top w:val="nil"/>
              <w:left w:val="nil"/>
              <w:bottom w:val="single" w:sz="4" w:space="0" w:color="auto"/>
              <w:right w:val="single" w:sz="4" w:space="0" w:color="auto"/>
            </w:tcBorders>
            <w:shd w:val="clear" w:color="auto" w:fill="auto"/>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2.30</w:t>
            </w:r>
          </w:p>
        </w:tc>
        <w:tc>
          <w:tcPr>
            <w:tcW w:w="1260" w:type="dxa"/>
            <w:tcBorders>
              <w:top w:val="nil"/>
              <w:left w:val="nil"/>
              <w:bottom w:val="single" w:sz="4" w:space="0" w:color="auto"/>
              <w:right w:val="single" w:sz="4" w:space="0" w:color="auto"/>
            </w:tcBorders>
            <w:shd w:val="clear" w:color="auto" w:fill="auto"/>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3.66</w:t>
            </w:r>
          </w:p>
        </w:tc>
        <w:tc>
          <w:tcPr>
            <w:tcW w:w="1260" w:type="dxa"/>
            <w:tcBorders>
              <w:top w:val="nil"/>
              <w:left w:val="nil"/>
              <w:bottom w:val="single" w:sz="4" w:space="0" w:color="auto"/>
              <w:right w:val="single" w:sz="4" w:space="0" w:color="auto"/>
            </w:tcBorders>
            <w:shd w:val="clear" w:color="auto" w:fill="auto"/>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3.58</w:t>
            </w:r>
          </w:p>
        </w:tc>
        <w:tc>
          <w:tcPr>
            <w:tcW w:w="1240" w:type="dxa"/>
            <w:tcBorders>
              <w:top w:val="nil"/>
              <w:left w:val="nil"/>
              <w:bottom w:val="single" w:sz="4" w:space="0" w:color="auto"/>
              <w:right w:val="single" w:sz="8" w:space="0" w:color="auto"/>
            </w:tcBorders>
            <w:shd w:val="clear" w:color="auto" w:fill="auto"/>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2.04</w:t>
            </w:r>
          </w:p>
        </w:tc>
      </w:tr>
      <w:tr w:rsidR="008C023C" w:rsidRPr="00B97E75" w:rsidTr="00E17A00">
        <w:trPr>
          <w:trHeight w:val="255"/>
        </w:trPr>
        <w:tc>
          <w:tcPr>
            <w:tcW w:w="2460" w:type="dxa"/>
            <w:tcBorders>
              <w:top w:val="nil"/>
              <w:left w:val="single" w:sz="8" w:space="0" w:color="auto"/>
              <w:bottom w:val="single" w:sz="8" w:space="0" w:color="auto"/>
              <w:right w:val="single" w:sz="4" w:space="0" w:color="auto"/>
            </w:tcBorders>
            <w:shd w:val="clear" w:color="000000" w:fill="FFFFFF"/>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xml:space="preserve">Grossly Polluted </w:t>
            </w:r>
          </w:p>
        </w:tc>
        <w:tc>
          <w:tcPr>
            <w:tcW w:w="1260" w:type="dxa"/>
            <w:tcBorders>
              <w:top w:val="nil"/>
              <w:left w:val="nil"/>
              <w:bottom w:val="single" w:sz="8" w:space="0" w:color="auto"/>
              <w:right w:val="single" w:sz="4" w:space="0" w:color="auto"/>
            </w:tcBorders>
            <w:shd w:val="clear" w:color="auto" w:fill="auto"/>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0.40</w:t>
            </w:r>
          </w:p>
        </w:tc>
        <w:tc>
          <w:tcPr>
            <w:tcW w:w="1260" w:type="dxa"/>
            <w:tcBorders>
              <w:top w:val="nil"/>
              <w:left w:val="nil"/>
              <w:bottom w:val="single" w:sz="8" w:space="0" w:color="auto"/>
              <w:right w:val="single" w:sz="4" w:space="0" w:color="auto"/>
            </w:tcBorders>
            <w:shd w:val="clear" w:color="auto" w:fill="auto"/>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0.40</w:t>
            </w:r>
          </w:p>
        </w:tc>
        <w:tc>
          <w:tcPr>
            <w:tcW w:w="1260" w:type="dxa"/>
            <w:tcBorders>
              <w:top w:val="nil"/>
              <w:left w:val="nil"/>
              <w:bottom w:val="single" w:sz="8" w:space="0" w:color="auto"/>
              <w:right w:val="single" w:sz="4" w:space="0" w:color="auto"/>
            </w:tcBorders>
            <w:shd w:val="clear" w:color="auto" w:fill="auto"/>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0.41</w:t>
            </w:r>
          </w:p>
        </w:tc>
        <w:tc>
          <w:tcPr>
            <w:tcW w:w="1260" w:type="dxa"/>
            <w:tcBorders>
              <w:top w:val="nil"/>
              <w:left w:val="nil"/>
              <w:bottom w:val="single" w:sz="8" w:space="0" w:color="auto"/>
              <w:right w:val="single" w:sz="4" w:space="0" w:color="auto"/>
            </w:tcBorders>
            <w:shd w:val="clear" w:color="auto" w:fill="auto"/>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0.48</w:t>
            </w:r>
          </w:p>
        </w:tc>
        <w:tc>
          <w:tcPr>
            <w:tcW w:w="1240" w:type="dxa"/>
            <w:tcBorders>
              <w:top w:val="nil"/>
              <w:left w:val="nil"/>
              <w:bottom w:val="single" w:sz="8" w:space="0" w:color="auto"/>
              <w:right w:val="single" w:sz="8" w:space="0" w:color="auto"/>
            </w:tcBorders>
            <w:shd w:val="clear" w:color="auto" w:fill="auto"/>
            <w:noWrap/>
            <w:vAlign w:val="center"/>
            <w:hideMark/>
          </w:tcPr>
          <w:p w:rsidR="008C023C" w:rsidRPr="00B97E75" w:rsidRDefault="008C023C"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0.25</w:t>
            </w:r>
          </w:p>
        </w:tc>
      </w:tr>
    </w:tbl>
    <w:p w:rsidR="00C85E74" w:rsidRPr="00B97E75" w:rsidRDefault="00C85E74" w:rsidP="00201EC9">
      <w:pPr>
        <w:rPr>
          <w:rFonts w:eastAsia="Times New Roman" w:cstheme="minorHAnsi"/>
          <w:b/>
          <w:bCs/>
          <w:color w:val="000000"/>
          <w:lang w:eastAsia="en-IE"/>
        </w:rPr>
      </w:pPr>
    </w:p>
    <w:p w:rsidR="00C85E74" w:rsidRPr="00B97E75" w:rsidRDefault="00C85E74" w:rsidP="00201EC9">
      <w:pPr>
        <w:rPr>
          <w:rFonts w:eastAsia="Times New Roman" w:cstheme="minorHAnsi"/>
          <w:b/>
          <w:bCs/>
          <w:color w:val="000000"/>
          <w:lang w:eastAsia="en-IE"/>
        </w:rPr>
      </w:pPr>
    </w:p>
    <w:p w:rsidR="007B6923" w:rsidRDefault="007B6923" w:rsidP="0076731A">
      <w:pPr>
        <w:pStyle w:val="PISectionHeading"/>
        <w:rPr>
          <w:rFonts w:asciiTheme="minorHAnsi" w:hAnsiTheme="minorHAnsi" w:cstheme="minorHAnsi"/>
          <w:sz w:val="22"/>
          <w:szCs w:val="22"/>
        </w:rPr>
      </w:pPr>
    </w:p>
    <w:p w:rsidR="007B6923" w:rsidRDefault="007B6923" w:rsidP="0076731A">
      <w:pPr>
        <w:pStyle w:val="PISectionHeading"/>
        <w:rPr>
          <w:rFonts w:asciiTheme="minorHAnsi" w:hAnsiTheme="minorHAnsi" w:cstheme="minorHAnsi"/>
          <w:sz w:val="22"/>
          <w:szCs w:val="22"/>
        </w:rPr>
      </w:pPr>
    </w:p>
    <w:p w:rsidR="00201EC9" w:rsidRPr="009C70A3" w:rsidRDefault="00B70292" w:rsidP="009C70A3">
      <w:pPr>
        <w:pStyle w:val="PISectionHeading"/>
      </w:pPr>
      <w:bookmarkStart w:id="5" w:name="_Toc436926481"/>
      <w:r w:rsidRPr="009C70A3">
        <w:lastRenderedPageBreak/>
        <w:t xml:space="preserve">Section </w:t>
      </w:r>
      <w:r w:rsidR="007C12D5">
        <w:t>5</w:t>
      </w:r>
      <w:r w:rsidR="00201EC9" w:rsidRPr="009C70A3">
        <w:t>: Planning</w:t>
      </w:r>
      <w:bookmarkEnd w:id="5"/>
    </w:p>
    <w:p w:rsidR="00201EC9" w:rsidRPr="003E001D" w:rsidRDefault="00B51FD6" w:rsidP="00201EC9">
      <w:pPr>
        <w:rPr>
          <w:rFonts w:eastAsia="Times New Roman" w:cstheme="minorHAnsi"/>
          <w:bCs/>
          <w:color w:val="000000"/>
          <w:lang w:eastAsia="en-IE"/>
        </w:rPr>
      </w:pPr>
      <w:r>
        <w:rPr>
          <w:rFonts w:eastAsia="Times New Roman" w:cstheme="minorHAnsi"/>
          <w:b/>
          <w:bCs/>
          <w:color w:val="000000"/>
          <w:lang w:eastAsia="en-IE"/>
        </w:rPr>
        <w:t>Table 1</w:t>
      </w:r>
      <w:r w:rsidR="00B70292">
        <w:rPr>
          <w:rFonts w:eastAsia="Times New Roman" w:cstheme="minorHAnsi"/>
          <w:b/>
          <w:bCs/>
          <w:color w:val="000000"/>
          <w:lang w:eastAsia="en-IE"/>
        </w:rPr>
        <w:t>5</w:t>
      </w:r>
      <w:r w:rsidR="00201EC9" w:rsidRPr="00B97E75">
        <w:rPr>
          <w:rFonts w:eastAsia="Times New Roman" w:cstheme="minorHAnsi"/>
          <w:b/>
          <w:bCs/>
          <w:color w:val="000000"/>
          <w:lang w:eastAsia="en-IE"/>
        </w:rPr>
        <w:t xml:space="preserve">: </w:t>
      </w:r>
      <w:r w:rsidR="00531738" w:rsidRPr="00531738">
        <w:rPr>
          <w:rFonts w:eastAsia="Times New Roman" w:cstheme="minorHAnsi"/>
          <w:bCs/>
          <w:color w:val="000000"/>
          <w:lang w:eastAsia="en-IE"/>
        </w:rPr>
        <w:t>New Building Inspections</w:t>
      </w:r>
      <w:r w:rsidR="00531738">
        <w:rPr>
          <w:rFonts w:eastAsia="Times New Roman" w:cstheme="minorHAnsi"/>
          <w:bCs/>
          <w:color w:val="000000"/>
          <w:lang w:eastAsia="en-IE"/>
        </w:rPr>
        <w:t xml:space="preserve">; </w:t>
      </w:r>
      <w:r w:rsidR="00052258" w:rsidRPr="00531738">
        <w:rPr>
          <w:rFonts w:eastAsia="Times New Roman" w:cstheme="minorHAnsi"/>
          <w:bCs/>
          <w:color w:val="000000"/>
          <w:lang w:eastAsia="en-IE"/>
        </w:rPr>
        <w:t>R</w:t>
      </w:r>
      <w:r w:rsidR="00041706" w:rsidRPr="00531738">
        <w:rPr>
          <w:rFonts w:eastAsia="Times New Roman" w:cstheme="minorHAnsi"/>
          <w:bCs/>
          <w:color w:val="000000"/>
          <w:lang w:eastAsia="en-IE"/>
        </w:rPr>
        <w:t>e</w:t>
      </w:r>
      <w:r w:rsidR="00052258" w:rsidRPr="00531738">
        <w:rPr>
          <w:rFonts w:eastAsia="Times New Roman" w:cstheme="minorHAnsi"/>
          <w:bCs/>
          <w:color w:val="000000"/>
          <w:lang w:eastAsia="en-IE"/>
        </w:rPr>
        <w:t>ferrals</w:t>
      </w:r>
      <w:r w:rsidR="00052258" w:rsidRPr="003E001D">
        <w:rPr>
          <w:rFonts w:eastAsia="Times New Roman" w:cstheme="minorHAnsi"/>
          <w:bCs/>
          <w:color w:val="000000"/>
          <w:lang w:eastAsia="en-IE"/>
        </w:rPr>
        <w:t xml:space="preserve"> to </w:t>
      </w:r>
      <w:proofErr w:type="gramStart"/>
      <w:r w:rsidR="00052258" w:rsidRPr="003E001D">
        <w:rPr>
          <w:rFonts w:eastAsia="Times New Roman" w:cstheme="minorHAnsi"/>
          <w:bCs/>
          <w:color w:val="000000"/>
          <w:lang w:eastAsia="en-IE"/>
        </w:rPr>
        <w:t>An</w:t>
      </w:r>
      <w:proofErr w:type="gramEnd"/>
      <w:r w:rsidR="00052258" w:rsidRPr="003E001D">
        <w:rPr>
          <w:rFonts w:eastAsia="Times New Roman" w:cstheme="minorHAnsi"/>
          <w:bCs/>
          <w:color w:val="000000"/>
          <w:lang w:eastAsia="en-IE"/>
        </w:rPr>
        <w:t xml:space="preserve"> </w:t>
      </w:r>
      <w:proofErr w:type="spellStart"/>
      <w:r w:rsidR="00052258" w:rsidRPr="003E001D">
        <w:rPr>
          <w:rFonts w:eastAsia="Times New Roman" w:cstheme="minorHAnsi"/>
          <w:bCs/>
          <w:color w:val="000000"/>
          <w:lang w:eastAsia="en-IE"/>
        </w:rPr>
        <w:t>Bord</w:t>
      </w:r>
      <w:proofErr w:type="spellEnd"/>
      <w:r w:rsidR="00052258" w:rsidRPr="003E001D">
        <w:rPr>
          <w:rFonts w:eastAsia="Times New Roman" w:cstheme="minorHAnsi"/>
          <w:bCs/>
          <w:color w:val="000000"/>
          <w:lang w:eastAsia="en-IE"/>
        </w:rPr>
        <w:t xml:space="preserve"> </w:t>
      </w:r>
      <w:proofErr w:type="spellStart"/>
      <w:r w:rsidR="00345D1D" w:rsidRPr="003E001D">
        <w:rPr>
          <w:rFonts w:eastAsia="Times New Roman" w:cstheme="minorHAnsi"/>
          <w:bCs/>
          <w:color w:val="000000"/>
          <w:lang w:eastAsia="en-IE"/>
        </w:rPr>
        <w:t>Pleanála</w:t>
      </w:r>
      <w:proofErr w:type="spellEnd"/>
      <w:r w:rsidR="00052258" w:rsidRPr="003E001D">
        <w:rPr>
          <w:rFonts w:eastAsia="Times New Roman" w:cstheme="minorHAnsi"/>
          <w:bCs/>
          <w:color w:val="000000"/>
          <w:lang w:eastAsia="en-IE"/>
        </w:rPr>
        <w:t>;</w:t>
      </w:r>
      <w:r w:rsidR="00041706" w:rsidRPr="003E001D">
        <w:rPr>
          <w:rFonts w:eastAsia="Times New Roman" w:cstheme="minorHAnsi"/>
          <w:bCs/>
          <w:color w:val="000000"/>
          <w:lang w:eastAsia="en-IE"/>
        </w:rPr>
        <w:t xml:space="preserve"> Cost per Capita of the Planning Service</w:t>
      </w:r>
    </w:p>
    <w:tbl>
      <w:tblPr>
        <w:tblStyle w:val="LightGrid-Accent5"/>
        <w:tblW w:w="5000" w:type="pct"/>
        <w:tblLook w:val="04A0" w:firstRow="1" w:lastRow="0" w:firstColumn="1" w:lastColumn="0" w:noHBand="0" w:noVBand="1"/>
      </w:tblPr>
      <w:tblGrid>
        <w:gridCol w:w="2420"/>
        <w:gridCol w:w="1153"/>
        <w:gridCol w:w="1737"/>
        <w:gridCol w:w="1987"/>
        <w:gridCol w:w="1945"/>
      </w:tblGrid>
      <w:tr w:rsidR="00902DDE" w:rsidRPr="00531738" w:rsidTr="00771880">
        <w:trPr>
          <w:cnfStyle w:val="100000000000" w:firstRow="1" w:lastRow="0" w:firstColumn="0" w:lastColumn="0" w:oddVBand="0" w:evenVBand="0" w:oddHBand="0" w:evenHBand="0" w:firstRowFirstColumn="0" w:firstRowLastColumn="0" w:lastRowFirstColumn="0" w:lastRowLastColumn="0"/>
          <w:trHeight w:val="1827"/>
        </w:trPr>
        <w:tc>
          <w:tcPr>
            <w:cnfStyle w:val="001000000000" w:firstRow="0" w:lastRow="0" w:firstColumn="1" w:lastColumn="0" w:oddVBand="0" w:evenVBand="0" w:oddHBand="0" w:evenHBand="0" w:firstRowFirstColumn="0" w:firstRowLastColumn="0" w:lastRowFirstColumn="0" w:lastRowLastColumn="0"/>
            <w:tcW w:w="1309" w:type="pct"/>
            <w:noWrap/>
            <w:vAlign w:val="center"/>
            <w:hideMark/>
          </w:tcPr>
          <w:p w:rsidR="00902DDE" w:rsidRPr="00531738" w:rsidRDefault="00902DDE" w:rsidP="00771880">
            <w:pPr>
              <w:rPr>
                <w:rFonts w:asciiTheme="minorHAnsi" w:eastAsia="Times New Roman" w:hAnsiTheme="minorHAnsi" w:cstheme="minorHAnsi"/>
                <w:color w:val="000000"/>
                <w:sz w:val="18"/>
                <w:szCs w:val="18"/>
                <w:lang w:eastAsia="en-IE"/>
              </w:rPr>
            </w:pPr>
          </w:p>
          <w:p w:rsidR="00902DDE" w:rsidRPr="00531738" w:rsidRDefault="00902DDE" w:rsidP="00771880">
            <w:pPr>
              <w:rPr>
                <w:rFonts w:asciiTheme="minorHAnsi" w:eastAsia="Times New Roman" w:hAnsiTheme="minorHAnsi" w:cstheme="minorHAnsi"/>
                <w:color w:val="000000"/>
                <w:sz w:val="18"/>
                <w:szCs w:val="18"/>
                <w:lang w:eastAsia="en-IE"/>
              </w:rPr>
            </w:pPr>
          </w:p>
          <w:p w:rsidR="00902DDE" w:rsidRPr="00531738" w:rsidRDefault="00D36D20" w:rsidP="00771880">
            <w:pPr>
              <w:rPr>
                <w:rFonts w:asciiTheme="minorHAnsi" w:eastAsia="Times New Roman" w:hAnsiTheme="minorHAnsi" w:cstheme="minorHAnsi"/>
                <w:color w:val="000000"/>
                <w:sz w:val="18"/>
                <w:szCs w:val="18"/>
                <w:lang w:eastAsia="en-IE"/>
              </w:rPr>
            </w:pPr>
            <w:r w:rsidRPr="00531738">
              <w:rPr>
                <w:rFonts w:asciiTheme="minorHAnsi" w:eastAsia="Times New Roman" w:hAnsiTheme="minorHAnsi" w:cstheme="minorHAnsi"/>
                <w:color w:val="000000"/>
                <w:sz w:val="18"/>
                <w:szCs w:val="18"/>
                <w:lang w:eastAsia="en-IE"/>
              </w:rPr>
              <w:t>Authority</w:t>
            </w:r>
          </w:p>
          <w:p w:rsidR="00902DDE" w:rsidRPr="00531738" w:rsidRDefault="00902DDE" w:rsidP="00771880">
            <w:pPr>
              <w:rPr>
                <w:rFonts w:asciiTheme="minorHAnsi" w:eastAsia="Times New Roman" w:hAnsiTheme="minorHAnsi" w:cstheme="minorHAnsi"/>
                <w:color w:val="000000"/>
                <w:sz w:val="18"/>
                <w:szCs w:val="18"/>
                <w:lang w:eastAsia="en-IE"/>
              </w:rPr>
            </w:pPr>
          </w:p>
          <w:p w:rsidR="00902DDE" w:rsidRPr="00531738" w:rsidRDefault="00902DDE" w:rsidP="00771880">
            <w:pPr>
              <w:rPr>
                <w:rFonts w:asciiTheme="minorHAnsi" w:eastAsia="Times New Roman" w:hAnsiTheme="minorHAnsi" w:cstheme="minorHAnsi"/>
                <w:color w:val="000000"/>
                <w:sz w:val="18"/>
                <w:szCs w:val="18"/>
                <w:lang w:eastAsia="en-IE"/>
              </w:rPr>
            </w:pPr>
          </w:p>
          <w:p w:rsidR="00902DDE" w:rsidRPr="00531738" w:rsidRDefault="00902DDE" w:rsidP="00771880">
            <w:pPr>
              <w:rPr>
                <w:rFonts w:asciiTheme="minorHAnsi" w:eastAsia="Times New Roman" w:hAnsiTheme="minorHAnsi" w:cstheme="minorHAnsi"/>
                <w:color w:val="000000"/>
                <w:sz w:val="18"/>
                <w:szCs w:val="18"/>
                <w:lang w:eastAsia="en-IE"/>
              </w:rPr>
            </w:pPr>
          </w:p>
        </w:tc>
        <w:tc>
          <w:tcPr>
            <w:tcW w:w="624" w:type="pct"/>
            <w:vAlign w:val="center"/>
            <w:hideMark/>
          </w:tcPr>
          <w:p w:rsidR="00902DDE" w:rsidRPr="00531738" w:rsidRDefault="00052258"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IE"/>
              </w:rPr>
            </w:pPr>
            <w:r w:rsidRPr="00531738">
              <w:rPr>
                <w:rFonts w:asciiTheme="minorHAnsi" w:eastAsia="Times New Roman" w:hAnsiTheme="minorHAnsi" w:cstheme="minorHAnsi"/>
                <w:color w:val="000000"/>
                <w:sz w:val="18"/>
                <w:szCs w:val="18"/>
                <w:lang w:eastAsia="en-IE"/>
              </w:rPr>
              <w:t>New Buildings Inspected as percentage</w:t>
            </w:r>
            <w:r w:rsidR="00902DDE" w:rsidRPr="00531738">
              <w:rPr>
                <w:rFonts w:asciiTheme="minorHAnsi" w:eastAsia="Times New Roman" w:hAnsiTheme="minorHAnsi" w:cstheme="minorHAnsi"/>
                <w:color w:val="000000"/>
                <w:sz w:val="18"/>
                <w:szCs w:val="18"/>
                <w:lang w:eastAsia="en-IE"/>
              </w:rPr>
              <w:t xml:space="preserve"> of new buildings notified</w:t>
            </w:r>
          </w:p>
        </w:tc>
        <w:tc>
          <w:tcPr>
            <w:tcW w:w="940" w:type="pct"/>
            <w:vAlign w:val="center"/>
            <w:hideMark/>
          </w:tcPr>
          <w:p w:rsidR="00902DDE" w:rsidRPr="00531738" w:rsidRDefault="00902DDE"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IE"/>
              </w:rPr>
            </w:pPr>
            <w:r w:rsidRPr="00531738">
              <w:rPr>
                <w:rFonts w:asciiTheme="minorHAnsi" w:eastAsia="Times New Roman" w:hAnsiTheme="minorHAnsi" w:cstheme="minorHAnsi"/>
                <w:color w:val="000000"/>
                <w:sz w:val="18"/>
                <w:szCs w:val="18"/>
                <w:lang w:eastAsia="en-IE"/>
              </w:rPr>
              <w:t xml:space="preserve">Number of LA planning decisions  subject of an appeal to </w:t>
            </w:r>
            <w:r w:rsidRPr="00531738">
              <w:rPr>
                <w:rFonts w:asciiTheme="minorHAnsi" w:eastAsia="Times New Roman" w:hAnsiTheme="minorHAnsi" w:cstheme="minorHAnsi"/>
                <w:i/>
                <w:iCs/>
                <w:color w:val="000000"/>
                <w:sz w:val="18"/>
                <w:szCs w:val="18"/>
                <w:lang w:eastAsia="en-IE"/>
              </w:rPr>
              <w:t xml:space="preserve">ABP </w:t>
            </w:r>
            <w:r w:rsidR="00041706" w:rsidRPr="00531738">
              <w:rPr>
                <w:rFonts w:asciiTheme="minorHAnsi" w:eastAsia="Times New Roman" w:hAnsiTheme="minorHAnsi" w:cstheme="minorHAnsi"/>
                <w:color w:val="000000"/>
                <w:sz w:val="18"/>
                <w:szCs w:val="18"/>
                <w:lang w:eastAsia="en-IE"/>
              </w:rPr>
              <w:t xml:space="preserve">and </w:t>
            </w:r>
            <w:r w:rsidRPr="00531738">
              <w:rPr>
                <w:rFonts w:asciiTheme="minorHAnsi" w:eastAsia="Times New Roman" w:hAnsiTheme="minorHAnsi" w:cstheme="minorHAnsi"/>
                <w:color w:val="000000"/>
                <w:sz w:val="18"/>
                <w:szCs w:val="18"/>
                <w:lang w:eastAsia="en-IE"/>
              </w:rPr>
              <w:t xml:space="preserve"> determined by the Board  in 2014</w:t>
            </w:r>
          </w:p>
        </w:tc>
        <w:tc>
          <w:tcPr>
            <w:tcW w:w="1075" w:type="pct"/>
            <w:vAlign w:val="center"/>
            <w:hideMark/>
          </w:tcPr>
          <w:p w:rsidR="00902DDE" w:rsidRPr="00531738" w:rsidRDefault="00521A16"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IE"/>
              </w:rPr>
            </w:pPr>
            <w:r w:rsidRPr="00531738">
              <w:rPr>
                <w:rFonts w:asciiTheme="minorHAnsi" w:eastAsia="Times New Roman" w:hAnsiTheme="minorHAnsi" w:cstheme="minorHAnsi"/>
                <w:color w:val="000000"/>
                <w:sz w:val="18"/>
                <w:szCs w:val="18"/>
                <w:lang w:eastAsia="en-IE"/>
              </w:rPr>
              <w:t xml:space="preserve">% </w:t>
            </w:r>
            <w:r w:rsidR="00E46F1F" w:rsidRPr="00531738">
              <w:rPr>
                <w:rFonts w:asciiTheme="minorHAnsi" w:eastAsia="Times New Roman" w:hAnsiTheme="minorHAnsi" w:cstheme="minorHAnsi"/>
                <w:color w:val="000000"/>
                <w:sz w:val="18"/>
                <w:szCs w:val="18"/>
                <w:lang w:eastAsia="en-IE"/>
              </w:rPr>
              <w:t xml:space="preserve">of the determinations </w:t>
            </w:r>
            <w:r w:rsidR="00A74465">
              <w:rPr>
                <w:rFonts w:asciiTheme="minorHAnsi" w:eastAsia="Times New Roman" w:hAnsiTheme="minorHAnsi" w:cstheme="minorHAnsi"/>
                <w:color w:val="000000"/>
                <w:sz w:val="18"/>
                <w:szCs w:val="18"/>
                <w:lang w:eastAsia="en-IE"/>
              </w:rPr>
              <w:t>that</w:t>
            </w:r>
            <w:r w:rsidR="00902DDE" w:rsidRPr="00531738">
              <w:rPr>
                <w:rFonts w:asciiTheme="minorHAnsi" w:eastAsia="Times New Roman" w:hAnsiTheme="minorHAnsi" w:cstheme="minorHAnsi"/>
                <w:color w:val="000000"/>
                <w:sz w:val="18"/>
                <w:szCs w:val="18"/>
                <w:lang w:eastAsia="en-IE"/>
              </w:rPr>
              <w:t xml:space="preserve"> confirm</w:t>
            </w:r>
            <w:r w:rsidR="00A74465">
              <w:rPr>
                <w:rFonts w:asciiTheme="minorHAnsi" w:eastAsia="Times New Roman" w:hAnsiTheme="minorHAnsi" w:cstheme="minorHAnsi"/>
                <w:color w:val="000000"/>
                <w:sz w:val="18"/>
                <w:szCs w:val="18"/>
                <w:lang w:eastAsia="en-IE"/>
              </w:rPr>
              <w:t>ed</w:t>
            </w:r>
            <w:r w:rsidR="00902DDE" w:rsidRPr="00531738">
              <w:rPr>
                <w:rFonts w:asciiTheme="minorHAnsi" w:eastAsia="Times New Roman" w:hAnsiTheme="minorHAnsi" w:cstheme="minorHAnsi"/>
                <w:color w:val="000000"/>
                <w:sz w:val="18"/>
                <w:szCs w:val="18"/>
                <w:lang w:eastAsia="en-IE"/>
              </w:rPr>
              <w:t xml:space="preserve"> with or without variation the decision made by the LA</w:t>
            </w:r>
          </w:p>
        </w:tc>
        <w:tc>
          <w:tcPr>
            <w:tcW w:w="1053" w:type="pct"/>
            <w:vAlign w:val="center"/>
            <w:hideMark/>
          </w:tcPr>
          <w:p w:rsidR="00052258" w:rsidRPr="00531738" w:rsidRDefault="00052258"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IE"/>
              </w:rPr>
            </w:pPr>
          </w:p>
          <w:p w:rsidR="00902DDE" w:rsidRPr="00531738" w:rsidRDefault="00902DDE"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IE"/>
              </w:rPr>
            </w:pPr>
            <w:r w:rsidRPr="00531738">
              <w:rPr>
                <w:rFonts w:asciiTheme="minorHAnsi" w:eastAsia="Times New Roman" w:hAnsiTheme="minorHAnsi" w:cstheme="minorHAnsi"/>
                <w:color w:val="000000"/>
                <w:sz w:val="18"/>
                <w:szCs w:val="18"/>
                <w:lang w:eastAsia="en-IE"/>
              </w:rPr>
              <w:t>Cost per Capita of the Planning Service</w:t>
            </w:r>
            <w:r w:rsidR="00ED5AEF" w:rsidRPr="00531738">
              <w:rPr>
                <w:rFonts w:asciiTheme="minorHAnsi" w:eastAsia="Times New Roman" w:hAnsiTheme="minorHAnsi" w:cstheme="minorHAnsi"/>
                <w:color w:val="000000"/>
                <w:sz w:val="18"/>
                <w:szCs w:val="18"/>
                <w:lang w:eastAsia="en-IE"/>
              </w:rPr>
              <w:t xml:space="preserve"> </w:t>
            </w:r>
            <w:r w:rsidR="00EB7F97" w:rsidRPr="00531738">
              <w:rPr>
                <w:rFonts w:asciiTheme="minorHAnsi" w:eastAsia="Times New Roman" w:hAnsiTheme="minorHAnsi" w:cstheme="minorHAnsi"/>
                <w:color w:val="000000"/>
                <w:sz w:val="18"/>
                <w:szCs w:val="18"/>
                <w:lang w:eastAsia="en-IE"/>
              </w:rPr>
              <w:t>(</w:t>
            </w:r>
            <w:r w:rsidR="00ED5AEF" w:rsidRPr="00531738">
              <w:rPr>
                <w:rFonts w:asciiTheme="minorHAnsi" w:eastAsia="Times New Roman" w:hAnsiTheme="minorHAnsi" w:cstheme="minorHAnsi"/>
                <w:color w:val="000000"/>
                <w:sz w:val="18"/>
                <w:szCs w:val="18"/>
                <w:lang w:eastAsia="en-IE"/>
              </w:rPr>
              <w:t>€</w:t>
            </w:r>
            <w:r w:rsidR="00EB7F97" w:rsidRPr="00531738">
              <w:rPr>
                <w:rFonts w:asciiTheme="minorHAnsi" w:eastAsia="Times New Roman" w:hAnsiTheme="minorHAnsi" w:cstheme="minorHAnsi"/>
                <w:color w:val="000000"/>
                <w:sz w:val="18"/>
                <w:szCs w:val="18"/>
                <w:lang w:eastAsia="en-IE"/>
              </w:rPr>
              <w:t>)</w:t>
            </w:r>
          </w:p>
        </w:tc>
      </w:tr>
      <w:tr w:rsidR="00902DDE" w:rsidRPr="00EB7F97" w:rsidTr="00EB7F97">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 </w:t>
            </w:r>
          </w:p>
        </w:tc>
        <w:tc>
          <w:tcPr>
            <w:tcW w:w="624" w:type="pct"/>
            <w:hideMark/>
          </w:tcPr>
          <w:p w:rsidR="00902DDE" w:rsidRPr="00EB7F97" w:rsidRDefault="00902DDE" w:rsidP="00902DD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 </w:t>
            </w:r>
          </w:p>
        </w:tc>
        <w:tc>
          <w:tcPr>
            <w:tcW w:w="940" w:type="pct"/>
            <w:hideMark/>
          </w:tcPr>
          <w:p w:rsidR="00902DDE" w:rsidRPr="00EB7F97" w:rsidRDefault="00902DDE" w:rsidP="00902DD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 </w:t>
            </w:r>
          </w:p>
        </w:tc>
        <w:tc>
          <w:tcPr>
            <w:tcW w:w="1075" w:type="pct"/>
            <w:noWrap/>
            <w:hideMark/>
          </w:tcPr>
          <w:p w:rsidR="00902DDE" w:rsidRPr="00EB7F97" w:rsidRDefault="00902DDE" w:rsidP="00902DD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 </w:t>
            </w:r>
          </w:p>
        </w:tc>
        <w:tc>
          <w:tcPr>
            <w:tcW w:w="1053" w:type="pct"/>
            <w:hideMark/>
          </w:tcPr>
          <w:p w:rsidR="00902DDE" w:rsidRPr="00EB7F97" w:rsidRDefault="00902DDE" w:rsidP="00902DD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 </w:t>
            </w:r>
          </w:p>
        </w:tc>
      </w:tr>
      <w:tr w:rsidR="00902DDE" w:rsidRPr="00EB7F97" w:rsidTr="00EB7F97">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Carlow County</w:t>
            </w:r>
          </w:p>
        </w:tc>
        <w:tc>
          <w:tcPr>
            <w:tcW w:w="624"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58.93</w:t>
            </w:r>
          </w:p>
        </w:tc>
        <w:tc>
          <w:tcPr>
            <w:tcW w:w="940" w:type="pct"/>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12</w:t>
            </w:r>
          </w:p>
        </w:tc>
        <w:tc>
          <w:tcPr>
            <w:tcW w:w="1075"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66.67</w:t>
            </w:r>
          </w:p>
        </w:tc>
        <w:tc>
          <w:tcPr>
            <w:tcW w:w="1053" w:type="pct"/>
            <w:hideMark/>
          </w:tcPr>
          <w:p w:rsidR="00902DDE" w:rsidRPr="00EB7F97" w:rsidRDefault="00902DD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21.55</w:t>
            </w:r>
          </w:p>
        </w:tc>
      </w:tr>
      <w:tr w:rsidR="00902DDE" w:rsidRPr="00EB7F97" w:rsidTr="00EB7F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Cavan County</w:t>
            </w:r>
          </w:p>
        </w:tc>
        <w:tc>
          <w:tcPr>
            <w:tcW w:w="624"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16.34</w:t>
            </w:r>
          </w:p>
        </w:tc>
        <w:tc>
          <w:tcPr>
            <w:tcW w:w="940" w:type="pct"/>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4</w:t>
            </w:r>
          </w:p>
        </w:tc>
        <w:tc>
          <w:tcPr>
            <w:tcW w:w="1075"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25</w:t>
            </w:r>
          </w:p>
        </w:tc>
        <w:tc>
          <w:tcPr>
            <w:tcW w:w="1053" w:type="pct"/>
            <w:hideMark/>
          </w:tcPr>
          <w:p w:rsidR="00902DDE" w:rsidRPr="00EB7F97" w:rsidRDefault="00902DD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16.02</w:t>
            </w:r>
          </w:p>
        </w:tc>
      </w:tr>
      <w:tr w:rsidR="00902DDE" w:rsidRPr="00EB7F97" w:rsidTr="00EB7F97">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Clare County</w:t>
            </w:r>
          </w:p>
        </w:tc>
        <w:tc>
          <w:tcPr>
            <w:tcW w:w="624"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12.94</w:t>
            </w:r>
          </w:p>
        </w:tc>
        <w:tc>
          <w:tcPr>
            <w:tcW w:w="940" w:type="pct"/>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25</w:t>
            </w:r>
          </w:p>
        </w:tc>
        <w:tc>
          <w:tcPr>
            <w:tcW w:w="1075"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44</w:t>
            </w:r>
          </w:p>
        </w:tc>
        <w:tc>
          <w:tcPr>
            <w:tcW w:w="1053" w:type="pct"/>
            <w:hideMark/>
          </w:tcPr>
          <w:p w:rsidR="00902DDE" w:rsidRPr="00EB7F97" w:rsidRDefault="00902DD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34.53</w:t>
            </w:r>
          </w:p>
        </w:tc>
      </w:tr>
      <w:tr w:rsidR="00902DDE" w:rsidRPr="00EB7F97" w:rsidTr="00EB7F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Cork City</w:t>
            </w:r>
          </w:p>
        </w:tc>
        <w:tc>
          <w:tcPr>
            <w:tcW w:w="624"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32.62</w:t>
            </w:r>
          </w:p>
        </w:tc>
        <w:tc>
          <w:tcPr>
            <w:tcW w:w="940" w:type="pct"/>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24</w:t>
            </w:r>
          </w:p>
        </w:tc>
        <w:tc>
          <w:tcPr>
            <w:tcW w:w="1075"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70.83</w:t>
            </w:r>
          </w:p>
        </w:tc>
        <w:tc>
          <w:tcPr>
            <w:tcW w:w="1053" w:type="pct"/>
            <w:hideMark/>
          </w:tcPr>
          <w:p w:rsidR="00902DDE" w:rsidRPr="00EB7F97" w:rsidRDefault="00902DD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32.37</w:t>
            </w:r>
          </w:p>
        </w:tc>
      </w:tr>
      <w:tr w:rsidR="00902DDE" w:rsidRPr="00EB7F97" w:rsidTr="00EB7F97">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Cork County</w:t>
            </w:r>
          </w:p>
        </w:tc>
        <w:tc>
          <w:tcPr>
            <w:tcW w:w="624"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13.66</w:t>
            </w:r>
          </w:p>
        </w:tc>
        <w:tc>
          <w:tcPr>
            <w:tcW w:w="940" w:type="pct"/>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92</w:t>
            </w:r>
          </w:p>
        </w:tc>
        <w:tc>
          <w:tcPr>
            <w:tcW w:w="1075"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59.78</w:t>
            </w:r>
          </w:p>
        </w:tc>
        <w:tc>
          <w:tcPr>
            <w:tcW w:w="1053" w:type="pct"/>
            <w:hideMark/>
          </w:tcPr>
          <w:p w:rsidR="00902DDE" w:rsidRPr="00EB7F97" w:rsidRDefault="00902DD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12.66</w:t>
            </w:r>
          </w:p>
        </w:tc>
      </w:tr>
      <w:tr w:rsidR="00902DDE" w:rsidRPr="00EB7F97" w:rsidTr="00EB7F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Donegal County</w:t>
            </w:r>
          </w:p>
        </w:tc>
        <w:tc>
          <w:tcPr>
            <w:tcW w:w="624"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17.71</w:t>
            </w:r>
          </w:p>
        </w:tc>
        <w:tc>
          <w:tcPr>
            <w:tcW w:w="940" w:type="pct"/>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29</w:t>
            </w:r>
          </w:p>
        </w:tc>
        <w:tc>
          <w:tcPr>
            <w:tcW w:w="1075"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65.52</w:t>
            </w:r>
          </w:p>
        </w:tc>
        <w:tc>
          <w:tcPr>
            <w:tcW w:w="1053" w:type="pct"/>
            <w:hideMark/>
          </w:tcPr>
          <w:p w:rsidR="00902DDE" w:rsidRPr="00EB7F97" w:rsidRDefault="00902DD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26.52</w:t>
            </w:r>
          </w:p>
        </w:tc>
      </w:tr>
      <w:tr w:rsidR="00902DDE" w:rsidRPr="00EB7F97" w:rsidTr="00EB7F97">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Dublin City</w:t>
            </w:r>
          </w:p>
        </w:tc>
        <w:tc>
          <w:tcPr>
            <w:tcW w:w="624"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17.86</w:t>
            </w:r>
          </w:p>
        </w:tc>
        <w:tc>
          <w:tcPr>
            <w:tcW w:w="940" w:type="pct"/>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208</w:t>
            </w:r>
          </w:p>
        </w:tc>
        <w:tc>
          <w:tcPr>
            <w:tcW w:w="1075"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76.92</w:t>
            </w:r>
          </w:p>
        </w:tc>
        <w:tc>
          <w:tcPr>
            <w:tcW w:w="1053" w:type="pct"/>
            <w:hideMark/>
          </w:tcPr>
          <w:p w:rsidR="00902DDE" w:rsidRPr="00EB7F97" w:rsidRDefault="00902DD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24.27</w:t>
            </w:r>
          </w:p>
        </w:tc>
      </w:tr>
      <w:tr w:rsidR="00902DDE" w:rsidRPr="00EB7F97" w:rsidTr="00EB7F9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 xml:space="preserve">Dun Laoghaire </w:t>
            </w:r>
            <w:proofErr w:type="spellStart"/>
            <w:r w:rsidRPr="00EB7F97">
              <w:rPr>
                <w:rFonts w:asciiTheme="minorHAnsi" w:eastAsia="Times New Roman" w:hAnsiTheme="minorHAnsi" w:cstheme="minorHAnsi"/>
                <w:color w:val="000000"/>
                <w:sz w:val="20"/>
                <w:szCs w:val="20"/>
                <w:lang w:eastAsia="en-IE"/>
              </w:rPr>
              <w:t>Rathdown</w:t>
            </w:r>
            <w:proofErr w:type="spellEnd"/>
          </w:p>
        </w:tc>
        <w:tc>
          <w:tcPr>
            <w:tcW w:w="624"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23.28</w:t>
            </w:r>
          </w:p>
        </w:tc>
        <w:tc>
          <w:tcPr>
            <w:tcW w:w="940" w:type="pct"/>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40</w:t>
            </w:r>
          </w:p>
        </w:tc>
        <w:tc>
          <w:tcPr>
            <w:tcW w:w="1075"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60</w:t>
            </w:r>
          </w:p>
        </w:tc>
        <w:tc>
          <w:tcPr>
            <w:tcW w:w="1053" w:type="pct"/>
            <w:hideMark/>
          </w:tcPr>
          <w:p w:rsidR="00902DDE" w:rsidRPr="00EB7F97" w:rsidRDefault="00902DD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35.55</w:t>
            </w:r>
          </w:p>
        </w:tc>
      </w:tr>
      <w:tr w:rsidR="00902DDE" w:rsidRPr="00EB7F97" w:rsidTr="00EB7F97">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proofErr w:type="spellStart"/>
            <w:r w:rsidRPr="00EB7F97">
              <w:rPr>
                <w:rFonts w:asciiTheme="minorHAnsi" w:eastAsia="Times New Roman" w:hAnsiTheme="minorHAnsi" w:cstheme="minorHAnsi"/>
                <w:color w:val="000000"/>
                <w:sz w:val="20"/>
                <w:szCs w:val="20"/>
                <w:lang w:eastAsia="en-IE"/>
              </w:rPr>
              <w:t>Fingal</w:t>
            </w:r>
            <w:proofErr w:type="spellEnd"/>
            <w:r w:rsidRPr="00EB7F97">
              <w:rPr>
                <w:rFonts w:asciiTheme="minorHAnsi" w:eastAsia="Times New Roman" w:hAnsiTheme="minorHAnsi" w:cstheme="minorHAnsi"/>
                <w:color w:val="000000"/>
                <w:sz w:val="20"/>
                <w:szCs w:val="20"/>
                <w:lang w:eastAsia="en-IE"/>
              </w:rPr>
              <w:t xml:space="preserve"> County</w:t>
            </w:r>
          </w:p>
        </w:tc>
        <w:tc>
          <w:tcPr>
            <w:tcW w:w="624"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11.02</w:t>
            </w:r>
          </w:p>
        </w:tc>
        <w:tc>
          <w:tcPr>
            <w:tcW w:w="940" w:type="pct"/>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75</w:t>
            </w:r>
          </w:p>
        </w:tc>
        <w:tc>
          <w:tcPr>
            <w:tcW w:w="1075"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74.67</w:t>
            </w:r>
          </w:p>
        </w:tc>
        <w:tc>
          <w:tcPr>
            <w:tcW w:w="1053" w:type="pct"/>
            <w:hideMark/>
          </w:tcPr>
          <w:p w:rsidR="00902DDE" w:rsidRPr="00EB7F97" w:rsidRDefault="00902DD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36.10</w:t>
            </w:r>
          </w:p>
        </w:tc>
      </w:tr>
      <w:tr w:rsidR="00902DDE" w:rsidRPr="00EB7F97" w:rsidTr="00EB7F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Galway City</w:t>
            </w:r>
          </w:p>
        </w:tc>
        <w:tc>
          <w:tcPr>
            <w:tcW w:w="624"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22.22</w:t>
            </w:r>
          </w:p>
        </w:tc>
        <w:tc>
          <w:tcPr>
            <w:tcW w:w="940" w:type="pct"/>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37</w:t>
            </w:r>
          </w:p>
        </w:tc>
        <w:tc>
          <w:tcPr>
            <w:tcW w:w="1075"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72.97</w:t>
            </w:r>
          </w:p>
        </w:tc>
        <w:tc>
          <w:tcPr>
            <w:tcW w:w="1053" w:type="pct"/>
            <w:hideMark/>
          </w:tcPr>
          <w:p w:rsidR="00902DDE" w:rsidRPr="00EB7F97" w:rsidRDefault="00902DD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36.69</w:t>
            </w:r>
          </w:p>
        </w:tc>
      </w:tr>
      <w:tr w:rsidR="00902DDE" w:rsidRPr="00EB7F97" w:rsidTr="00EB7F97">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Galway County</w:t>
            </w:r>
          </w:p>
        </w:tc>
        <w:tc>
          <w:tcPr>
            <w:tcW w:w="624"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27.86</w:t>
            </w:r>
          </w:p>
        </w:tc>
        <w:tc>
          <w:tcPr>
            <w:tcW w:w="940" w:type="pct"/>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38</w:t>
            </w:r>
          </w:p>
        </w:tc>
        <w:tc>
          <w:tcPr>
            <w:tcW w:w="1075"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71.05</w:t>
            </w:r>
          </w:p>
        </w:tc>
        <w:tc>
          <w:tcPr>
            <w:tcW w:w="1053" w:type="pct"/>
            <w:hideMark/>
          </w:tcPr>
          <w:p w:rsidR="00902DDE" w:rsidRPr="00EB7F97" w:rsidRDefault="00902DD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21.22</w:t>
            </w:r>
          </w:p>
        </w:tc>
      </w:tr>
      <w:tr w:rsidR="00902DDE" w:rsidRPr="00EB7F97" w:rsidTr="00EB7F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Kerry County</w:t>
            </w:r>
          </w:p>
        </w:tc>
        <w:tc>
          <w:tcPr>
            <w:tcW w:w="624"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57.88</w:t>
            </w:r>
          </w:p>
        </w:tc>
        <w:tc>
          <w:tcPr>
            <w:tcW w:w="940" w:type="pct"/>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43</w:t>
            </w:r>
          </w:p>
        </w:tc>
        <w:tc>
          <w:tcPr>
            <w:tcW w:w="1075"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46.51</w:t>
            </w:r>
          </w:p>
        </w:tc>
        <w:tc>
          <w:tcPr>
            <w:tcW w:w="1053" w:type="pct"/>
            <w:hideMark/>
          </w:tcPr>
          <w:p w:rsidR="00902DDE" w:rsidRPr="00EB7F97" w:rsidRDefault="00902DD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19.67</w:t>
            </w:r>
          </w:p>
        </w:tc>
      </w:tr>
      <w:tr w:rsidR="00902DDE" w:rsidRPr="00EB7F97" w:rsidTr="00EB7F97">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Kildare County</w:t>
            </w:r>
          </w:p>
        </w:tc>
        <w:tc>
          <w:tcPr>
            <w:tcW w:w="624"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12.02</w:t>
            </w:r>
          </w:p>
        </w:tc>
        <w:tc>
          <w:tcPr>
            <w:tcW w:w="940" w:type="pct"/>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74</w:t>
            </w:r>
          </w:p>
        </w:tc>
        <w:tc>
          <w:tcPr>
            <w:tcW w:w="1075"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78.38</w:t>
            </w:r>
          </w:p>
        </w:tc>
        <w:tc>
          <w:tcPr>
            <w:tcW w:w="1053" w:type="pct"/>
            <w:hideMark/>
          </w:tcPr>
          <w:p w:rsidR="00902DDE" w:rsidRPr="00EB7F97" w:rsidRDefault="00902DD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26.97</w:t>
            </w:r>
          </w:p>
        </w:tc>
      </w:tr>
      <w:tr w:rsidR="00902DDE" w:rsidRPr="00EB7F97" w:rsidTr="00EB7F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Kilkenny County</w:t>
            </w:r>
          </w:p>
        </w:tc>
        <w:tc>
          <w:tcPr>
            <w:tcW w:w="624"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16.36</w:t>
            </w:r>
          </w:p>
        </w:tc>
        <w:tc>
          <w:tcPr>
            <w:tcW w:w="940" w:type="pct"/>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12</w:t>
            </w:r>
          </w:p>
        </w:tc>
        <w:tc>
          <w:tcPr>
            <w:tcW w:w="1075"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75</w:t>
            </w:r>
          </w:p>
        </w:tc>
        <w:tc>
          <w:tcPr>
            <w:tcW w:w="1053" w:type="pct"/>
            <w:hideMark/>
          </w:tcPr>
          <w:p w:rsidR="00902DDE" w:rsidRPr="00EB7F97" w:rsidRDefault="00902DD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24.45</w:t>
            </w:r>
          </w:p>
        </w:tc>
      </w:tr>
      <w:tr w:rsidR="00902DDE" w:rsidRPr="00EB7F97" w:rsidTr="00EB7F97">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Laois County</w:t>
            </w:r>
          </w:p>
        </w:tc>
        <w:tc>
          <w:tcPr>
            <w:tcW w:w="624"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15.79</w:t>
            </w:r>
          </w:p>
        </w:tc>
        <w:tc>
          <w:tcPr>
            <w:tcW w:w="940" w:type="pct"/>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7</w:t>
            </w:r>
          </w:p>
        </w:tc>
        <w:tc>
          <w:tcPr>
            <w:tcW w:w="1075"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85.71</w:t>
            </w:r>
          </w:p>
        </w:tc>
        <w:tc>
          <w:tcPr>
            <w:tcW w:w="1053" w:type="pct"/>
            <w:hideMark/>
          </w:tcPr>
          <w:p w:rsidR="00902DDE" w:rsidRPr="00EB7F97" w:rsidRDefault="00902DD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21.25</w:t>
            </w:r>
          </w:p>
        </w:tc>
      </w:tr>
      <w:tr w:rsidR="00902DDE" w:rsidRPr="00EB7F97" w:rsidTr="00EB7F97">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Leitrim County</w:t>
            </w:r>
          </w:p>
        </w:tc>
        <w:tc>
          <w:tcPr>
            <w:tcW w:w="624"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16.28</w:t>
            </w:r>
          </w:p>
        </w:tc>
        <w:tc>
          <w:tcPr>
            <w:tcW w:w="940" w:type="pct"/>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5</w:t>
            </w:r>
          </w:p>
        </w:tc>
        <w:tc>
          <w:tcPr>
            <w:tcW w:w="1075"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60</w:t>
            </w:r>
          </w:p>
        </w:tc>
        <w:tc>
          <w:tcPr>
            <w:tcW w:w="1053" w:type="pct"/>
            <w:hideMark/>
          </w:tcPr>
          <w:p w:rsidR="00902DDE" w:rsidRPr="00EB7F97" w:rsidRDefault="00902DD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39.44</w:t>
            </w:r>
          </w:p>
        </w:tc>
      </w:tr>
      <w:tr w:rsidR="00902DDE" w:rsidRPr="00EB7F97" w:rsidTr="00EB7F97">
        <w:trPr>
          <w:cnfStyle w:val="000000010000" w:firstRow="0" w:lastRow="0" w:firstColumn="0" w:lastColumn="0" w:oddVBand="0" w:evenVBand="0" w:oddHBand="0" w:evenHBand="1"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Limerick City &amp; County</w:t>
            </w:r>
          </w:p>
        </w:tc>
        <w:tc>
          <w:tcPr>
            <w:tcW w:w="624"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 </w:t>
            </w:r>
            <w:r w:rsidR="00677F10">
              <w:rPr>
                <w:rFonts w:eastAsia="Times New Roman" w:cstheme="minorHAnsi"/>
                <w:color w:val="000000"/>
                <w:sz w:val="20"/>
                <w:szCs w:val="20"/>
                <w:lang w:eastAsia="en-IE"/>
              </w:rPr>
              <w:t>12.89</w:t>
            </w:r>
          </w:p>
        </w:tc>
        <w:tc>
          <w:tcPr>
            <w:tcW w:w="940" w:type="pct"/>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53</w:t>
            </w:r>
          </w:p>
        </w:tc>
        <w:tc>
          <w:tcPr>
            <w:tcW w:w="1075"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71.7</w:t>
            </w:r>
          </w:p>
        </w:tc>
        <w:tc>
          <w:tcPr>
            <w:tcW w:w="1053" w:type="pct"/>
            <w:hideMark/>
          </w:tcPr>
          <w:p w:rsidR="00902DDE" w:rsidRPr="00EB7F97" w:rsidRDefault="00902DD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28.94</w:t>
            </w:r>
          </w:p>
        </w:tc>
      </w:tr>
      <w:tr w:rsidR="00902DDE" w:rsidRPr="00EB7F97" w:rsidTr="00EB7F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Longford County</w:t>
            </w:r>
          </w:p>
        </w:tc>
        <w:tc>
          <w:tcPr>
            <w:tcW w:w="624"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28.33</w:t>
            </w:r>
          </w:p>
        </w:tc>
        <w:tc>
          <w:tcPr>
            <w:tcW w:w="940" w:type="pct"/>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7</w:t>
            </w:r>
          </w:p>
        </w:tc>
        <w:tc>
          <w:tcPr>
            <w:tcW w:w="1075"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42.86</w:t>
            </w:r>
          </w:p>
        </w:tc>
        <w:tc>
          <w:tcPr>
            <w:tcW w:w="1053" w:type="pct"/>
            <w:hideMark/>
          </w:tcPr>
          <w:p w:rsidR="00902DDE" w:rsidRPr="00EB7F97" w:rsidRDefault="00902DD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37.83</w:t>
            </w:r>
          </w:p>
        </w:tc>
      </w:tr>
      <w:tr w:rsidR="00902DDE" w:rsidRPr="00EB7F97" w:rsidTr="00EB7F97">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Louth County</w:t>
            </w:r>
          </w:p>
        </w:tc>
        <w:tc>
          <w:tcPr>
            <w:tcW w:w="624"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18.8</w:t>
            </w:r>
          </w:p>
        </w:tc>
        <w:tc>
          <w:tcPr>
            <w:tcW w:w="940" w:type="pct"/>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30</w:t>
            </w:r>
          </w:p>
        </w:tc>
        <w:tc>
          <w:tcPr>
            <w:tcW w:w="1075"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86.67</w:t>
            </w:r>
          </w:p>
        </w:tc>
        <w:tc>
          <w:tcPr>
            <w:tcW w:w="1053" w:type="pct"/>
            <w:hideMark/>
          </w:tcPr>
          <w:p w:rsidR="00902DDE" w:rsidRPr="00EB7F97" w:rsidRDefault="00902DD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25.86</w:t>
            </w:r>
          </w:p>
        </w:tc>
      </w:tr>
      <w:tr w:rsidR="00902DDE" w:rsidRPr="00EB7F97" w:rsidTr="00EB7F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Mayo County</w:t>
            </w:r>
          </w:p>
        </w:tc>
        <w:tc>
          <w:tcPr>
            <w:tcW w:w="624"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13.89</w:t>
            </w:r>
          </w:p>
        </w:tc>
        <w:tc>
          <w:tcPr>
            <w:tcW w:w="940" w:type="pct"/>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18</w:t>
            </w:r>
          </w:p>
        </w:tc>
        <w:tc>
          <w:tcPr>
            <w:tcW w:w="1075"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83.33</w:t>
            </w:r>
          </w:p>
        </w:tc>
        <w:tc>
          <w:tcPr>
            <w:tcW w:w="1053" w:type="pct"/>
            <w:hideMark/>
          </w:tcPr>
          <w:p w:rsidR="00902DDE" w:rsidRPr="00EB7F97" w:rsidRDefault="00902DD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22.88</w:t>
            </w:r>
          </w:p>
        </w:tc>
      </w:tr>
      <w:tr w:rsidR="00902DDE" w:rsidRPr="00EB7F97" w:rsidTr="00EB7F97">
        <w:trPr>
          <w:cnfStyle w:val="000000010000" w:firstRow="0" w:lastRow="0" w:firstColumn="0" w:lastColumn="0" w:oddVBand="0" w:evenVBand="0" w:oddHBand="0" w:evenHBand="1"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Meath County</w:t>
            </w:r>
          </w:p>
        </w:tc>
        <w:tc>
          <w:tcPr>
            <w:tcW w:w="624"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39.56</w:t>
            </w:r>
          </w:p>
        </w:tc>
        <w:tc>
          <w:tcPr>
            <w:tcW w:w="940" w:type="pct"/>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31</w:t>
            </w:r>
          </w:p>
        </w:tc>
        <w:tc>
          <w:tcPr>
            <w:tcW w:w="1075"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61.29</w:t>
            </w:r>
          </w:p>
        </w:tc>
        <w:tc>
          <w:tcPr>
            <w:tcW w:w="1053" w:type="pct"/>
            <w:hideMark/>
          </w:tcPr>
          <w:p w:rsidR="00902DDE" w:rsidRPr="00EB7F97" w:rsidRDefault="00902DD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22.09</w:t>
            </w:r>
          </w:p>
        </w:tc>
      </w:tr>
      <w:tr w:rsidR="00902DDE" w:rsidRPr="00EB7F97" w:rsidTr="00EB7F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Monaghan County</w:t>
            </w:r>
          </w:p>
        </w:tc>
        <w:tc>
          <w:tcPr>
            <w:tcW w:w="624"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19.28</w:t>
            </w:r>
          </w:p>
        </w:tc>
        <w:tc>
          <w:tcPr>
            <w:tcW w:w="940" w:type="pct"/>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8</w:t>
            </w:r>
          </w:p>
        </w:tc>
        <w:tc>
          <w:tcPr>
            <w:tcW w:w="1075"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75</w:t>
            </w:r>
          </w:p>
        </w:tc>
        <w:tc>
          <w:tcPr>
            <w:tcW w:w="1053" w:type="pct"/>
            <w:hideMark/>
          </w:tcPr>
          <w:p w:rsidR="00902DDE" w:rsidRPr="00EB7F97" w:rsidRDefault="00902DD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26.17</w:t>
            </w:r>
          </w:p>
        </w:tc>
      </w:tr>
      <w:tr w:rsidR="00902DDE" w:rsidRPr="00EB7F97" w:rsidTr="00EB7F97">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Offaly County</w:t>
            </w:r>
          </w:p>
        </w:tc>
        <w:tc>
          <w:tcPr>
            <w:tcW w:w="624"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36.89</w:t>
            </w:r>
          </w:p>
        </w:tc>
        <w:tc>
          <w:tcPr>
            <w:tcW w:w="940" w:type="pct"/>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12</w:t>
            </w:r>
          </w:p>
        </w:tc>
        <w:tc>
          <w:tcPr>
            <w:tcW w:w="1075"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33.33</w:t>
            </w:r>
          </w:p>
        </w:tc>
        <w:tc>
          <w:tcPr>
            <w:tcW w:w="1053" w:type="pct"/>
            <w:hideMark/>
          </w:tcPr>
          <w:p w:rsidR="00902DDE" w:rsidRPr="00EB7F97" w:rsidRDefault="00902DD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29.55</w:t>
            </w:r>
          </w:p>
        </w:tc>
      </w:tr>
      <w:tr w:rsidR="00902DDE" w:rsidRPr="00EB7F97" w:rsidTr="00EB7F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Roscommon County</w:t>
            </w:r>
          </w:p>
        </w:tc>
        <w:tc>
          <w:tcPr>
            <w:tcW w:w="624"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22.95</w:t>
            </w:r>
          </w:p>
        </w:tc>
        <w:tc>
          <w:tcPr>
            <w:tcW w:w="940" w:type="pct"/>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8</w:t>
            </w:r>
          </w:p>
        </w:tc>
        <w:tc>
          <w:tcPr>
            <w:tcW w:w="1075"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75</w:t>
            </w:r>
          </w:p>
        </w:tc>
        <w:tc>
          <w:tcPr>
            <w:tcW w:w="1053" w:type="pct"/>
            <w:hideMark/>
          </w:tcPr>
          <w:p w:rsidR="00902DDE" w:rsidRPr="00EB7F97" w:rsidRDefault="00902DD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53.19</w:t>
            </w:r>
          </w:p>
        </w:tc>
      </w:tr>
      <w:tr w:rsidR="00902DDE" w:rsidRPr="00EB7F97" w:rsidTr="00EB7F97">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Sligo County</w:t>
            </w:r>
          </w:p>
        </w:tc>
        <w:tc>
          <w:tcPr>
            <w:tcW w:w="624"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18.54</w:t>
            </w:r>
          </w:p>
        </w:tc>
        <w:tc>
          <w:tcPr>
            <w:tcW w:w="940" w:type="pct"/>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9</w:t>
            </w:r>
          </w:p>
        </w:tc>
        <w:tc>
          <w:tcPr>
            <w:tcW w:w="1075"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66.67</w:t>
            </w:r>
          </w:p>
        </w:tc>
        <w:tc>
          <w:tcPr>
            <w:tcW w:w="1053" w:type="pct"/>
            <w:hideMark/>
          </w:tcPr>
          <w:p w:rsidR="00902DDE" w:rsidRPr="00EB7F97" w:rsidRDefault="00902DD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34.85</w:t>
            </w:r>
          </w:p>
        </w:tc>
      </w:tr>
      <w:tr w:rsidR="00902DDE" w:rsidRPr="00EB7F97" w:rsidTr="00EB7F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South Dublin County</w:t>
            </w:r>
          </w:p>
        </w:tc>
        <w:tc>
          <w:tcPr>
            <w:tcW w:w="624"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11.52</w:t>
            </w:r>
          </w:p>
        </w:tc>
        <w:tc>
          <w:tcPr>
            <w:tcW w:w="940" w:type="pct"/>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47</w:t>
            </w:r>
          </w:p>
        </w:tc>
        <w:tc>
          <w:tcPr>
            <w:tcW w:w="1075"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74.47</w:t>
            </w:r>
          </w:p>
        </w:tc>
        <w:tc>
          <w:tcPr>
            <w:tcW w:w="1053" w:type="pct"/>
            <w:hideMark/>
          </w:tcPr>
          <w:p w:rsidR="00902DDE" w:rsidRPr="00EB7F97" w:rsidRDefault="00902DD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23.83</w:t>
            </w:r>
          </w:p>
        </w:tc>
      </w:tr>
      <w:tr w:rsidR="00902DDE" w:rsidRPr="00EB7F97" w:rsidTr="00EB7F97">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Tipperary County</w:t>
            </w:r>
          </w:p>
        </w:tc>
        <w:tc>
          <w:tcPr>
            <w:tcW w:w="624"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11.69</w:t>
            </w:r>
          </w:p>
        </w:tc>
        <w:tc>
          <w:tcPr>
            <w:tcW w:w="940" w:type="pct"/>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35</w:t>
            </w:r>
          </w:p>
        </w:tc>
        <w:tc>
          <w:tcPr>
            <w:tcW w:w="1075"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74.29</w:t>
            </w:r>
          </w:p>
        </w:tc>
        <w:tc>
          <w:tcPr>
            <w:tcW w:w="1053" w:type="pct"/>
            <w:hideMark/>
          </w:tcPr>
          <w:p w:rsidR="00902DDE" w:rsidRPr="00EB7F97" w:rsidRDefault="00902DD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29.43</w:t>
            </w:r>
          </w:p>
        </w:tc>
      </w:tr>
      <w:tr w:rsidR="00902DDE" w:rsidRPr="00EB7F97" w:rsidTr="00EB7F97">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Waterford City &amp; County</w:t>
            </w:r>
          </w:p>
        </w:tc>
        <w:tc>
          <w:tcPr>
            <w:tcW w:w="624"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27.19</w:t>
            </w:r>
          </w:p>
        </w:tc>
        <w:tc>
          <w:tcPr>
            <w:tcW w:w="940" w:type="pct"/>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24</w:t>
            </w:r>
          </w:p>
        </w:tc>
        <w:tc>
          <w:tcPr>
            <w:tcW w:w="1075"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79.17</w:t>
            </w:r>
          </w:p>
        </w:tc>
        <w:tc>
          <w:tcPr>
            <w:tcW w:w="1053" w:type="pct"/>
            <w:hideMark/>
          </w:tcPr>
          <w:p w:rsidR="00902DDE" w:rsidRPr="00EB7F97" w:rsidRDefault="00902DD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16.81</w:t>
            </w:r>
          </w:p>
        </w:tc>
      </w:tr>
      <w:tr w:rsidR="00902DDE" w:rsidRPr="00EB7F97" w:rsidTr="00EB7F97">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Westmeath County</w:t>
            </w:r>
          </w:p>
        </w:tc>
        <w:tc>
          <w:tcPr>
            <w:tcW w:w="624"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12.02</w:t>
            </w:r>
          </w:p>
        </w:tc>
        <w:tc>
          <w:tcPr>
            <w:tcW w:w="940" w:type="pct"/>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11</w:t>
            </w:r>
          </w:p>
        </w:tc>
        <w:tc>
          <w:tcPr>
            <w:tcW w:w="1075"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72.73</w:t>
            </w:r>
          </w:p>
        </w:tc>
        <w:tc>
          <w:tcPr>
            <w:tcW w:w="1053" w:type="pct"/>
            <w:hideMark/>
          </w:tcPr>
          <w:p w:rsidR="00902DDE" w:rsidRPr="00EB7F97" w:rsidRDefault="00902DD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32.46</w:t>
            </w:r>
          </w:p>
        </w:tc>
      </w:tr>
      <w:tr w:rsidR="00902DDE" w:rsidRPr="00EB7F97" w:rsidTr="00EB7F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Wexford County</w:t>
            </w:r>
          </w:p>
        </w:tc>
        <w:tc>
          <w:tcPr>
            <w:tcW w:w="624"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16.92</w:t>
            </w:r>
          </w:p>
        </w:tc>
        <w:tc>
          <w:tcPr>
            <w:tcW w:w="940" w:type="pct"/>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24</w:t>
            </w:r>
          </w:p>
        </w:tc>
        <w:tc>
          <w:tcPr>
            <w:tcW w:w="1075" w:type="pct"/>
            <w:noWrap/>
            <w:hideMark/>
          </w:tcPr>
          <w:p w:rsidR="00902DDE" w:rsidRPr="00EB7F97" w:rsidRDefault="00902DDE" w:rsidP="00902DD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62.5</w:t>
            </w:r>
          </w:p>
        </w:tc>
        <w:tc>
          <w:tcPr>
            <w:tcW w:w="1053" w:type="pct"/>
            <w:hideMark/>
          </w:tcPr>
          <w:p w:rsidR="00902DDE" w:rsidRPr="00EB7F97" w:rsidRDefault="00902DD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26.97</w:t>
            </w:r>
          </w:p>
        </w:tc>
      </w:tr>
      <w:tr w:rsidR="00902DDE" w:rsidRPr="00EB7F97" w:rsidTr="00EB7F97">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9" w:type="pct"/>
            <w:noWrap/>
            <w:hideMark/>
          </w:tcPr>
          <w:p w:rsidR="00902DDE" w:rsidRPr="00EB7F97" w:rsidRDefault="00902DDE" w:rsidP="00902DDE">
            <w:pPr>
              <w:rPr>
                <w:rFonts w:asciiTheme="minorHAnsi" w:eastAsia="Times New Roman" w:hAnsiTheme="minorHAnsi" w:cstheme="minorHAnsi"/>
                <w:color w:val="000000"/>
                <w:sz w:val="20"/>
                <w:szCs w:val="20"/>
                <w:lang w:eastAsia="en-IE"/>
              </w:rPr>
            </w:pPr>
            <w:r w:rsidRPr="00EB7F97">
              <w:rPr>
                <w:rFonts w:asciiTheme="minorHAnsi" w:eastAsia="Times New Roman" w:hAnsiTheme="minorHAnsi" w:cstheme="minorHAnsi"/>
                <w:color w:val="000000"/>
                <w:sz w:val="20"/>
                <w:szCs w:val="20"/>
                <w:lang w:eastAsia="en-IE"/>
              </w:rPr>
              <w:t>Wicklow County</w:t>
            </w:r>
          </w:p>
        </w:tc>
        <w:tc>
          <w:tcPr>
            <w:tcW w:w="624"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12.85</w:t>
            </w:r>
          </w:p>
        </w:tc>
        <w:tc>
          <w:tcPr>
            <w:tcW w:w="940" w:type="pct"/>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53</w:t>
            </w:r>
          </w:p>
        </w:tc>
        <w:tc>
          <w:tcPr>
            <w:tcW w:w="1075" w:type="pct"/>
            <w:noWrap/>
            <w:hideMark/>
          </w:tcPr>
          <w:p w:rsidR="00902DDE" w:rsidRPr="00EB7F97" w:rsidRDefault="00902DDE" w:rsidP="00902DD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73.58</w:t>
            </w:r>
          </w:p>
        </w:tc>
        <w:tc>
          <w:tcPr>
            <w:tcW w:w="1053" w:type="pct"/>
            <w:hideMark/>
          </w:tcPr>
          <w:p w:rsidR="00902DDE" w:rsidRPr="00EB7F97" w:rsidRDefault="00902DD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B7F97">
              <w:rPr>
                <w:rFonts w:eastAsia="Times New Roman" w:cstheme="minorHAnsi"/>
                <w:color w:val="000000"/>
                <w:sz w:val="20"/>
                <w:szCs w:val="20"/>
                <w:lang w:eastAsia="en-IE"/>
              </w:rPr>
              <w:t>29.26</w:t>
            </w:r>
          </w:p>
        </w:tc>
      </w:tr>
    </w:tbl>
    <w:tbl>
      <w:tblPr>
        <w:tblW w:w="5647" w:type="dxa"/>
        <w:tblLook w:val="04A0" w:firstRow="1" w:lastRow="0" w:firstColumn="1" w:lastColumn="0" w:noHBand="0" w:noVBand="1"/>
      </w:tblPr>
      <w:tblGrid>
        <w:gridCol w:w="2620"/>
        <w:gridCol w:w="1940"/>
        <w:gridCol w:w="1087"/>
      </w:tblGrid>
      <w:tr w:rsidR="00041706" w:rsidRPr="00B97E75" w:rsidTr="00E17A00">
        <w:trPr>
          <w:trHeight w:val="315"/>
        </w:trPr>
        <w:tc>
          <w:tcPr>
            <w:tcW w:w="5647" w:type="dxa"/>
            <w:gridSpan w:val="3"/>
            <w:tcBorders>
              <w:top w:val="single" w:sz="4" w:space="0" w:color="auto"/>
              <w:left w:val="single" w:sz="4" w:space="0" w:color="auto"/>
              <w:bottom w:val="nil"/>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lastRenderedPageBreak/>
              <w:t xml:space="preserve">Summary Statistics for </w:t>
            </w:r>
            <w:r w:rsidR="00052258">
              <w:rPr>
                <w:rFonts w:eastAsia="Times New Roman" w:cstheme="minorHAnsi"/>
                <w:b/>
                <w:bCs/>
                <w:color w:val="000000"/>
                <w:lang w:eastAsia="en-IE"/>
              </w:rPr>
              <w:t>Table 1</w:t>
            </w:r>
            <w:r w:rsidR="00B51FD6">
              <w:rPr>
                <w:rFonts w:eastAsia="Times New Roman" w:cstheme="minorHAnsi"/>
                <w:b/>
                <w:bCs/>
                <w:color w:val="000000"/>
                <w:lang w:eastAsia="en-IE"/>
              </w:rPr>
              <w:t>5</w:t>
            </w:r>
            <w:r w:rsidRPr="00B97E75">
              <w:rPr>
                <w:rFonts w:eastAsia="Times New Roman" w:cstheme="minorHAnsi"/>
                <w:b/>
                <w:bCs/>
                <w:color w:val="000000"/>
                <w:lang w:eastAsia="en-IE"/>
              </w:rPr>
              <w:t xml:space="preserve"> for 2014</w:t>
            </w:r>
          </w:p>
        </w:tc>
      </w:tr>
      <w:tr w:rsidR="00041706" w:rsidRPr="00B97E75" w:rsidTr="00E17A00">
        <w:trPr>
          <w:trHeight w:val="585"/>
        </w:trPr>
        <w:tc>
          <w:tcPr>
            <w:tcW w:w="4560" w:type="dxa"/>
            <w:gridSpan w:val="2"/>
            <w:tcBorders>
              <w:top w:val="single" w:sz="8" w:space="0" w:color="auto"/>
              <w:left w:val="single" w:sz="4" w:space="0" w:color="auto"/>
              <w:bottom w:val="nil"/>
              <w:right w:val="single" w:sz="4" w:space="0" w:color="000000"/>
            </w:tcBorders>
            <w:shd w:val="clear" w:color="auto" w:fill="B6DDE8" w:themeFill="accent5" w:themeFillTint="66"/>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Buildings Inspected as % of new buildings notified</w:t>
            </w:r>
          </w:p>
        </w:tc>
        <w:tc>
          <w:tcPr>
            <w:tcW w:w="1087" w:type="dxa"/>
            <w:tcBorders>
              <w:top w:val="single" w:sz="8" w:space="0" w:color="auto"/>
              <w:left w:val="nil"/>
              <w:bottom w:val="single" w:sz="4" w:space="0" w:color="auto"/>
              <w:right w:val="single" w:sz="8" w:space="0" w:color="auto"/>
            </w:tcBorders>
            <w:shd w:val="clear" w:color="auto" w:fill="B6DDE8" w:themeFill="accent5" w:themeFillTint="66"/>
            <w:vAlign w:val="center"/>
            <w:hideMark/>
          </w:tcPr>
          <w:p w:rsidR="00041706" w:rsidRPr="00B97E75" w:rsidRDefault="0004170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2014</w:t>
            </w:r>
          </w:p>
        </w:tc>
      </w:tr>
      <w:tr w:rsidR="00041706" w:rsidRPr="00B97E75" w:rsidTr="00E17A00">
        <w:trPr>
          <w:trHeight w:val="315"/>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087" w:type="dxa"/>
            <w:tcBorders>
              <w:top w:val="nil"/>
              <w:left w:val="nil"/>
              <w:bottom w:val="single" w:sz="4" w:space="0" w:color="auto"/>
              <w:right w:val="single" w:sz="8" w:space="0" w:color="auto"/>
            </w:tcBorders>
            <w:shd w:val="clear" w:color="auto" w:fill="auto"/>
            <w:vAlign w:val="center"/>
            <w:hideMark/>
          </w:tcPr>
          <w:p w:rsidR="00041706" w:rsidRPr="00B97E75" w:rsidRDefault="00DD6A92" w:rsidP="00E17A00">
            <w:pPr>
              <w:spacing w:after="0" w:line="240" w:lineRule="auto"/>
              <w:rPr>
                <w:rFonts w:eastAsia="Times New Roman" w:cstheme="minorHAnsi"/>
                <w:color w:val="000000"/>
                <w:lang w:eastAsia="en-IE"/>
              </w:rPr>
            </w:pPr>
            <w:r>
              <w:rPr>
                <w:rFonts w:eastAsia="Times New Roman" w:cstheme="minorHAnsi"/>
                <w:color w:val="000000"/>
                <w:lang w:eastAsia="en-IE"/>
              </w:rPr>
              <w:t>31</w:t>
            </w:r>
          </w:p>
        </w:tc>
      </w:tr>
      <w:tr w:rsidR="00041706" w:rsidRPr="00B97E75" w:rsidTr="00E17A00">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940" w:type="dxa"/>
            <w:tcBorders>
              <w:top w:val="nil"/>
              <w:left w:val="nil"/>
              <w:bottom w:val="single" w:sz="4"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087" w:type="dxa"/>
            <w:tcBorders>
              <w:top w:val="nil"/>
              <w:left w:val="nil"/>
              <w:bottom w:val="single" w:sz="4" w:space="0" w:color="auto"/>
              <w:right w:val="single" w:sz="8" w:space="0" w:color="auto"/>
            </w:tcBorders>
            <w:shd w:val="clear" w:color="auto" w:fill="auto"/>
            <w:vAlign w:val="center"/>
            <w:hideMark/>
          </w:tcPr>
          <w:p w:rsidR="00041706" w:rsidRPr="00B97E75" w:rsidRDefault="00DD6A92" w:rsidP="00E17A00">
            <w:pPr>
              <w:spacing w:after="0" w:line="240" w:lineRule="auto"/>
              <w:rPr>
                <w:rFonts w:eastAsia="Times New Roman" w:cstheme="minorHAnsi"/>
                <w:color w:val="000000"/>
                <w:lang w:eastAsia="en-IE"/>
              </w:rPr>
            </w:pPr>
            <w:r>
              <w:rPr>
                <w:rFonts w:eastAsia="Times New Roman" w:cstheme="minorHAnsi"/>
                <w:color w:val="000000"/>
                <w:lang w:eastAsia="en-IE"/>
              </w:rPr>
              <w:t>0</w:t>
            </w:r>
          </w:p>
        </w:tc>
      </w:tr>
      <w:tr w:rsidR="00041706" w:rsidRPr="00B97E75" w:rsidTr="00E17A00">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1940" w:type="dxa"/>
            <w:tcBorders>
              <w:top w:val="nil"/>
              <w:left w:val="nil"/>
              <w:bottom w:val="single" w:sz="4"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087" w:type="dxa"/>
            <w:tcBorders>
              <w:top w:val="nil"/>
              <w:left w:val="nil"/>
              <w:bottom w:val="single" w:sz="4" w:space="0" w:color="auto"/>
              <w:right w:val="single" w:sz="8" w:space="0" w:color="auto"/>
            </w:tcBorders>
            <w:shd w:val="clear" w:color="auto" w:fill="auto"/>
            <w:vAlign w:val="center"/>
            <w:hideMark/>
          </w:tcPr>
          <w:p w:rsidR="00041706" w:rsidRPr="00B97E75" w:rsidRDefault="003C451C" w:rsidP="00E17A00">
            <w:pPr>
              <w:spacing w:after="0" w:line="240" w:lineRule="auto"/>
              <w:rPr>
                <w:rFonts w:eastAsia="Times New Roman" w:cstheme="minorHAnsi"/>
                <w:b/>
                <w:bCs/>
                <w:color w:val="000000"/>
                <w:lang w:eastAsia="en-IE"/>
              </w:rPr>
            </w:pPr>
            <w:r>
              <w:rPr>
                <w:rFonts w:eastAsia="Times New Roman" w:cstheme="minorHAnsi"/>
                <w:b/>
                <w:bCs/>
                <w:color w:val="000000"/>
                <w:lang w:eastAsia="en-IE"/>
              </w:rPr>
              <w:t>17.71</w:t>
            </w:r>
          </w:p>
        </w:tc>
      </w:tr>
      <w:tr w:rsidR="00041706" w:rsidRPr="00B97E75" w:rsidTr="00E17A00">
        <w:trPr>
          <w:trHeight w:val="315"/>
        </w:trPr>
        <w:tc>
          <w:tcPr>
            <w:tcW w:w="2620" w:type="dxa"/>
            <w:tcBorders>
              <w:top w:val="nil"/>
              <w:left w:val="single" w:sz="4" w:space="0" w:color="auto"/>
              <w:bottom w:val="single" w:sz="8"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940" w:type="dxa"/>
            <w:tcBorders>
              <w:top w:val="nil"/>
              <w:left w:val="nil"/>
              <w:bottom w:val="single" w:sz="8"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087" w:type="dxa"/>
            <w:tcBorders>
              <w:top w:val="nil"/>
              <w:left w:val="nil"/>
              <w:bottom w:val="single" w:sz="8" w:space="0" w:color="auto"/>
              <w:right w:val="single" w:sz="8" w:space="0" w:color="auto"/>
            </w:tcBorders>
            <w:shd w:val="clear" w:color="auto" w:fill="auto"/>
            <w:vAlign w:val="center"/>
            <w:hideMark/>
          </w:tcPr>
          <w:p w:rsidR="00041706" w:rsidRPr="00B97E75" w:rsidRDefault="003C451C" w:rsidP="00E17A00">
            <w:pPr>
              <w:spacing w:after="0" w:line="240" w:lineRule="auto"/>
              <w:rPr>
                <w:rFonts w:eastAsia="Times New Roman" w:cstheme="minorHAnsi"/>
                <w:color w:val="000000"/>
                <w:lang w:eastAsia="en-IE"/>
              </w:rPr>
            </w:pPr>
            <w:r>
              <w:rPr>
                <w:rFonts w:eastAsia="Times New Roman" w:cstheme="minorHAnsi"/>
                <w:color w:val="000000"/>
                <w:lang w:eastAsia="en-IE"/>
              </w:rPr>
              <w:t>21.</w:t>
            </w:r>
            <w:r w:rsidR="00677F10">
              <w:rPr>
                <w:rFonts w:eastAsia="Times New Roman" w:cstheme="minorHAnsi"/>
                <w:color w:val="000000"/>
                <w:lang w:eastAsia="en-IE"/>
              </w:rPr>
              <w:t>81</w:t>
            </w:r>
          </w:p>
        </w:tc>
      </w:tr>
      <w:tr w:rsidR="00041706" w:rsidRPr="00B97E75" w:rsidTr="00E17A00">
        <w:trPr>
          <w:trHeight w:val="1035"/>
        </w:trPr>
        <w:tc>
          <w:tcPr>
            <w:tcW w:w="4560" w:type="dxa"/>
            <w:gridSpan w:val="2"/>
            <w:tcBorders>
              <w:top w:val="single" w:sz="8" w:space="0" w:color="auto"/>
              <w:left w:val="single" w:sz="4" w:space="0" w:color="auto"/>
              <w:bottom w:val="single" w:sz="4" w:space="0" w:color="auto"/>
              <w:right w:val="single" w:sz="4" w:space="0" w:color="000000"/>
            </w:tcBorders>
            <w:shd w:val="clear" w:color="auto" w:fill="B6DDE8" w:themeFill="accent5" w:themeFillTint="66"/>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xml:space="preserve"> Number of LA planning decisions  subject of an appeal to </w:t>
            </w:r>
            <w:r w:rsidRPr="00B97E75">
              <w:rPr>
                <w:rFonts w:eastAsia="Times New Roman" w:cstheme="minorHAnsi"/>
                <w:i/>
                <w:iCs/>
                <w:color w:val="000000"/>
                <w:lang w:eastAsia="en-IE"/>
              </w:rPr>
              <w:t xml:space="preserve">ABP </w:t>
            </w:r>
            <w:r w:rsidRPr="00B97E75">
              <w:rPr>
                <w:rFonts w:eastAsia="Times New Roman" w:cstheme="minorHAnsi"/>
                <w:color w:val="000000"/>
                <w:lang w:eastAsia="en-IE"/>
              </w:rPr>
              <w:t>that were determined by the Board  in 2014</w:t>
            </w:r>
          </w:p>
        </w:tc>
        <w:tc>
          <w:tcPr>
            <w:tcW w:w="1087" w:type="dxa"/>
            <w:tcBorders>
              <w:top w:val="nil"/>
              <w:left w:val="nil"/>
              <w:bottom w:val="single" w:sz="4" w:space="0" w:color="auto"/>
              <w:right w:val="single" w:sz="8" w:space="0" w:color="auto"/>
            </w:tcBorders>
            <w:shd w:val="clear" w:color="auto" w:fill="B6DDE8" w:themeFill="accent5" w:themeFillTint="66"/>
            <w:vAlign w:val="center"/>
            <w:hideMark/>
          </w:tcPr>
          <w:p w:rsidR="00041706" w:rsidRPr="00B97E75" w:rsidRDefault="0004170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2014</w:t>
            </w:r>
          </w:p>
        </w:tc>
      </w:tr>
      <w:tr w:rsidR="00041706" w:rsidRPr="00B97E75" w:rsidTr="00E17A00">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1940" w:type="dxa"/>
            <w:tcBorders>
              <w:top w:val="nil"/>
              <w:left w:val="nil"/>
              <w:bottom w:val="single" w:sz="4"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087" w:type="dxa"/>
            <w:tcBorders>
              <w:top w:val="nil"/>
              <w:left w:val="nil"/>
              <w:bottom w:val="single" w:sz="4" w:space="0" w:color="auto"/>
              <w:right w:val="single" w:sz="8" w:space="0" w:color="auto"/>
            </w:tcBorders>
            <w:shd w:val="clear" w:color="auto" w:fill="auto"/>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31</w:t>
            </w:r>
          </w:p>
        </w:tc>
      </w:tr>
      <w:tr w:rsidR="00041706" w:rsidRPr="00B97E75" w:rsidTr="00E17A00">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940" w:type="dxa"/>
            <w:tcBorders>
              <w:top w:val="nil"/>
              <w:left w:val="nil"/>
              <w:bottom w:val="single" w:sz="4"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087" w:type="dxa"/>
            <w:tcBorders>
              <w:top w:val="nil"/>
              <w:left w:val="nil"/>
              <w:bottom w:val="single" w:sz="4" w:space="0" w:color="auto"/>
              <w:right w:val="single" w:sz="8" w:space="0" w:color="auto"/>
            </w:tcBorders>
            <w:shd w:val="clear" w:color="auto" w:fill="auto"/>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0</w:t>
            </w:r>
          </w:p>
        </w:tc>
      </w:tr>
      <w:tr w:rsidR="00041706" w:rsidRPr="00B97E75" w:rsidTr="00E17A00">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1940" w:type="dxa"/>
            <w:tcBorders>
              <w:top w:val="nil"/>
              <w:left w:val="nil"/>
              <w:bottom w:val="single" w:sz="4"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087" w:type="dxa"/>
            <w:tcBorders>
              <w:top w:val="nil"/>
              <w:left w:val="nil"/>
              <w:bottom w:val="single" w:sz="4" w:space="0" w:color="auto"/>
              <w:right w:val="single" w:sz="8" w:space="0" w:color="auto"/>
            </w:tcBorders>
            <w:shd w:val="clear" w:color="auto" w:fill="auto"/>
            <w:vAlign w:val="center"/>
            <w:hideMark/>
          </w:tcPr>
          <w:p w:rsidR="00041706" w:rsidRPr="00B97E75" w:rsidRDefault="003C451C" w:rsidP="00E17A00">
            <w:pPr>
              <w:spacing w:after="0" w:line="240" w:lineRule="auto"/>
              <w:rPr>
                <w:rFonts w:eastAsia="Times New Roman" w:cstheme="minorHAnsi"/>
                <w:b/>
                <w:bCs/>
                <w:color w:val="000000"/>
                <w:lang w:eastAsia="en-IE"/>
              </w:rPr>
            </w:pPr>
            <w:r>
              <w:rPr>
                <w:rFonts w:eastAsia="Times New Roman" w:cstheme="minorHAnsi"/>
                <w:b/>
                <w:bCs/>
                <w:color w:val="000000"/>
                <w:lang w:eastAsia="en-IE"/>
              </w:rPr>
              <w:t>35.32</w:t>
            </w:r>
          </w:p>
        </w:tc>
      </w:tr>
      <w:tr w:rsidR="00041706" w:rsidRPr="00B97E75" w:rsidTr="00E17A00">
        <w:trPr>
          <w:trHeight w:val="315"/>
        </w:trPr>
        <w:tc>
          <w:tcPr>
            <w:tcW w:w="2620" w:type="dxa"/>
            <w:tcBorders>
              <w:top w:val="nil"/>
              <w:left w:val="single" w:sz="4" w:space="0" w:color="auto"/>
              <w:bottom w:val="single" w:sz="8"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940" w:type="dxa"/>
            <w:tcBorders>
              <w:top w:val="nil"/>
              <w:left w:val="nil"/>
              <w:bottom w:val="single" w:sz="8"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087" w:type="dxa"/>
            <w:tcBorders>
              <w:top w:val="nil"/>
              <w:left w:val="nil"/>
              <w:bottom w:val="single" w:sz="8" w:space="0" w:color="auto"/>
              <w:right w:val="single" w:sz="8" w:space="0" w:color="auto"/>
            </w:tcBorders>
            <w:shd w:val="clear" w:color="auto" w:fill="auto"/>
            <w:vAlign w:val="center"/>
            <w:hideMark/>
          </w:tcPr>
          <w:p w:rsidR="00041706" w:rsidRPr="00B97E75" w:rsidRDefault="003C451C" w:rsidP="00E17A00">
            <w:pPr>
              <w:spacing w:after="0" w:line="240" w:lineRule="auto"/>
              <w:rPr>
                <w:rFonts w:eastAsia="Times New Roman" w:cstheme="minorHAnsi"/>
                <w:color w:val="000000"/>
                <w:lang w:eastAsia="en-IE"/>
              </w:rPr>
            </w:pPr>
            <w:r>
              <w:rPr>
                <w:rFonts w:eastAsia="Times New Roman" w:cstheme="minorHAnsi"/>
                <w:color w:val="000000"/>
                <w:lang w:eastAsia="en-IE"/>
              </w:rPr>
              <w:t>25.00</w:t>
            </w:r>
          </w:p>
        </w:tc>
      </w:tr>
      <w:tr w:rsidR="00041706" w:rsidRPr="00B97E75" w:rsidTr="00E17A00">
        <w:trPr>
          <w:trHeight w:val="930"/>
        </w:trPr>
        <w:tc>
          <w:tcPr>
            <w:tcW w:w="4560" w:type="dxa"/>
            <w:gridSpan w:val="2"/>
            <w:tcBorders>
              <w:top w:val="single" w:sz="8" w:space="0" w:color="auto"/>
              <w:left w:val="single" w:sz="4" w:space="0" w:color="auto"/>
              <w:bottom w:val="single" w:sz="4" w:space="0" w:color="auto"/>
              <w:right w:val="single" w:sz="4" w:space="0" w:color="000000"/>
            </w:tcBorders>
            <w:shd w:val="clear" w:color="auto" w:fill="B6DDE8" w:themeFill="accent5" w:themeFillTint="66"/>
            <w:vAlign w:val="center"/>
            <w:hideMark/>
          </w:tcPr>
          <w:p w:rsidR="00041706" w:rsidRPr="00A74465" w:rsidRDefault="00A74465" w:rsidP="00E17A00">
            <w:pPr>
              <w:spacing w:after="0" w:line="240" w:lineRule="auto"/>
              <w:rPr>
                <w:rFonts w:eastAsia="Times New Roman" w:cstheme="minorHAnsi"/>
                <w:color w:val="000000"/>
                <w:lang w:eastAsia="en-IE"/>
              </w:rPr>
            </w:pPr>
            <w:r w:rsidRPr="00A74465">
              <w:rPr>
                <w:rFonts w:eastAsia="Times New Roman" w:cstheme="minorHAnsi"/>
                <w:color w:val="000000"/>
                <w:lang w:eastAsia="en-IE"/>
              </w:rPr>
              <w:t>% of the determinations that confirmed with or without variation the decision made by the LA</w:t>
            </w:r>
          </w:p>
        </w:tc>
        <w:tc>
          <w:tcPr>
            <w:tcW w:w="1087" w:type="dxa"/>
            <w:tcBorders>
              <w:top w:val="nil"/>
              <w:left w:val="nil"/>
              <w:bottom w:val="single" w:sz="4" w:space="0" w:color="auto"/>
              <w:right w:val="single" w:sz="8" w:space="0" w:color="auto"/>
            </w:tcBorders>
            <w:shd w:val="clear" w:color="auto" w:fill="B6DDE8" w:themeFill="accent5" w:themeFillTint="66"/>
            <w:vAlign w:val="center"/>
            <w:hideMark/>
          </w:tcPr>
          <w:p w:rsidR="00041706" w:rsidRPr="00B97E75" w:rsidRDefault="0004170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2014</w:t>
            </w:r>
          </w:p>
        </w:tc>
      </w:tr>
      <w:tr w:rsidR="00041706" w:rsidRPr="00B97E75" w:rsidTr="00E17A00">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1940" w:type="dxa"/>
            <w:tcBorders>
              <w:top w:val="nil"/>
              <w:left w:val="nil"/>
              <w:bottom w:val="single" w:sz="4"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087" w:type="dxa"/>
            <w:tcBorders>
              <w:top w:val="nil"/>
              <w:left w:val="nil"/>
              <w:bottom w:val="single" w:sz="4" w:space="0" w:color="auto"/>
              <w:right w:val="single" w:sz="8" w:space="0" w:color="auto"/>
            </w:tcBorders>
            <w:shd w:val="clear" w:color="auto" w:fill="auto"/>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31</w:t>
            </w:r>
          </w:p>
        </w:tc>
      </w:tr>
      <w:tr w:rsidR="00041706" w:rsidRPr="00B97E75" w:rsidTr="00E17A00">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940" w:type="dxa"/>
            <w:tcBorders>
              <w:top w:val="nil"/>
              <w:left w:val="nil"/>
              <w:bottom w:val="single" w:sz="4"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087" w:type="dxa"/>
            <w:tcBorders>
              <w:top w:val="nil"/>
              <w:left w:val="nil"/>
              <w:bottom w:val="single" w:sz="4" w:space="0" w:color="auto"/>
              <w:right w:val="single" w:sz="8" w:space="0" w:color="auto"/>
            </w:tcBorders>
            <w:shd w:val="clear" w:color="auto" w:fill="auto"/>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0</w:t>
            </w:r>
          </w:p>
        </w:tc>
      </w:tr>
      <w:tr w:rsidR="00041706" w:rsidRPr="00B97E75" w:rsidTr="00E17A00">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1940" w:type="dxa"/>
            <w:tcBorders>
              <w:top w:val="nil"/>
              <w:left w:val="nil"/>
              <w:bottom w:val="single" w:sz="4"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087" w:type="dxa"/>
            <w:tcBorders>
              <w:top w:val="nil"/>
              <w:left w:val="nil"/>
              <w:bottom w:val="single" w:sz="4" w:space="0" w:color="auto"/>
              <w:right w:val="single" w:sz="8" w:space="0" w:color="auto"/>
            </w:tcBorders>
            <w:shd w:val="clear" w:color="auto" w:fill="auto"/>
            <w:vAlign w:val="center"/>
            <w:hideMark/>
          </w:tcPr>
          <w:p w:rsidR="00041706" w:rsidRPr="00B97E75" w:rsidRDefault="0004170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71.70</w:t>
            </w:r>
          </w:p>
        </w:tc>
      </w:tr>
      <w:tr w:rsidR="00041706" w:rsidRPr="00B97E75" w:rsidTr="00E17A00">
        <w:trPr>
          <w:trHeight w:val="315"/>
        </w:trPr>
        <w:tc>
          <w:tcPr>
            <w:tcW w:w="2620" w:type="dxa"/>
            <w:tcBorders>
              <w:top w:val="nil"/>
              <w:left w:val="single" w:sz="4" w:space="0" w:color="auto"/>
              <w:bottom w:val="single" w:sz="8"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940" w:type="dxa"/>
            <w:tcBorders>
              <w:top w:val="nil"/>
              <w:left w:val="nil"/>
              <w:bottom w:val="single" w:sz="8"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087" w:type="dxa"/>
            <w:tcBorders>
              <w:top w:val="nil"/>
              <w:left w:val="nil"/>
              <w:bottom w:val="single" w:sz="8" w:space="0" w:color="auto"/>
              <w:right w:val="single" w:sz="8" w:space="0" w:color="auto"/>
            </w:tcBorders>
            <w:shd w:val="clear" w:color="auto" w:fill="auto"/>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66.63</w:t>
            </w:r>
          </w:p>
        </w:tc>
      </w:tr>
      <w:tr w:rsidR="00041706" w:rsidRPr="00B97E75" w:rsidTr="00137C7C">
        <w:trPr>
          <w:trHeight w:val="315"/>
        </w:trPr>
        <w:tc>
          <w:tcPr>
            <w:tcW w:w="4560" w:type="dxa"/>
            <w:gridSpan w:val="2"/>
            <w:tcBorders>
              <w:top w:val="single" w:sz="8" w:space="0" w:color="auto"/>
              <w:left w:val="single" w:sz="4" w:space="0" w:color="auto"/>
              <w:bottom w:val="single" w:sz="4" w:space="0" w:color="auto"/>
              <w:right w:val="single" w:sz="4" w:space="0" w:color="000000"/>
            </w:tcBorders>
            <w:shd w:val="clear" w:color="auto" w:fill="B6DDE8" w:themeFill="accent5" w:themeFillTint="66"/>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Cost per Capita of the Planning Service</w:t>
            </w:r>
          </w:p>
        </w:tc>
        <w:tc>
          <w:tcPr>
            <w:tcW w:w="1087" w:type="dxa"/>
            <w:tcBorders>
              <w:top w:val="nil"/>
              <w:left w:val="nil"/>
              <w:bottom w:val="single" w:sz="4" w:space="0" w:color="auto"/>
              <w:right w:val="single" w:sz="8" w:space="0" w:color="auto"/>
            </w:tcBorders>
            <w:shd w:val="clear" w:color="auto" w:fill="B6DDE8" w:themeFill="accent5" w:themeFillTint="66"/>
            <w:vAlign w:val="center"/>
            <w:hideMark/>
          </w:tcPr>
          <w:p w:rsidR="00041706" w:rsidRPr="00B97E75" w:rsidRDefault="00041706" w:rsidP="00DD6A92">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2014</w:t>
            </w:r>
          </w:p>
        </w:tc>
      </w:tr>
      <w:tr w:rsidR="00041706" w:rsidRPr="00B97E75" w:rsidTr="00137C7C">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1940" w:type="dxa"/>
            <w:tcBorders>
              <w:top w:val="nil"/>
              <w:left w:val="nil"/>
              <w:bottom w:val="single" w:sz="4"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087" w:type="dxa"/>
            <w:tcBorders>
              <w:top w:val="nil"/>
              <w:left w:val="nil"/>
              <w:bottom w:val="single" w:sz="4" w:space="0" w:color="auto"/>
              <w:right w:val="single" w:sz="8" w:space="0" w:color="auto"/>
            </w:tcBorders>
            <w:shd w:val="clear" w:color="auto" w:fill="auto"/>
            <w:vAlign w:val="center"/>
            <w:hideMark/>
          </w:tcPr>
          <w:p w:rsidR="00041706" w:rsidRPr="00B97E75" w:rsidRDefault="00041706" w:rsidP="00DD6A92">
            <w:pPr>
              <w:spacing w:after="0" w:line="240" w:lineRule="auto"/>
              <w:rPr>
                <w:rFonts w:eastAsia="Times New Roman" w:cstheme="minorHAnsi"/>
                <w:color w:val="000000"/>
                <w:lang w:eastAsia="en-IE"/>
              </w:rPr>
            </w:pPr>
            <w:r w:rsidRPr="00B97E75">
              <w:rPr>
                <w:rFonts w:eastAsia="Times New Roman" w:cstheme="minorHAnsi"/>
                <w:color w:val="000000"/>
                <w:lang w:eastAsia="en-IE"/>
              </w:rPr>
              <w:t>31</w:t>
            </w:r>
          </w:p>
        </w:tc>
      </w:tr>
      <w:tr w:rsidR="00041706" w:rsidRPr="00B97E75" w:rsidTr="00137C7C">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940" w:type="dxa"/>
            <w:tcBorders>
              <w:top w:val="nil"/>
              <w:left w:val="nil"/>
              <w:bottom w:val="single" w:sz="4"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087" w:type="dxa"/>
            <w:tcBorders>
              <w:top w:val="nil"/>
              <w:left w:val="nil"/>
              <w:bottom w:val="single" w:sz="4" w:space="0" w:color="auto"/>
              <w:right w:val="single" w:sz="8" w:space="0" w:color="auto"/>
            </w:tcBorders>
            <w:shd w:val="clear" w:color="auto" w:fill="auto"/>
            <w:vAlign w:val="center"/>
            <w:hideMark/>
          </w:tcPr>
          <w:p w:rsidR="00041706" w:rsidRPr="00B97E75" w:rsidRDefault="00041706" w:rsidP="00DD6A92">
            <w:pPr>
              <w:spacing w:after="0" w:line="240" w:lineRule="auto"/>
              <w:rPr>
                <w:rFonts w:eastAsia="Times New Roman" w:cstheme="minorHAnsi"/>
                <w:color w:val="000000"/>
                <w:lang w:eastAsia="en-IE"/>
              </w:rPr>
            </w:pPr>
            <w:r w:rsidRPr="00B97E75">
              <w:rPr>
                <w:rFonts w:eastAsia="Times New Roman" w:cstheme="minorHAnsi"/>
                <w:color w:val="000000"/>
                <w:lang w:eastAsia="en-IE"/>
              </w:rPr>
              <w:t>0</w:t>
            </w:r>
          </w:p>
        </w:tc>
      </w:tr>
      <w:tr w:rsidR="00041706" w:rsidRPr="00B97E75" w:rsidTr="00137C7C">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1940" w:type="dxa"/>
            <w:tcBorders>
              <w:top w:val="nil"/>
              <w:left w:val="nil"/>
              <w:bottom w:val="single" w:sz="4"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087" w:type="dxa"/>
            <w:tcBorders>
              <w:top w:val="nil"/>
              <w:left w:val="nil"/>
              <w:bottom w:val="single" w:sz="4" w:space="0" w:color="auto"/>
              <w:right w:val="single" w:sz="8" w:space="0" w:color="auto"/>
            </w:tcBorders>
            <w:shd w:val="clear" w:color="auto" w:fill="auto"/>
            <w:vAlign w:val="center"/>
            <w:hideMark/>
          </w:tcPr>
          <w:p w:rsidR="00041706" w:rsidRPr="00B97E75" w:rsidRDefault="00041706" w:rsidP="00DD6A92">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€26.97</w:t>
            </w:r>
          </w:p>
        </w:tc>
      </w:tr>
      <w:tr w:rsidR="00041706" w:rsidRPr="00B97E75" w:rsidTr="00137C7C">
        <w:trPr>
          <w:trHeight w:val="315"/>
        </w:trPr>
        <w:tc>
          <w:tcPr>
            <w:tcW w:w="2620" w:type="dxa"/>
            <w:tcBorders>
              <w:top w:val="nil"/>
              <w:left w:val="single" w:sz="4" w:space="0" w:color="auto"/>
              <w:bottom w:val="single" w:sz="8"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940" w:type="dxa"/>
            <w:tcBorders>
              <w:top w:val="nil"/>
              <w:left w:val="nil"/>
              <w:bottom w:val="single" w:sz="8" w:space="0" w:color="auto"/>
              <w:right w:val="single" w:sz="4" w:space="0" w:color="auto"/>
            </w:tcBorders>
            <w:shd w:val="clear" w:color="auto" w:fill="auto"/>
            <w:vAlign w:val="center"/>
            <w:hideMark/>
          </w:tcPr>
          <w:p w:rsidR="00041706" w:rsidRPr="00B97E75" w:rsidRDefault="0004170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087" w:type="dxa"/>
            <w:tcBorders>
              <w:top w:val="nil"/>
              <w:left w:val="nil"/>
              <w:bottom w:val="single" w:sz="8" w:space="0" w:color="auto"/>
              <w:right w:val="single" w:sz="8" w:space="0" w:color="auto"/>
            </w:tcBorders>
            <w:shd w:val="clear" w:color="auto" w:fill="auto"/>
            <w:vAlign w:val="center"/>
            <w:hideMark/>
          </w:tcPr>
          <w:p w:rsidR="00041706" w:rsidRPr="00B97E75" w:rsidRDefault="00041706" w:rsidP="00DD6A92">
            <w:pPr>
              <w:spacing w:after="0" w:line="240" w:lineRule="auto"/>
              <w:rPr>
                <w:rFonts w:eastAsia="Times New Roman" w:cstheme="minorHAnsi"/>
                <w:color w:val="000000"/>
                <w:lang w:eastAsia="en-IE"/>
              </w:rPr>
            </w:pPr>
            <w:r w:rsidRPr="00B97E75">
              <w:rPr>
                <w:rFonts w:eastAsia="Times New Roman" w:cstheme="minorHAnsi"/>
                <w:color w:val="000000"/>
                <w:lang w:eastAsia="en-IE"/>
              </w:rPr>
              <w:t>€28.04</w:t>
            </w:r>
          </w:p>
        </w:tc>
      </w:tr>
    </w:tbl>
    <w:p w:rsidR="005E1ECD" w:rsidRPr="00B97E75" w:rsidRDefault="005E1ECD" w:rsidP="00201EC9">
      <w:pPr>
        <w:rPr>
          <w:rFonts w:eastAsia="Times New Roman" w:cstheme="minorHAnsi"/>
          <w:b/>
          <w:bCs/>
          <w:color w:val="000000"/>
          <w:lang w:eastAsia="en-IE"/>
        </w:rPr>
      </w:pPr>
    </w:p>
    <w:tbl>
      <w:tblPr>
        <w:tblW w:w="6380" w:type="dxa"/>
        <w:tblInd w:w="98" w:type="dxa"/>
        <w:tblLook w:val="04A0" w:firstRow="1" w:lastRow="0" w:firstColumn="1" w:lastColumn="0" w:noHBand="0" w:noVBand="1"/>
      </w:tblPr>
      <w:tblGrid>
        <w:gridCol w:w="968"/>
        <w:gridCol w:w="951"/>
        <w:gridCol w:w="910"/>
        <w:gridCol w:w="910"/>
        <w:gridCol w:w="721"/>
        <w:gridCol w:w="960"/>
        <w:gridCol w:w="960"/>
      </w:tblGrid>
      <w:tr w:rsidR="0031605E" w:rsidRPr="0031605E" w:rsidTr="00E17A00">
        <w:trPr>
          <w:trHeight w:val="399"/>
        </w:trPr>
        <w:tc>
          <w:tcPr>
            <w:tcW w:w="638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31605E" w:rsidRPr="0031605E" w:rsidRDefault="0031605E" w:rsidP="00E17A00">
            <w:pPr>
              <w:spacing w:after="0" w:line="240" w:lineRule="auto"/>
              <w:rPr>
                <w:rFonts w:ascii="Calibri" w:eastAsia="Times New Roman" w:hAnsi="Calibri" w:cs="Calibri"/>
                <w:b/>
                <w:bCs/>
                <w:color w:val="000000"/>
                <w:lang w:eastAsia="en-IE"/>
              </w:rPr>
            </w:pPr>
            <w:r w:rsidRPr="0031605E">
              <w:rPr>
                <w:rFonts w:ascii="Calibri" w:eastAsia="Times New Roman" w:hAnsi="Calibri" w:cs="Calibri"/>
                <w:b/>
                <w:bCs/>
                <w:color w:val="000000"/>
                <w:lang w:eastAsia="en-IE"/>
              </w:rPr>
              <w:t>Summary Statistics 2010 - 2014</w:t>
            </w:r>
          </w:p>
        </w:tc>
      </w:tr>
      <w:tr w:rsidR="0031605E" w:rsidRPr="0031605E" w:rsidTr="00E17A00">
        <w:trPr>
          <w:trHeight w:val="481"/>
        </w:trPr>
        <w:tc>
          <w:tcPr>
            <w:tcW w:w="6380" w:type="dxa"/>
            <w:gridSpan w:val="7"/>
            <w:tcBorders>
              <w:top w:val="single" w:sz="8" w:space="0" w:color="auto"/>
              <w:left w:val="single" w:sz="8" w:space="0" w:color="auto"/>
              <w:bottom w:val="nil"/>
              <w:right w:val="single" w:sz="8" w:space="0" w:color="000000"/>
            </w:tcBorders>
            <w:shd w:val="clear" w:color="auto" w:fill="B6DDE8" w:themeFill="accent5" w:themeFillTint="66"/>
            <w:vAlign w:val="center"/>
            <w:hideMark/>
          </w:tcPr>
          <w:p w:rsidR="0031605E" w:rsidRPr="0031605E" w:rsidRDefault="0031605E" w:rsidP="00E17A00">
            <w:pPr>
              <w:spacing w:after="0" w:line="240" w:lineRule="auto"/>
              <w:rPr>
                <w:rFonts w:ascii="Calibri" w:eastAsia="Times New Roman" w:hAnsi="Calibri" w:cs="Calibri"/>
                <w:b/>
                <w:bCs/>
                <w:color w:val="000000"/>
                <w:lang w:eastAsia="en-IE"/>
              </w:rPr>
            </w:pPr>
            <w:r w:rsidRPr="0031605E">
              <w:rPr>
                <w:rFonts w:ascii="Calibri" w:eastAsia="Times New Roman" w:hAnsi="Calibri" w:cs="Calibri"/>
                <w:b/>
                <w:bCs/>
                <w:color w:val="000000"/>
                <w:lang w:eastAsia="en-IE"/>
              </w:rPr>
              <w:t>Buildings Inspected as % of New Buildings Notified</w:t>
            </w:r>
            <w:r w:rsidR="00F61F77">
              <w:rPr>
                <w:rFonts w:ascii="Calibri" w:eastAsia="Times New Roman" w:hAnsi="Calibri" w:cs="Calibri"/>
                <w:b/>
                <w:bCs/>
                <w:color w:val="000000"/>
                <w:lang w:eastAsia="en-IE"/>
              </w:rPr>
              <w:t>*</w:t>
            </w:r>
          </w:p>
        </w:tc>
      </w:tr>
      <w:tr w:rsidR="0031605E" w:rsidRPr="0031605E" w:rsidTr="00E17A00">
        <w:trPr>
          <w:trHeight w:val="348"/>
        </w:trPr>
        <w:tc>
          <w:tcPr>
            <w:tcW w:w="960" w:type="dxa"/>
            <w:tcBorders>
              <w:top w:val="single" w:sz="8" w:space="0" w:color="auto"/>
              <w:left w:val="single" w:sz="8" w:space="0" w:color="auto"/>
              <w:bottom w:val="single" w:sz="8" w:space="0" w:color="auto"/>
              <w:right w:val="nil"/>
            </w:tcBorders>
            <w:shd w:val="clear" w:color="auto" w:fill="FFFFFF" w:themeFill="background1"/>
            <w:vAlign w:val="center"/>
            <w:hideMark/>
          </w:tcPr>
          <w:p w:rsidR="0031605E" w:rsidRPr="0031605E" w:rsidRDefault="0031605E" w:rsidP="00E17A00">
            <w:pPr>
              <w:spacing w:after="0" w:line="240" w:lineRule="auto"/>
              <w:rPr>
                <w:rFonts w:ascii="Calibri" w:eastAsia="Times New Roman" w:hAnsi="Calibri" w:cs="Calibri"/>
                <w:b/>
                <w:bCs/>
                <w:color w:val="000000"/>
                <w:lang w:eastAsia="en-IE"/>
              </w:rPr>
            </w:pPr>
          </w:p>
        </w:tc>
        <w:tc>
          <w:tcPr>
            <w:tcW w:w="960" w:type="dxa"/>
            <w:tcBorders>
              <w:top w:val="single" w:sz="8" w:space="0" w:color="auto"/>
              <w:left w:val="nil"/>
              <w:bottom w:val="single" w:sz="8" w:space="0" w:color="auto"/>
              <w:right w:val="nil"/>
            </w:tcBorders>
            <w:shd w:val="clear" w:color="auto" w:fill="FFFFFF" w:themeFill="background1"/>
            <w:vAlign w:val="center"/>
            <w:hideMark/>
          </w:tcPr>
          <w:p w:rsidR="0031605E" w:rsidRPr="0031605E" w:rsidRDefault="0031605E" w:rsidP="00E17A00">
            <w:pPr>
              <w:spacing w:after="0" w:line="240" w:lineRule="auto"/>
              <w:rPr>
                <w:rFonts w:ascii="Calibri" w:eastAsia="Times New Roman" w:hAnsi="Calibri" w:cs="Calibri"/>
                <w:b/>
                <w:bCs/>
                <w:color w:val="000000"/>
                <w:lang w:eastAsia="en-IE"/>
              </w:rPr>
            </w:pPr>
          </w:p>
        </w:tc>
        <w:tc>
          <w:tcPr>
            <w:tcW w:w="960" w:type="dxa"/>
            <w:tcBorders>
              <w:top w:val="single" w:sz="8" w:space="0" w:color="auto"/>
              <w:left w:val="single" w:sz="4" w:space="0" w:color="auto"/>
              <w:bottom w:val="single" w:sz="8" w:space="0" w:color="auto"/>
              <w:right w:val="single" w:sz="4" w:space="0" w:color="auto"/>
            </w:tcBorders>
            <w:shd w:val="clear" w:color="auto" w:fill="FFFFFF" w:themeFill="background1"/>
            <w:vAlign w:val="center"/>
            <w:hideMark/>
          </w:tcPr>
          <w:p w:rsidR="0031605E" w:rsidRPr="0031605E" w:rsidRDefault="0031605E" w:rsidP="00E17A00">
            <w:pPr>
              <w:spacing w:after="0" w:line="240" w:lineRule="auto"/>
              <w:rPr>
                <w:rFonts w:ascii="Calibri" w:eastAsia="Times New Roman" w:hAnsi="Calibri" w:cs="Calibri"/>
                <w:b/>
                <w:bCs/>
                <w:color w:val="000000"/>
                <w:lang w:eastAsia="en-IE"/>
              </w:rPr>
            </w:pPr>
            <w:r w:rsidRPr="0031605E">
              <w:rPr>
                <w:rFonts w:ascii="Calibri" w:eastAsia="Times New Roman" w:hAnsi="Calibri" w:cs="Calibri"/>
                <w:b/>
                <w:bCs/>
                <w:color w:val="000000"/>
                <w:lang w:eastAsia="en-IE"/>
              </w:rPr>
              <w:t>2010</w:t>
            </w:r>
          </w:p>
        </w:tc>
        <w:tc>
          <w:tcPr>
            <w:tcW w:w="960" w:type="dxa"/>
            <w:tcBorders>
              <w:top w:val="single" w:sz="8" w:space="0" w:color="auto"/>
              <w:left w:val="nil"/>
              <w:bottom w:val="single" w:sz="8" w:space="0" w:color="auto"/>
              <w:right w:val="single" w:sz="4" w:space="0" w:color="auto"/>
            </w:tcBorders>
            <w:shd w:val="clear" w:color="auto" w:fill="FFFFFF" w:themeFill="background1"/>
            <w:vAlign w:val="center"/>
            <w:hideMark/>
          </w:tcPr>
          <w:p w:rsidR="0031605E" w:rsidRPr="0031605E" w:rsidRDefault="0031605E" w:rsidP="00E17A00">
            <w:pPr>
              <w:spacing w:after="0" w:line="240" w:lineRule="auto"/>
              <w:rPr>
                <w:rFonts w:ascii="Calibri" w:eastAsia="Times New Roman" w:hAnsi="Calibri" w:cs="Calibri"/>
                <w:b/>
                <w:bCs/>
                <w:color w:val="000000"/>
                <w:lang w:eastAsia="en-IE"/>
              </w:rPr>
            </w:pPr>
            <w:r w:rsidRPr="0031605E">
              <w:rPr>
                <w:rFonts w:ascii="Calibri" w:eastAsia="Times New Roman" w:hAnsi="Calibri" w:cs="Calibri"/>
                <w:b/>
                <w:bCs/>
                <w:color w:val="000000"/>
                <w:lang w:eastAsia="en-IE"/>
              </w:rPr>
              <w:t>2011</w:t>
            </w:r>
          </w:p>
        </w:tc>
        <w:tc>
          <w:tcPr>
            <w:tcW w:w="620" w:type="dxa"/>
            <w:tcBorders>
              <w:top w:val="single" w:sz="8" w:space="0" w:color="auto"/>
              <w:left w:val="nil"/>
              <w:bottom w:val="single" w:sz="8" w:space="0" w:color="auto"/>
              <w:right w:val="single" w:sz="4" w:space="0" w:color="auto"/>
            </w:tcBorders>
            <w:shd w:val="clear" w:color="auto" w:fill="FFFFFF" w:themeFill="background1"/>
            <w:vAlign w:val="center"/>
            <w:hideMark/>
          </w:tcPr>
          <w:p w:rsidR="0031605E" w:rsidRPr="0031605E" w:rsidRDefault="0031605E" w:rsidP="00E17A00">
            <w:pPr>
              <w:spacing w:after="0" w:line="240" w:lineRule="auto"/>
              <w:rPr>
                <w:rFonts w:ascii="Calibri" w:eastAsia="Times New Roman" w:hAnsi="Calibri" w:cs="Calibri"/>
                <w:b/>
                <w:bCs/>
                <w:color w:val="000000"/>
                <w:lang w:eastAsia="en-IE"/>
              </w:rPr>
            </w:pPr>
            <w:r w:rsidRPr="0031605E">
              <w:rPr>
                <w:rFonts w:ascii="Calibri" w:eastAsia="Times New Roman" w:hAnsi="Calibri" w:cs="Calibri"/>
                <w:b/>
                <w:bCs/>
                <w:color w:val="000000"/>
                <w:lang w:eastAsia="en-IE"/>
              </w:rPr>
              <w:t>2012</w:t>
            </w:r>
          </w:p>
        </w:tc>
        <w:tc>
          <w:tcPr>
            <w:tcW w:w="960" w:type="dxa"/>
            <w:tcBorders>
              <w:top w:val="single" w:sz="8" w:space="0" w:color="auto"/>
              <w:left w:val="nil"/>
              <w:bottom w:val="single" w:sz="8" w:space="0" w:color="auto"/>
              <w:right w:val="single" w:sz="4" w:space="0" w:color="auto"/>
            </w:tcBorders>
            <w:shd w:val="clear" w:color="auto" w:fill="FFFFFF" w:themeFill="background1"/>
            <w:vAlign w:val="center"/>
            <w:hideMark/>
          </w:tcPr>
          <w:p w:rsidR="0031605E" w:rsidRPr="0031605E" w:rsidRDefault="0031605E" w:rsidP="00E17A00">
            <w:pPr>
              <w:spacing w:after="0" w:line="240" w:lineRule="auto"/>
              <w:rPr>
                <w:rFonts w:ascii="Calibri" w:eastAsia="Times New Roman" w:hAnsi="Calibri" w:cs="Calibri"/>
                <w:b/>
                <w:bCs/>
                <w:color w:val="000000"/>
                <w:lang w:eastAsia="en-IE"/>
              </w:rPr>
            </w:pPr>
            <w:r w:rsidRPr="0031605E">
              <w:rPr>
                <w:rFonts w:ascii="Calibri" w:eastAsia="Times New Roman" w:hAnsi="Calibri" w:cs="Calibri"/>
                <w:b/>
                <w:bCs/>
                <w:color w:val="000000"/>
                <w:lang w:eastAsia="en-IE"/>
              </w:rPr>
              <w:t>2013</w:t>
            </w:r>
          </w:p>
        </w:tc>
        <w:tc>
          <w:tcPr>
            <w:tcW w:w="960" w:type="dxa"/>
            <w:tcBorders>
              <w:top w:val="single" w:sz="8" w:space="0" w:color="auto"/>
              <w:left w:val="nil"/>
              <w:bottom w:val="single" w:sz="8" w:space="0" w:color="auto"/>
              <w:right w:val="single" w:sz="8" w:space="0" w:color="auto"/>
            </w:tcBorders>
            <w:shd w:val="clear" w:color="auto" w:fill="FFFFFF" w:themeFill="background1"/>
            <w:vAlign w:val="center"/>
            <w:hideMark/>
          </w:tcPr>
          <w:p w:rsidR="0031605E" w:rsidRPr="0031605E" w:rsidRDefault="0031605E" w:rsidP="00E17A00">
            <w:pPr>
              <w:spacing w:after="0" w:line="240" w:lineRule="auto"/>
              <w:rPr>
                <w:rFonts w:ascii="Calibri" w:eastAsia="Times New Roman" w:hAnsi="Calibri" w:cs="Calibri"/>
                <w:b/>
                <w:bCs/>
                <w:color w:val="000000"/>
                <w:lang w:eastAsia="en-IE"/>
              </w:rPr>
            </w:pPr>
            <w:r w:rsidRPr="0031605E">
              <w:rPr>
                <w:rFonts w:ascii="Calibri" w:eastAsia="Times New Roman" w:hAnsi="Calibri" w:cs="Calibri"/>
                <w:b/>
                <w:bCs/>
                <w:color w:val="000000"/>
                <w:lang w:eastAsia="en-IE"/>
              </w:rPr>
              <w:t>2014</w:t>
            </w:r>
          </w:p>
        </w:tc>
      </w:tr>
      <w:tr w:rsidR="0031605E" w:rsidRPr="0031605E" w:rsidTr="00E17A00">
        <w:trPr>
          <w:trHeight w:val="406"/>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1605E" w:rsidRPr="0031605E" w:rsidRDefault="0031605E" w:rsidP="00E17A00">
            <w:pPr>
              <w:spacing w:after="0" w:line="240" w:lineRule="auto"/>
              <w:rPr>
                <w:rFonts w:ascii="Calibri" w:eastAsia="Times New Roman" w:hAnsi="Calibri" w:cs="Calibri"/>
                <w:color w:val="000000"/>
                <w:lang w:eastAsia="en-IE"/>
              </w:rPr>
            </w:pPr>
            <w:r w:rsidRPr="0031605E">
              <w:rPr>
                <w:rFonts w:ascii="Calibri" w:eastAsia="Times New Roman" w:hAnsi="Calibri" w:cs="Calibri"/>
                <w:color w:val="000000"/>
                <w:lang w:eastAsia="en-IE"/>
              </w:rPr>
              <w:t>N</w:t>
            </w:r>
          </w:p>
        </w:tc>
        <w:tc>
          <w:tcPr>
            <w:tcW w:w="960" w:type="dxa"/>
            <w:tcBorders>
              <w:top w:val="nil"/>
              <w:left w:val="nil"/>
              <w:bottom w:val="single" w:sz="4" w:space="0" w:color="auto"/>
              <w:right w:val="single" w:sz="4" w:space="0" w:color="auto"/>
            </w:tcBorders>
            <w:shd w:val="clear" w:color="auto" w:fill="auto"/>
            <w:vAlign w:val="center"/>
            <w:hideMark/>
          </w:tcPr>
          <w:p w:rsidR="0031605E" w:rsidRPr="0031605E" w:rsidRDefault="0031605E" w:rsidP="00E17A00">
            <w:pPr>
              <w:spacing w:after="0" w:line="240" w:lineRule="auto"/>
              <w:rPr>
                <w:rFonts w:ascii="Calibri" w:eastAsia="Times New Roman" w:hAnsi="Calibri" w:cs="Calibri"/>
                <w:color w:val="000000"/>
                <w:lang w:eastAsia="en-IE"/>
              </w:rPr>
            </w:pPr>
            <w:r w:rsidRPr="0031605E">
              <w:rPr>
                <w:rFonts w:ascii="Calibri" w:eastAsia="Times New Roman" w:hAnsi="Calibri" w:cs="Calibri"/>
                <w:color w:val="000000"/>
                <w:lang w:eastAsia="en-IE"/>
              </w:rPr>
              <w:t>Valid</w:t>
            </w:r>
          </w:p>
        </w:tc>
        <w:tc>
          <w:tcPr>
            <w:tcW w:w="960" w:type="dxa"/>
            <w:tcBorders>
              <w:top w:val="nil"/>
              <w:left w:val="nil"/>
              <w:bottom w:val="single" w:sz="4" w:space="0" w:color="auto"/>
              <w:right w:val="single" w:sz="4" w:space="0" w:color="auto"/>
            </w:tcBorders>
            <w:shd w:val="clear" w:color="auto" w:fill="auto"/>
            <w:vAlign w:val="center"/>
            <w:hideMark/>
          </w:tcPr>
          <w:p w:rsidR="0031605E" w:rsidRPr="0031605E" w:rsidRDefault="0031605E" w:rsidP="00E17A00">
            <w:pPr>
              <w:spacing w:after="0" w:line="240" w:lineRule="auto"/>
              <w:rPr>
                <w:rFonts w:ascii="Calibri" w:eastAsia="Times New Roman" w:hAnsi="Calibri" w:cs="Calibri"/>
                <w:color w:val="000000"/>
                <w:lang w:eastAsia="en-IE"/>
              </w:rPr>
            </w:pPr>
            <w:r w:rsidRPr="0031605E">
              <w:rPr>
                <w:rFonts w:ascii="Calibri" w:eastAsia="Times New Roman" w:hAnsi="Calibri" w:cs="Calibri"/>
                <w:color w:val="000000"/>
                <w:lang w:eastAsia="en-IE"/>
              </w:rPr>
              <w:t>34</w:t>
            </w:r>
          </w:p>
        </w:tc>
        <w:tc>
          <w:tcPr>
            <w:tcW w:w="960" w:type="dxa"/>
            <w:tcBorders>
              <w:top w:val="nil"/>
              <w:left w:val="nil"/>
              <w:bottom w:val="single" w:sz="4" w:space="0" w:color="auto"/>
              <w:right w:val="single" w:sz="4" w:space="0" w:color="auto"/>
            </w:tcBorders>
            <w:shd w:val="clear" w:color="auto" w:fill="auto"/>
            <w:vAlign w:val="center"/>
            <w:hideMark/>
          </w:tcPr>
          <w:p w:rsidR="0031605E" w:rsidRPr="0031605E" w:rsidRDefault="0031605E" w:rsidP="00E17A00">
            <w:pPr>
              <w:spacing w:after="0" w:line="240" w:lineRule="auto"/>
              <w:rPr>
                <w:rFonts w:ascii="Calibri" w:eastAsia="Times New Roman" w:hAnsi="Calibri" w:cs="Calibri"/>
                <w:color w:val="000000"/>
                <w:lang w:eastAsia="en-IE"/>
              </w:rPr>
            </w:pPr>
            <w:r w:rsidRPr="0031605E">
              <w:rPr>
                <w:rFonts w:ascii="Calibri" w:eastAsia="Times New Roman" w:hAnsi="Calibri" w:cs="Calibri"/>
                <w:color w:val="000000"/>
                <w:lang w:eastAsia="en-IE"/>
              </w:rPr>
              <w:t>34</w:t>
            </w:r>
          </w:p>
        </w:tc>
        <w:tc>
          <w:tcPr>
            <w:tcW w:w="620" w:type="dxa"/>
            <w:tcBorders>
              <w:top w:val="nil"/>
              <w:left w:val="nil"/>
              <w:bottom w:val="single" w:sz="4" w:space="0" w:color="auto"/>
              <w:right w:val="single" w:sz="4" w:space="0" w:color="auto"/>
            </w:tcBorders>
            <w:shd w:val="clear" w:color="auto" w:fill="auto"/>
            <w:vAlign w:val="center"/>
            <w:hideMark/>
          </w:tcPr>
          <w:p w:rsidR="0031605E" w:rsidRPr="0031605E" w:rsidRDefault="0031605E" w:rsidP="00E17A00">
            <w:pPr>
              <w:spacing w:after="0" w:line="240" w:lineRule="auto"/>
              <w:rPr>
                <w:rFonts w:ascii="Calibri" w:eastAsia="Times New Roman" w:hAnsi="Calibri" w:cs="Calibri"/>
                <w:color w:val="000000"/>
                <w:lang w:eastAsia="en-IE"/>
              </w:rPr>
            </w:pPr>
            <w:r w:rsidRPr="0031605E">
              <w:rPr>
                <w:rFonts w:ascii="Calibri" w:eastAsia="Times New Roman" w:hAnsi="Calibri" w:cs="Calibri"/>
                <w:color w:val="000000"/>
                <w:lang w:eastAsia="en-IE"/>
              </w:rPr>
              <w:t>34</w:t>
            </w:r>
          </w:p>
        </w:tc>
        <w:tc>
          <w:tcPr>
            <w:tcW w:w="960" w:type="dxa"/>
            <w:tcBorders>
              <w:top w:val="nil"/>
              <w:left w:val="nil"/>
              <w:bottom w:val="single" w:sz="4" w:space="0" w:color="auto"/>
              <w:right w:val="single" w:sz="4" w:space="0" w:color="auto"/>
            </w:tcBorders>
            <w:shd w:val="clear" w:color="auto" w:fill="auto"/>
            <w:noWrap/>
            <w:vAlign w:val="center"/>
            <w:hideMark/>
          </w:tcPr>
          <w:p w:rsidR="0031605E" w:rsidRPr="0031605E" w:rsidRDefault="0031605E" w:rsidP="00E17A00">
            <w:pPr>
              <w:spacing w:after="0" w:line="240" w:lineRule="auto"/>
              <w:rPr>
                <w:rFonts w:ascii="Calibri" w:eastAsia="Times New Roman" w:hAnsi="Calibri" w:cs="Calibri"/>
                <w:color w:val="000000"/>
                <w:lang w:eastAsia="en-IE"/>
              </w:rPr>
            </w:pPr>
            <w:r w:rsidRPr="0031605E">
              <w:rPr>
                <w:rFonts w:ascii="Calibri" w:eastAsia="Times New Roman" w:hAnsi="Calibri" w:cs="Calibri"/>
                <w:color w:val="000000"/>
                <w:lang w:eastAsia="en-IE"/>
              </w:rPr>
              <w:t>33</w:t>
            </w:r>
          </w:p>
        </w:tc>
        <w:tc>
          <w:tcPr>
            <w:tcW w:w="960" w:type="dxa"/>
            <w:tcBorders>
              <w:top w:val="nil"/>
              <w:left w:val="nil"/>
              <w:bottom w:val="single" w:sz="4" w:space="0" w:color="auto"/>
              <w:right w:val="single" w:sz="8" w:space="0" w:color="auto"/>
            </w:tcBorders>
            <w:shd w:val="clear" w:color="auto" w:fill="auto"/>
            <w:noWrap/>
            <w:vAlign w:val="center"/>
            <w:hideMark/>
          </w:tcPr>
          <w:p w:rsidR="0031605E" w:rsidRPr="0031605E" w:rsidRDefault="0031605E" w:rsidP="00E17A00">
            <w:pPr>
              <w:spacing w:after="0" w:line="240" w:lineRule="auto"/>
              <w:rPr>
                <w:rFonts w:ascii="Calibri" w:eastAsia="Times New Roman" w:hAnsi="Calibri" w:cs="Calibri"/>
                <w:color w:val="000000"/>
                <w:lang w:eastAsia="en-IE"/>
              </w:rPr>
            </w:pPr>
            <w:r w:rsidRPr="0031605E">
              <w:rPr>
                <w:rFonts w:ascii="Calibri" w:eastAsia="Times New Roman" w:hAnsi="Calibri" w:cs="Calibri"/>
                <w:color w:val="000000"/>
                <w:lang w:eastAsia="en-IE"/>
              </w:rPr>
              <w:t>31</w:t>
            </w:r>
          </w:p>
        </w:tc>
      </w:tr>
      <w:tr w:rsidR="0031605E" w:rsidRPr="0031605E" w:rsidTr="00E17A00">
        <w:trPr>
          <w:trHeight w:val="411"/>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1605E" w:rsidRPr="0031605E" w:rsidRDefault="0031605E" w:rsidP="00E17A00">
            <w:pPr>
              <w:spacing w:after="0" w:line="240" w:lineRule="auto"/>
              <w:rPr>
                <w:rFonts w:ascii="Calibri" w:eastAsia="Times New Roman" w:hAnsi="Calibri" w:cs="Calibri"/>
                <w:color w:val="000000"/>
                <w:lang w:eastAsia="en-IE"/>
              </w:rPr>
            </w:pPr>
          </w:p>
        </w:tc>
        <w:tc>
          <w:tcPr>
            <w:tcW w:w="960" w:type="dxa"/>
            <w:tcBorders>
              <w:top w:val="nil"/>
              <w:left w:val="nil"/>
              <w:bottom w:val="single" w:sz="4" w:space="0" w:color="auto"/>
              <w:right w:val="single" w:sz="4" w:space="0" w:color="auto"/>
            </w:tcBorders>
            <w:shd w:val="clear" w:color="auto" w:fill="auto"/>
            <w:vAlign w:val="center"/>
            <w:hideMark/>
          </w:tcPr>
          <w:p w:rsidR="0031605E" w:rsidRPr="0031605E" w:rsidRDefault="0031605E" w:rsidP="00E17A00">
            <w:pPr>
              <w:spacing w:after="0" w:line="240" w:lineRule="auto"/>
              <w:rPr>
                <w:rFonts w:ascii="Calibri" w:eastAsia="Times New Roman" w:hAnsi="Calibri" w:cs="Calibri"/>
                <w:color w:val="000000"/>
                <w:lang w:eastAsia="en-IE"/>
              </w:rPr>
            </w:pPr>
            <w:r w:rsidRPr="0031605E">
              <w:rPr>
                <w:rFonts w:ascii="Calibri" w:eastAsia="Times New Roman" w:hAnsi="Calibri" w:cs="Calibri"/>
                <w:color w:val="000000"/>
                <w:lang w:eastAsia="en-IE"/>
              </w:rPr>
              <w:t>Missing</w:t>
            </w:r>
          </w:p>
        </w:tc>
        <w:tc>
          <w:tcPr>
            <w:tcW w:w="960" w:type="dxa"/>
            <w:tcBorders>
              <w:top w:val="nil"/>
              <w:left w:val="nil"/>
              <w:bottom w:val="single" w:sz="4" w:space="0" w:color="auto"/>
              <w:right w:val="single" w:sz="4" w:space="0" w:color="auto"/>
            </w:tcBorders>
            <w:shd w:val="clear" w:color="auto" w:fill="auto"/>
            <w:vAlign w:val="center"/>
            <w:hideMark/>
          </w:tcPr>
          <w:p w:rsidR="0031605E" w:rsidRPr="0031605E" w:rsidRDefault="0031605E" w:rsidP="00E17A00">
            <w:pPr>
              <w:spacing w:after="0" w:line="240" w:lineRule="auto"/>
              <w:rPr>
                <w:rFonts w:ascii="Calibri" w:eastAsia="Times New Roman" w:hAnsi="Calibri" w:cs="Calibri"/>
                <w:color w:val="000000"/>
                <w:lang w:eastAsia="en-IE"/>
              </w:rPr>
            </w:pPr>
            <w:r w:rsidRPr="0031605E">
              <w:rPr>
                <w:rFonts w:ascii="Calibri" w:eastAsia="Times New Roman" w:hAnsi="Calibri" w:cs="Calibri"/>
                <w:color w:val="000000"/>
                <w:lang w:eastAsia="en-IE"/>
              </w:rPr>
              <w:t>0</w:t>
            </w:r>
          </w:p>
        </w:tc>
        <w:tc>
          <w:tcPr>
            <w:tcW w:w="960" w:type="dxa"/>
            <w:tcBorders>
              <w:top w:val="nil"/>
              <w:left w:val="nil"/>
              <w:bottom w:val="single" w:sz="4" w:space="0" w:color="auto"/>
              <w:right w:val="single" w:sz="4" w:space="0" w:color="auto"/>
            </w:tcBorders>
            <w:shd w:val="clear" w:color="auto" w:fill="auto"/>
            <w:vAlign w:val="center"/>
            <w:hideMark/>
          </w:tcPr>
          <w:p w:rsidR="0031605E" w:rsidRPr="0031605E" w:rsidRDefault="0031605E" w:rsidP="00E17A00">
            <w:pPr>
              <w:spacing w:after="0" w:line="240" w:lineRule="auto"/>
              <w:rPr>
                <w:rFonts w:ascii="Calibri" w:eastAsia="Times New Roman" w:hAnsi="Calibri" w:cs="Calibri"/>
                <w:color w:val="000000"/>
                <w:lang w:eastAsia="en-IE"/>
              </w:rPr>
            </w:pPr>
            <w:r w:rsidRPr="0031605E">
              <w:rPr>
                <w:rFonts w:ascii="Calibri" w:eastAsia="Times New Roman" w:hAnsi="Calibri" w:cs="Calibri"/>
                <w:color w:val="000000"/>
                <w:lang w:eastAsia="en-IE"/>
              </w:rPr>
              <w:t>0</w:t>
            </w:r>
          </w:p>
        </w:tc>
        <w:tc>
          <w:tcPr>
            <w:tcW w:w="620" w:type="dxa"/>
            <w:tcBorders>
              <w:top w:val="nil"/>
              <w:left w:val="nil"/>
              <w:bottom w:val="single" w:sz="4" w:space="0" w:color="auto"/>
              <w:right w:val="single" w:sz="4" w:space="0" w:color="auto"/>
            </w:tcBorders>
            <w:shd w:val="clear" w:color="auto" w:fill="auto"/>
            <w:vAlign w:val="center"/>
            <w:hideMark/>
          </w:tcPr>
          <w:p w:rsidR="0031605E" w:rsidRPr="0031605E" w:rsidRDefault="0031605E" w:rsidP="00E17A00">
            <w:pPr>
              <w:spacing w:after="0" w:line="240" w:lineRule="auto"/>
              <w:rPr>
                <w:rFonts w:ascii="Calibri" w:eastAsia="Times New Roman" w:hAnsi="Calibri" w:cs="Calibri"/>
                <w:color w:val="000000"/>
                <w:lang w:eastAsia="en-IE"/>
              </w:rPr>
            </w:pPr>
            <w:r w:rsidRPr="0031605E">
              <w:rPr>
                <w:rFonts w:ascii="Calibri" w:eastAsia="Times New Roman" w:hAnsi="Calibri" w:cs="Calibri"/>
                <w:color w:val="000000"/>
                <w:lang w:eastAsia="en-IE"/>
              </w:rPr>
              <w:t>0</w:t>
            </w:r>
          </w:p>
        </w:tc>
        <w:tc>
          <w:tcPr>
            <w:tcW w:w="960" w:type="dxa"/>
            <w:tcBorders>
              <w:top w:val="nil"/>
              <w:left w:val="nil"/>
              <w:bottom w:val="single" w:sz="4" w:space="0" w:color="auto"/>
              <w:right w:val="single" w:sz="4" w:space="0" w:color="auto"/>
            </w:tcBorders>
            <w:shd w:val="clear" w:color="auto" w:fill="auto"/>
            <w:noWrap/>
            <w:vAlign w:val="center"/>
            <w:hideMark/>
          </w:tcPr>
          <w:p w:rsidR="0031605E" w:rsidRPr="0031605E" w:rsidRDefault="0031605E" w:rsidP="00E17A00">
            <w:pPr>
              <w:spacing w:after="0" w:line="240" w:lineRule="auto"/>
              <w:rPr>
                <w:rFonts w:ascii="Calibri" w:eastAsia="Times New Roman" w:hAnsi="Calibri" w:cs="Calibri"/>
                <w:color w:val="000000"/>
                <w:lang w:eastAsia="en-IE"/>
              </w:rPr>
            </w:pPr>
            <w:r w:rsidRPr="0031605E">
              <w:rPr>
                <w:rFonts w:ascii="Calibri" w:eastAsia="Times New Roman" w:hAnsi="Calibri" w:cs="Calibri"/>
                <w:color w:val="000000"/>
                <w:lang w:eastAsia="en-IE"/>
              </w:rPr>
              <w:t>0</w:t>
            </w:r>
          </w:p>
        </w:tc>
        <w:tc>
          <w:tcPr>
            <w:tcW w:w="960" w:type="dxa"/>
            <w:tcBorders>
              <w:top w:val="nil"/>
              <w:left w:val="nil"/>
              <w:bottom w:val="single" w:sz="4" w:space="0" w:color="auto"/>
              <w:right w:val="single" w:sz="8" w:space="0" w:color="auto"/>
            </w:tcBorders>
            <w:shd w:val="clear" w:color="auto" w:fill="auto"/>
            <w:noWrap/>
            <w:vAlign w:val="center"/>
            <w:hideMark/>
          </w:tcPr>
          <w:p w:rsidR="0031605E" w:rsidRPr="0031605E" w:rsidRDefault="0031605E" w:rsidP="00E17A00">
            <w:pPr>
              <w:spacing w:after="0" w:line="240" w:lineRule="auto"/>
              <w:rPr>
                <w:rFonts w:ascii="Calibri" w:eastAsia="Times New Roman" w:hAnsi="Calibri" w:cs="Calibri"/>
                <w:color w:val="000000"/>
                <w:lang w:eastAsia="en-IE"/>
              </w:rPr>
            </w:pPr>
            <w:r w:rsidRPr="0031605E">
              <w:rPr>
                <w:rFonts w:ascii="Calibri" w:eastAsia="Times New Roman" w:hAnsi="Calibri" w:cs="Calibri"/>
                <w:color w:val="000000"/>
                <w:lang w:eastAsia="en-IE"/>
              </w:rPr>
              <w:t>0</w:t>
            </w:r>
          </w:p>
        </w:tc>
      </w:tr>
      <w:tr w:rsidR="0031605E" w:rsidRPr="0031605E" w:rsidTr="00E17A00">
        <w:trPr>
          <w:trHeight w:val="417"/>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1605E" w:rsidRPr="0031605E" w:rsidRDefault="0031605E" w:rsidP="00E17A00">
            <w:pPr>
              <w:spacing w:after="0" w:line="240" w:lineRule="auto"/>
              <w:rPr>
                <w:rFonts w:ascii="Calibri" w:eastAsia="Times New Roman" w:hAnsi="Calibri" w:cs="Calibri"/>
                <w:b/>
                <w:bCs/>
                <w:color w:val="000000"/>
                <w:lang w:eastAsia="en-IE"/>
              </w:rPr>
            </w:pPr>
            <w:r w:rsidRPr="0031605E">
              <w:rPr>
                <w:rFonts w:ascii="Calibri" w:eastAsia="Times New Roman" w:hAnsi="Calibri" w:cs="Calibri"/>
                <w:b/>
                <w:bCs/>
                <w:color w:val="000000"/>
                <w:lang w:eastAsia="en-IE"/>
              </w:rPr>
              <w:t>Average</w:t>
            </w:r>
          </w:p>
        </w:tc>
        <w:tc>
          <w:tcPr>
            <w:tcW w:w="960" w:type="dxa"/>
            <w:tcBorders>
              <w:top w:val="nil"/>
              <w:left w:val="nil"/>
              <w:bottom w:val="single" w:sz="4" w:space="0" w:color="auto"/>
              <w:right w:val="single" w:sz="4" w:space="0" w:color="auto"/>
            </w:tcBorders>
            <w:shd w:val="clear" w:color="auto" w:fill="auto"/>
            <w:vAlign w:val="center"/>
            <w:hideMark/>
          </w:tcPr>
          <w:p w:rsidR="0031605E" w:rsidRPr="0031605E" w:rsidRDefault="0031605E" w:rsidP="00E17A00">
            <w:pPr>
              <w:spacing w:after="0" w:line="240" w:lineRule="auto"/>
              <w:rPr>
                <w:rFonts w:ascii="Calibri" w:eastAsia="Times New Roman" w:hAnsi="Calibri" w:cs="Calibri"/>
                <w:b/>
                <w:bCs/>
                <w:color w:val="000000"/>
                <w:lang w:eastAsia="en-IE"/>
              </w:rPr>
            </w:pPr>
            <w:r w:rsidRPr="0031605E">
              <w:rPr>
                <w:rFonts w:ascii="Calibri" w:eastAsia="Times New Roman" w:hAnsi="Calibri" w:cs="Calibri"/>
                <w:b/>
                <w:bCs/>
                <w:color w:val="000000"/>
                <w:lang w:eastAsia="en-IE"/>
              </w:rPr>
              <w:t>Median</w:t>
            </w:r>
          </w:p>
        </w:tc>
        <w:tc>
          <w:tcPr>
            <w:tcW w:w="960" w:type="dxa"/>
            <w:tcBorders>
              <w:top w:val="nil"/>
              <w:left w:val="nil"/>
              <w:bottom w:val="single" w:sz="4" w:space="0" w:color="auto"/>
              <w:right w:val="single" w:sz="4" w:space="0" w:color="auto"/>
            </w:tcBorders>
            <w:shd w:val="clear" w:color="auto" w:fill="auto"/>
            <w:vAlign w:val="center"/>
            <w:hideMark/>
          </w:tcPr>
          <w:p w:rsidR="0031605E" w:rsidRPr="0031605E" w:rsidRDefault="0031605E" w:rsidP="00E17A00">
            <w:pPr>
              <w:spacing w:after="0" w:line="240" w:lineRule="auto"/>
              <w:rPr>
                <w:rFonts w:ascii="Calibri" w:eastAsia="Times New Roman" w:hAnsi="Calibri" w:cs="Calibri"/>
                <w:b/>
                <w:bCs/>
                <w:color w:val="000000"/>
                <w:lang w:eastAsia="en-IE"/>
              </w:rPr>
            </w:pPr>
            <w:r w:rsidRPr="0031605E">
              <w:rPr>
                <w:rFonts w:ascii="Calibri" w:eastAsia="Times New Roman" w:hAnsi="Calibri" w:cs="Calibri"/>
                <w:b/>
                <w:bCs/>
                <w:color w:val="000000"/>
                <w:lang w:eastAsia="en-IE"/>
              </w:rPr>
              <w:t>19.90</w:t>
            </w:r>
          </w:p>
        </w:tc>
        <w:tc>
          <w:tcPr>
            <w:tcW w:w="960" w:type="dxa"/>
            <w:tcBorders>
              <w:top w:val="nil"/>
              <w:left w:val="nil"/>
              <w:bottom w:val="single" w:sz="4" w:space="0" w:color="auto"/>
              <w:right w:val="single" w:sz="4" w:space="0" w:color="auto"/>
            </w:tcBorders>
            <w:shd w:val="clear" w:color="auto" w:fill="auto"/>
            <w:vAlign w:val="center"/>
            <w:hideMark/>
          </w:tcPr>
          <w:p w:rsidR="0031605E" w:rsidRPr="0031605E" w:rsidRDefault="0031605E" w:rsidP="00E17A00">
            <w:pPr>
              <w:spacing w:after="0" w:line="240" w:lineRule="auto"/>
              <w:rPr>
                <w:rFonts w:ascii="Calibri" w:eastAsia="Times New Roman" w:hAnsi="Calibri" w:cs="Calibri"/>
                <w:b/>
                <w:bCs/>
                <w:color w:val="000000"/>
                <w:lang w:eastAsia="en-IE"/>
              </w:rPr>
            </w:pPr>
            <w:r w:rsidRPr="0031605E">
              <w:rPr>
                <w:rFonts w:ascii="Calibri" w:eastAsia="Times New Roman" w:hAnsi="Calibri" w:cs="Calibri"/>
                <w:b/>
                <w:bCs/>
                <w:color w:val="000000"/>
                <w:lang w:eastAsia="en-IE"/>
              </w:rPr>
              <w:t>19.36</w:t>
            </w:r>
          </w:p>
        </w:tc>
        <w:tc>
          <w:tcPr>
            <w:tcW w:w="620" w:type="dxa"/>
            <w:tcBorders>
              <w:top w:val="nil"/>
              <w:left w:val="nil"/>
              <w:bottom w:val="single" w:sz="4" w:space="0" w:color="auto"/>
              <w:right w:val="single" w:sz="4" w:space="0" w:color="auto"/>
            </w:tcBorders>
            <w:shd w:val="clear" w:color="auto" w:fill="auto"/>
            <w:vAlign w:val="center"/>
            <w:hideMark/>
          </w:tcPr>
          <w:p w:rsidR="0031605E" w:rsidRPr="0031605E" w:rsidRDefault="0031605E" w:rsidP="00E17A00">
            <w:pPr>
              <w:spacing w:after="0" w:line="240" w:lineRule="auto"/>
              <w:rPr>
                <w:rFonts w:ascii="Calibri" w:eastAsia="Times New Roman" w:hAnsi="Calibri" w:cs="Calibri"/>
                <w:b/>
                <w:bCs/>
                <w:color w:val="000000"/>
                <w:lang w:eastAsia="en-IE"/>
              </w:rPr>
            </w:pPr>
            <w:r w:rsidRPr="0031605E">
              <w:rPr>
                <w:rFonts w:ascii="Calibri" w:eastAsia="Times New Roman" w:hAnsi="Calibri" w:cs="Calibri"/>
                <w:b/>
                <w:bCs/>
                <w:color w:val="000000"/>
                <w:lang w:eastAsia="en-IE"/>
              </w:rPr>
              <w:t>19.19</w:t>
            </w:r>
          </w:p>
        </w:tc>
        <w:tc>
          <w:tcPr>
            <w:tcW w:w="960" w:type="dxa"/>
            <w:tcBorders>
              <w:top w:val="nil"/>
              <w:left w:val="nil"/>
              <w:bottom w:val="single" w:sz="4" w:space="0" w:color="auto"/>
              <w:right w:val="single" w:sz="4" w:space="0" w:color="auto"/>
            </w:tcBorders>
            <w:shd w:val="clear" w:color="auto" w:fill="auto"/>
            <w:noWrap/>
            <w:vAlign w:val="center"/>
            <w:hideMark/>
          </w:tcPr>
          <w:p w:rsidR="0031605E" w:rsidRPr="0031605E" w:rsidRDefault="0031605E" w:rsidP="00E17A00">
            <w:pPr>
              <w:spacing w:after="0" w:line="240" w:lineRule="auto"/>
              <w:rPr>
                <w:rFonts w:ascii="Calibri" w:eastAsia="Times New Roman" w:hAnsi="Calibri" w:cs="Calibri"/>
                <w:b/>
                <w:color w:val="000000"/>
                <w:lang w:eastAsia="en-IE"/>
              </w:rPr>
            </w:pPr>
            <w:r w:rsidRPr="0031605E">
              <w:rPr>
                <w:rFonts w:ascii="Calibri" w:eastAsia="Times New Roman" w:hAnsi="Calibri" w:cs="Calibri"/>
                <w:b/>
                <w:color w:val="000000"/>
                <w:lang w:eastAsia="en-IE"/>
              </w:rPr>
              <w:t>19.86</w:t>
            </w:r>
          </w:p>
        </w:tc>
        <w:tc>
          <w:tcPr>
            <w:tcW w:w="960" w:type="dxa"/>
            <w:tcBorders>
              <w:top w:val="nil"/>
              <w:left w:val="nil"/>
              <w:bottom w:val="single" w:sz="4" w:space="0" w:color="auto"/>
              <w:right w:val="single" w:sz="8" w:space="0" w:color="auto"/>
            </w:tcBorders>
            <w:shd w:val="clear" w:color="auto" w:fill="auto"/>
            <w:noWrap/>
            <w:vAlign w:val="center"/>
            <w:hideMark/>
          </w:tcPr>
          <w:p w:rsidR="0031605E" w:rsidRPr="0031605E" w:rsidRDefault="0031605E" w:rsidP="00E17A00">
            <w:pPr>
              <w:spacing w:after="0" w:line="240" w:lineRule="auto"/>
              <w:rPr>
                <w:rFonts w:ascii="Calibri" w:eastAsia="Times New Roman" w:hAnsi="Calibri" w:cs="Calibri"/>
                <w:b/>
                <w:color w:val="000000"/>
                <w:lang w:eastAsia="en-IE"/>
              </w:rPr>
            </w:pPr>
            <w:r w:rsidRPr="0031605E">
              <w:rPr>
                <w:rFonts w:ascii="Calibri" w:eastAsia="Times New Roman" w:hAnsi="Calibri" w:cs="Calibri"/>
                <w:b/>
                <w:color w:val="000000"/>
                <w:lang w:eastAsia="en-IE"/>
              </w:rPr>
              <w:t>17.71</w:t>
            </w:r>
          </w:p>
        </w:tc>
      </w:tr>
      <w:tr w:rsidR="0031605E" w:rsidRPr="0031605E" w:rsidTr="00E17A00">
        <w:trPr>
          <w:trHeight w:val="416"/>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31605E" w:rsidRPr="0031605E" w:rsidRDefault="0031605E" w:rsidP="00E17A00">
            <w:pPr>
              <w:spacing w:after="0" w:line="240" w:lineRule="auto"/>
              <w:rPr>
                <w:rFonts w:ascii="Calibri" w:eastAsia="Times New Roman" w:hAnsi="Calibri" w:cs="Calibri"/>
                <w:color w:val="000000"/>
                <w:lang w:eastAsia="en-IE"/>
              </w:rPr>
            </w:pPr>
          </w:p>
        </w:tc>
        <w:tc>
          <w:tcPr>
            <w:tcW w:w="960" w:type="dxa"/>
            <w:tcBorders>
              <w:top w:val="nil"/>
              <w:left w:val="nil"/>
              <w:bottom w:val="single" w:sz="8" w:space="0" w:color="auto"/>
              <w:right w:val="single" w:sz="4" w:space="0" w:color="auto"/>
            </w:tcBorders>
            <w:shd w:val="clear" w:color="auto" w:fill="auto"/>
            <w:vAlign w:val="center"/>
            <w:hideMark/>
          </w:tcPr>
          <w:p w:rsidR="0031605E" w:rsidRPr="0031605E" w:rsidRDefault="0031605E" w:rsidP="00E17A00">
            <w:pPr>
              <w:spacing w:after="0" w:line="240" w:lineRule="auto"/>
              <w:rPr>
                <w:rFonts w:ascii="Calibri" w:eastAsia="Times New Roman" w:hAnsi="Calibri" w:cs="Calibri"/>
                <w:color w:val="000000"/>
                <w:lang w:eastAsia="en-IE"/>
              </w:rPr>
            </w:pPr>
            <w:r w:rsidRPr="0031605E">
              <w:rPr>
                <w:rFonts w:ascii="Calibri" w:eastAsia="Times New Roman" w:hAnsi="Calibri" w:cs="Calibri"/>
                <w:color w:val="000000"/>
                <w:lang w:eastAsia="en-IE"/>
              </w:rPr>
              <w:t>Mean</w:t>
            </w:r>
          </w:p>
        </w:tc>
        <w:tc>
          <w:tcPr>
            <w:tcW w:w="960" w:type="dxa"/>
            <w:tcBorders>
              <w:top w:val="nil"/>
              <w:left w:val="nil"/>
              <w:bottom w:val="single" w:sz="8" w:space="0" w:color="auto"/>
              <w:right w:val="single" w:sz="4" w:space="0" w:color="auto"/>
            </w:tcBorders>
            <w:shd w:val="clear" w:color="auto" w:fill="auto"/>
            <w:vAlign w:val="center"/>
            <w:hideMark/>
          </w:tcPr>
          <w:p w:rsidR="0031605E" w:rsidRPr="0031605E" w:rsidRDefault="0031605E" w:rsidP="00E17A00">
            <w:pPr>
              <w:spacing w:after="0" w:line="240" w:lineRule="auto"/>
              <w:rPr>
                <w:rFonts w:ascii="Calibri" w:eastAsia="Times New Roman" w:hAnsi="Calibri" w:cs="Calibri"/>
                <w:color w:val="000000"/>
                <w:lang w:eastAsia="en-IE"/>
              </w:rPr>
            </w:pPr>
            <w:r w:rsidRPr="0031605E">
              <w:rPr>
                <w:rFonts w:ascii="Calibri" w:eastAsia="Times New Roman" w:hAnsi="Calibri" w:cs="Calibri"/>
                <w:color w:val="000000"/>
                <w:lang w:eastAsia="en-IE"/>
              </w:rPr>
              <w:t>24.80</w:t>
            </w:r>
          </w:p>
        </w:tc>
        <w:tc>
          <w:tcPr>
            <w:tcW w:w="960" w:type="dxa"/>
            <w:tcBorders>
              <w:top w:val="nil"/>
              <w:left w:val="nil"/>
              <w:bottom w:val="single" w:sz="8" w:space="0" w:color="auto"/>
              <w:right w:val="single" w:sz="4" w:space="0" w:color="auto"/>
            </w:tcBorders>
            <w:shd w:val="clear" w:color="auto" w:fill="auto"/>
            <w:vAlign w:val="center"/>
            <w:hideMark/>
          </w:tcPr>
          <w:p w:rsidR="0031605E" w:rsidRPr="0031605E" w:rsidRDefault="0031605E" w:rsidP="00E17A00">
            <w:pPr>
              <w:spacing w:after="0" w:line="240" w:lineRule="auto"/>
              <w:rPr>
                <w:rFonts w:ascii="Calibri" w:eastAsia="Times New Roman" w:hAnsi="Calibri" w:cs="Calibri"/>
                <w:color w:val="000000"/>
                <w:lang w:eastAsia="en-IE"/>
              </w:rPr>
            </w:pPr>
            <w:r w:rsidRPr="0031605E">
              <w:rPr>
                <w:rFonts w:ascii="Calibri" w:eastAsia="Times New Roman" w:hAnsi="Calibri" w:cs="Calibri"/>
                <w:color w:val="000000"/>
                <w:lang w:eastAsia="en-IE"/>
              </w:rPr>
              <w:t>22.00</w:t>
            </w:r>
          </w:p>
        </w:tc>
        <w:tc>
          <w:tcPr>
            <w:tcW w:w="620" w:type="dxa"/>
            <w:tcBorders>
              <w:top w:val="nil"/>
              <w:left w:val="nil"/>
              <w:bottom w:val="single" w:sz="8" w:space="0" w:color="auto"/>
              <w:right w:val="single" w:sz="4" w:space="0" w:color="auto"/>
            </w:tcBorders>
            <w:shd w:val="clear" w:color="auto" w:fill="auto"/>
            <w:vAlign w:val="center"/>
            <w:hideMark/>
          </w:tcPr>
          <w:p w:rsidR="0031605E" w:rsidRPr="0031605E" w:rsidRDefault="0031605E" w:rsidP="00E17A00">
            <w:pPr>
              <w:spacing w:after="0" w:line="240" w:lineRule="auto"/>
              <w:rPr>
                <w:rFonts w:ascii="Calibri" w:eastAsia="Times New Roman" w:hAnsi="Calibri" w:cs="Calibri"/>
                <w:color w:val="000000"/>
                <w:lang w:eastAsia="en-IE"/>
              </w:rPr>
            </w:pPr>
            <w:r w:rsidRPr="0031605E">
              <w:rPr>
                <w:rFonts w:ascii="Calibri" w:eastAsia="Times New Roman" w:hAnsi="Calibri" w:cs="Calibri"/>
                <w:color w:val="000000"/>
                <w:lang w:eastAsia="en-IE"/>
              </w:rPr>
              <w:t>22.60</w:t>
            </w:r>
          </w:p>
        </w:tc>
        <w:tc>
          <w:tcPr>
            <w:tcW w:w="960" w:type="dxa"/>
            <w:tcBorders>
              <w:top w:val="nil"/>
              <w:left w:val="nil"/>
              <w:bottom w:val="single" w:sz="8" w:space="0" w:color="auto"/>
              <w:right w:val="single" w:sz="4" w:space="0" w:color="auto"/>
            </w:tcBorders>
            <w:shd w:val="clear" w:color="auto" w:fill="auto"/>
            <w:noWrap/>
            <w:vAlign w:val="center"/>
            <w:hideMark/>
          </w:tcPr>
          <w:p w:rsidR="0031605E" w:rsidRPr="0031605E" w:rsidRDefault="0031605E" w:rsidP="00E17A00">
            <w:pPr>
              <w:spacing w:after="0" w:line="240" w:lineRule="auto"/>
              <w:rPr>
                <w:rFonts w:ascii="Calibri" w:eastAsia="Times New Roman" w:hAnsi="Calibri" w:cs="Calibri"/>
                <w:color w:val="000000"/>
                <w:lang w:eastAsia="en-IE"/>
              </w:rPr>
            </w:pPr>
            <w:r w:rsidRPr="0031605E">
              <w:rPr>
                <w:rFonts w:ascii="Calibri" w:eastAsia="Times New Roman" w:hAnsi="Calibri" w:cs="Calibri"/>
                <w:color w:val="000000"/>
                <w:lang w:eastAsia="en-IE"/>
              </w:rPr>
              <w:t>22.51</w:t>
            </w:r>
          </w:p>
        </w:tc>
        <w:tc>
          <w:tcPr>
            <w:tcW w:w="960" w:type="dxa"/>
            <w:tcBorders>
              <w:top w:val="nil"/>
              <w:left w:val="nil"/>
              <w:bottom w:val="single" w:sz="8" w:space="0" w:color="auto"/>
              <w:right w:val="single" w:sz="8" w:space="0" w:color="auto"/>
            </w:tcBorders>
            <w:shd w:val="clear" w:color="auto" w:fill="auto"/>
            <w:noWrap/>
            <w:vAlign w:val="center"/>
            <w:hideMark/>
          </w:tcPr>
          <w:p w:rsidR="0031605E" w:rsidRPr="0031605E" w:rsidRDefault="0031605E" w:rsidP="00E17A00">
            <w:pPr>
              <w:spacing w:after="0" w:line="240" w:lineRule="auto"/>
              <w:rPr>
                <w:rFonts w:ascii="Calibri" w:eastAsia="Times New Roman" w:hAnsi="Calibri" w:cs="Calibri"/>
                <w:color w:val="000000"/>
                <w:lang w:eastAsia="en-IE"/>
              </w:rPr>
            </w:pPr>
            <w:r w:rsidRPr="0031605E">
              <w:rPr>
                <w:rFonts w:ascii="Calibri" w:eastAsia="Times New Roman" w:hAnsi="Calibri" w:cs="Calibri"/>
                <w:color w:val="000000"/>
                <w:lang w:eastAsia="en-IE"/>
              </w:rPr>
              <w:t>21.</w:t>
            </w:r>
            <w:r w:rsidR="00677F10">
              <w:rPr>
                <w:rFonts w:ascii="Calibri" w:eastAsia="Times New Roman" w:hAnsi="Calibri" w:cs="Calibri"/>
                <w:color w:val="000000"/>
                <w:lang w:eastAsia="en-IE"/>
              </w:rPr>
              <w:t>81</w:t>
            </w:r>
          </w:p>
        </w:tc>
      </w:tr>
    </w:tbl>
    <w:p w:rsidR="00201EC9" w:rsidRDefault="00201EC9" w:rsidP="00201EC9">
      <w:pPr>
        <w:rPr>
          <w:rFonts w:eastAsia="Times New Roman" w:cstheme="minorHAnsi"/>
          <w:b/>
          <w:bCs/>
          <w:color w:val="000000"/>
          <w:lang w:eastAsia="en-IE"/>
        </w:rPr>
      </w:pPr>
    </w:p>
    <w:p w:rsidR="007B6923" w:rsidRPr="00EC46DC" w:rsidRDefault="00F61F77" w:rsidP="00EC46DC">
      <w:pPr>
        <w:autoSpaceDE w:val="0"/>
        <w:autoSpaceDN w:val="0"/>
        <w:adjustRightInd w:val="0"/>
        <w:spacing w:after="0" w:line="240" w:lineRule="auto"/>
        <w:rPr>
          <w:rFonts w:cstheme="minorHAnsi"/>
          <w:bCs/>
        </w:rPr>
      </w:pPr>
      <w:r>
        <w:rPr>
          <w:rFonts w:cstheme="minorHAnsi"/>
        </w:rPr>
        <w:t xml:space="preserve">*The comparison of data between 2014 and previous years is calculated by comparing the average median and mean of the buildings inspected as a percentage of new buildings notified </w:t>
      </w:r>
      <w:r w:rsidR="00DD6A92">
        <w:rPr>
          <w:rFonts w:cstheme="minorHAnsi"/>
        </w:rPr>
        <w:t xml:space="preserve">in </w:t>
      </w:r>
      <w:r>
        <w:rPr>
          <w:rFonts w:cstheme="minorHAnsi"/>
        </w:rPr>
        <w:t xml:space="preserve">2014 with the buildings inspected as a percentage of new buildings notified to the local authority as recorded in Table 51 </w:t>
      </w:r>
      <w:r w:rsidR="00EC46DC">
        <w:rPr>
          <w:rFonts w:cstheme="minorHAnsi"/>
          <w:b/>
        </w:rPr>
        <w:t xml:space="preserve">- </w:t>
      </w:r>
      <w:r w:rsidR="00EC46DC" w:rsidRPr="003B6145">
        <w:rPr>
          <w:rFonts w:cstheme="minorHAnsi"/>
          <w:bCs/>
        </w:rPr>
        <w:t>Buildings inspected as a percentage of new buildings notified to the local authority</w:t>
      </w:r>
      <w:r w:rsidR="00EC46DC" w:rsidRPr="00EC46DC">
        <w:rPr>
          <w:rFonts w:cstheme="minorHAnsi"/>
          <w:b/>
        </w:rPr>
        <w:t xml:space="preserve"> </w:t>
      </w:r>
      <w:r w:rsidRPr="00EC46DC">
        <w:rPr>
          <w:rFonts w:cstheme="minorHAnsi"/>
        </w:rPr>
        <w:t>(</w:t>
      </w:r>
      <w:r w:rsidR="00EC46DC">
        <w:rPr>
          <w:rFonts w:cstheme="minorHAnsi"/>
        </w:rPr>
        <w:t>Service Indicators in Local Authorities 201</w:t>
      </w:r>
      <w:r w:rsidR="00DD6A92">
        <w:rPr>
          <w:rFonts w:cstheme="minorHAnsi"/>
        </w:rPr>
        <w:t>0 -2013</w:t>
      </w:r>
      <w:r w:rsidRPr="00EC46DC">
        <w:rPr>
          <w:rFonts w:cstheme="minorHAnsi"/>
        </w:rPr>
        <w:t>)</w:t>
      </w:r>
    </w:p>
    <w:p w:rsidR="00B51FD6" w:rsidRPr="00AB182E" w:rsidRDefault="00B51FD6" w:rsidP="007B6923">
      <w:pPr>
        <w:pStyle w:val="PITableHeading"/>
        <w:spacing w:line="276" w:lineRule="auto"/>
        <w:jc w:val="both"/>
        <w:rPr>
          <w:rFonts w:asciiTheme="minorHAnsi" w:hAnsiTheme="minorHAnsi" w:cstheme="minorHAnsi"/>
          <w:b w:val="0"/>
          <w:sz w:val="22"/>
          <w:szCs w:val="22"/>
        </w:rPr>
      </w:pPr>
      <w:proofErr w:type="gramStart"/>
      <w:r w:rsidRPr="00AB182E">
        <w:rPr>
          <w:bCs w:val="0"/>
          <w:sz w:val="22"/>
          <w:szCs w:val="22"/>
        </w:rPr>
        <w:lastRenderedPageBreak/>
        <w:t>Table 1</w:t>
      </w:r>
      <w:r w:rsidR="00B70292">
        <w:rPr>
          <w:bCs w:val="0"/>
          <w:sz w:val="22"/>
          <w:szCs w:val="22"/>
        </w:rPr>
        <w:t>6</w:t>
      </w:r>
      <w:r w:rsidRPr="00AB182E">
        <w:rPr>
          <w:bCs w:val="0"/>
          <w:sz w:val="22"/>
          <w:szCs w:val="22"/>
        </w:rPr>
        <w:t>:</w:t>
      </w:r>
      <w:r w:rsidR="00F61F77" w:rsidRPr="00AB182E">
        <w:rPr>
          <w:rFonts w:cstheme="minorHAnsi"/>
          <w:b w:val="0"/>
          <w:bCs w:val="0"/>
          <w:sz w:val="22"/>
          <w:szCs w:val="22"/>
        </w:rPr>
        <w:t xml:space="preserve"> </w:t>
      </w:r>
      <w:r w:rsidRPr="00AB182E">
        <w:rPr>
          <w:rFonts w:cstheme="minorHAnsi"/>
          <w:b w:val="0"/>
          <w:bCs w:val="0"/>
          <w:sz w:val="22"/>
          <w:szCs w:val="22"/>
        </w:rPr>
        <w:t>Performance of Enforcement within local authorities.</w:t>
      </w:r>
      <w:proofErr w:type="gramEnd"/>
    </w:p>
    <w:tbl>
      <w:tblPr>
        <w:tblStyle w:val="LightGrid-Accent5"/>
        <w:tblW w:w="5000" w:type="pct"/>
        <w:tblLook w:val="04A0" w:firstRow="1" w:lastRow="0" w:firstColumn="1" w:lastColumn="0" w:noHBand="0" w:noVBand="1"/>
      </w:tblPr>
      <w:tblGrid>
        <w:gridCol w:w="2110"/>
        <w:gridCol w:w="1741"/>
        <w:gridCol w:w="1229"/>
        <w:gridCol w:w="828"/>
        <w:gridCol w:w="1057"/>
        <w:gridCol w:w="1094"/>
        <w:gridCol w:w="1183"/>
      </w:tblGrid>
      <w:tr w:rsidR="00B51FD6" w:rsidRPr="005C4524" w:rsidTr="00771880">
        <w:trPr>
          <w:cnfStyle w:val="100000000000" w:firstRow="1" w:lastRow="0" w:firstColumn="0" w:lastColumn="0" w:oddVBand="0" w:evenVBand="0" w:oddHBand="0" w:evenHBand="0" w:firstRowFirstColumn="0" w:firstRowLastColumn="0" w:lastRowFirstColumn="0" w:lastRowLastColumn="0"/>
          <w:trHeight w:val="1341"/>
        </w:trPr>
        <w:tc>
          <w:tcPr>
            <w:cnfStyle w:val="001000000000" w:firstRow="0" w:lastRow="0" w:firstColumn="1" w:lastColumn="0" w:oddVBand="0" w:evenVBand="0" w:oddHBand="0" w:evenHBand="0" w:firstRowFirstColumn="0" w:firstRowLastColumn="0" w:lastRowFirstColumn="0" w:lastRowLastColumn="0"/>
            <w:tcW w:w="1141" w:type="pct"/>
            <w:noWrap/>
            <w:vAlign w:val="center"/>
            <w:hideMark/>
          </w:tcPr>
          <w:p w:rsidR="00B51FD6" w:rsidRPr="00D36D20" w:rsidRDefault="00D36D20" w:rsidP="00771880">
            <w:pPr>
              <w:rPr>
                <w:rFonts w:asciiTheme="minorHAnsi" w:eastAsia="Times New Roman" w:hAnsiTheme="minorHAnsi" w:cstheme="minorHAnsi"/>
                <w:color w:val="000000"/>
                <w:sz w:val="18"/>
                <w:szCs w:val="18"/>
                <w:lang w:eastAsia="en-IE"/>
              </w:rPr>
            </w:pPr>
            <w:r w:rsidRPr="00D36D20">
              <w:rPr>
                <w:rFonts w:asciiTheme="minorHAnsi" w:eastAsia="Times New Roman" w:hAnsiTheme="minorHAnsi" w:cstheme="minorHAnsi"/>
                <w:color w:val="000000"/>
                <w:sz w:val="18"/>
                <w:szCs w:val="18"/>
                <w:lang w:eastAsia="en-IE"/>
              </w:rPr>
              <w:t>Authority</w:t>
            </w:r>
          </w:p>
        </w:tc>
        <w:tc>
          <w:tcPr>
            <w:tcW w:w="942" w:type="pct"/>
            <w:vAlign w:val="center"/>
            <w:hideMark/>
          </w:tcPr>
          <w:p w:rsidR="00B51FD6" w:rsidRPr="005C4524" w:rsidRDefault="00B51FD6" w:rsidP="0077188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C4524">
              <w:rPr>
                <w:rFonts w:asciiTheme="minorHAnsi" w:hAnsiTheme="minorHAnsi" w:cstheme="minorHAnsi"/>
                <w:sz w:val="18"/>
                <w:szCs w:val="18"/>
              </w:rPr>
              <w:t>Total number of planning enforcement cases referred/initiated 1/1/2014 to 31/12/2014</w:t>
            </w:r>
          </w:p>
        </w:tc>
        <w:tc>
          <w:tcPr>
            <w:tcW w:w="665" w:type="pct"/>
            <w:vAlign w:val="center"/>
            <w:hideMark/>
          </w:tcPr>
          <w:p w:rsidR="00B51FD6" w:rsidRPr="005C4524" w:rsidRDefault="00B51FD6" w:rsidP="00771880">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IE"/>
              </w:rPr>
            </w:pPr>
            <w:r w:rsidRPr="005C4524">
              <w:rPr>
                <w:rFonts w:asciiTheme="minorHAnsi" w:hAnsiTheme="minorHAnsi" w:cstheme="minorHAnsi"/>
                <w:sz w:val="18"/>
                <w:szCs w:val="18"/>
              </w:rPr>
              <w:t>Total number of planning cases being investigated as at 31/12/2014</w:t>
            </w:r>
          </w:p>
        </w:tc>
        <w:tc>
          <w:tcPr>
            <w:tcW w:w="448" w:type="pct"/>
            <w:vAlign w:val="center"/>
            <w:hideMark/>
          </w:tcPr>
          <w:p w:rsidR="00B51FD6" w:rsidRPr="005C4524" w:rsidRDefault="00B51FD6" w:rsidP="00771880">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IE"/>
              </w:rPr>
            </w:pPr>
            <w:r>
              <w:rPr>
                <w:rFonts w:asciiTheme="minorHAnsi" w:hAnsiTheme="minorHAnsi" w:cstheme="minorHAnsi"/>
                <w:sz w:val="18"/>
                <w:szCs w:val="18"/>
              </w:rPr>
              <w:t>Total N</w:t>
            </w:r>
            <w:r w:rsidR="00521A16">
              <w:rPr>
                <w:rFonts w:asciiTheme="minorHAnsi" w:hAnsiTheme="minorHAnsi" w:cstheme="minorHAnsi"/>
                <w:sz w:val="18"/>
                <w:szCs w:val="18"/>
              </w:rPr>
              <w:t>o.</w:t>
            </w:r>
            <w:r w:rsidRPr="005C4524">
              <w:rPr>
                <w:rFonts w:asciiTheme="minorHAnsi" w:hAnsiTheme="minorHAnsi" w:cstheme="minorHAnsi"/>
                <w:sz w:val="18"/>
                <w:szCs w:val="18"/>
              </w:rPr>
              <w:t xml:space="preserve"> of cases closed during 2014</w:t>
            </w:r>
          </w:p>
        </w:tc>
        <w:tc>
          <w:tcPr>
            <w:tcW w:w="572" w:type="pct"/>
            <w:vAlign w:val="center"/>
            <w:hideMark/>
          </w:tcPr>
          <w:p w:rsidR="00B51FD6" w:rsidRPr="005C4524" w:rsidRDefault="00521A16"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IE"/>
              </w:rPr>
            </w:pPr>
            <w:r>
              <w:rPr>
                <w:rFonts w:asciiTheme="minorHAnsi" w:hAnsiTheme="minorHAnsi" w:cstheme="minorHAnsi"/>
                <w:sz w:val="18"/>
                <w:szCs w:val="18"/>
              </w:rPr>
              <w:t>% of</w:t>
            </w:r>
            <w:r w:rsidR="001453F5">
              <w:rPr>
                <w:rFonts w:asciiTheme="minorHAnsi" w:hAnsiTheme="minorHAnsi" w:cstheme="minorHAnsi"/>
                <w:sz w:val="18"/>
                <w:szCs w:val="18"/>
              </w:rPr>
              <w:t xml:space="preserve"> </w:t>
            </w:r>
            <w:r w:rsidR="0059278E">
              <w:rPr>
                <w:rFonts w:asciiTheme="minorHAnsi" w:hAnsiTheme="minorHAnsi" w:cstheme="minorHAnsi"/>
                <w:sz w:val="18"/>
                <w:szCs w:val="18"/>
              </w:rPr>
              <w:t xml:space="preserve">the </w:t>
            </w:r>
            <w:r w:rsidR="001453F5">
              <w:rPr>
                <w:rFonts w:asciiTheme="minorHAnsi" w:hAnsiTheme="minorHAnsi" w:cstheme="minorHAnsi"/>
                <w:sz w:val="18"/>
                <w:szCs w:val="18"/>
              </w:rPr>
              <w:t>closed</w:t>
            </w:r>
            <w:r w:rsidR="00B51FD6" w:rsidRPr="005C4524">
              <w:rPr>
                <w:rFonts w:asciiTheme="minorHAnsi" w:hAnsiTheme="minorHAnsi" w:cstheme="minorHAnsi"/>
                <w:sz w:val="18"/>
                <w:szCs w:val="18"/>
              </w:rPr>
              <w:t xml:space="preserve"> cases  that were dismissed</w:t>
            </w:r>
          </w:p>
        </w:tc>
        <w:tc>
          <w:tcPr>
            <w:tcW w:w="592" w:type="pct"/>
            <w:vAlign w:val="center"/>
            <w:hideMark/>
          </w:tcPr>
          <w:p w:rsidR="00B51FD6" w:rsidRPr="005C4524" w:rsidRDefault="00521A16"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IE"/>
              </w:rPr>
            </w:pPr>
            <w:r>
              <w:rPr>
                <w:rFonts w:asciiTheme="minorHAnsi" w:eastAsia="Times New Roman" w:hAnsiTheme="minorHAnsi" w:cstheme="minorHAnsi"/>
                <w:color w:val="000000"/>
                <w:sz w:val="18"/>
                <w:szCs w:val="18"/>
                <w:lang w:eastAsia="en-IE"/>
              </w:rPr>
              <w:t>% of</w:t>
            </w:r>
            <w:r w:rsidR="00B51FD6" w:rsidRPr="005C4524">
              <w:rPr>
                <w:rFonts w:asciiTheme="minorHAnsi" w:eastAsia="Times New Roman" w:hAnsiTheme="minorHAnsi" w:cstheme="minorHAnsi"/>
                <w:color w:val="000000"/>
                <w:sz w:val="18"/>
                <w:szCs w:val="18"/>
                <w:lang w:eastAsia="en-IE"/>
              </w:rPr>
              <w:t xml:space="preserve"> </w:t>
            </w:r>
            <w:r w:rsidR="001453F5">
              <w:rPr>
                <w:rFonts w:asciiTheme="minorHAnsi" w:eastAsia="Times New Roman" w:hAnsiTheme="minorHAnsi" w:cstheme="minorHAnsi"/>
                <w:color w:val="000000"/>
                <w:sz w:val="18"/>
                <w:szCs w:val="18"/>
                <w:lang w:eastAsia="en-IE"/>
              </w:rPr>
              <w:t xml:space="preserve">closed cases resolved to the LA’s </w:t>
            </w:r>
            <w:r w:rsidR="00B51FD6" w:rsidRPr="005C4524">
              <w:rPr>
                <w:rFonts w:asciiTheme="minorHAnsi" w:eastAsia="Times New Roman" w:hAnsiTheme="minorHAnsi" w:cstheme="minorHAnsi"/>
                <w:color w:val="000000"/>
                <w:sz w:val="18"/>
                <w:szCs w:val="18"/>
                <w:lang w:eastAsia="en-IE"/>
              </w:rPr>
              <w:t xml:space="preserve">satisfaction </w:t>
            </w:r>
          </w:p>
        </w:tc>
        <w:tc>
          <w:tcPr>
            <w:tcW w:w="640" w:type="pct"/>
            <w:vAlign w:val="center"/>
            <w:hideMark/>
          </w:tcPr>
          <w:p w:rsidR="00B51FD6" w:rsidRPr="005C4524" w:rsidRDefault="00521A16"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IE"/>
              </w:rPr>
            </w:pPr>
            <w:r>
              <w:rPr>
                <w:rFonts w:asciiTheme="minorHAnsi" w:eastAsia="Times New Roman" w:hAnsiTheme="minorHAnsi" w:cstheme="minorHAnsi"/>
                <w:color w:val="000000"/>
                <w:sz w:val="18"/>
                <w:szCs w:val="18"/>
                <w:lang w:eastAsia="en-IE"/>
              </w:rPr>
              <w:t>% of</w:t>
            </w:r>
            <w:r w:rsidR="00B51FD6" w:rsidRPr="005C4524">
              <w:rPr>
                <w:rFonts w:asciiTheme="minorHAnsi" w:eastAsia="Times New Roman" w:hAnsiTheme="minorHAnsi" w:cstheme="minorHAnsi"/>
                <w:color w:val="000000"/>
                <w:sz w:val="18"/>
                <w:szCs w:val="18"/>
                <w:lang w:eastAsia="en-IE"/>
              </w:rPr>
              <w:t xml:space="preserve"> closed cases due to enforcement proceedings</w:t>
            </w:r>
          </w:p>
        </w:tc>
      </w:tr>
      <w:tr w:rsidR="00B51FD6" w:rsidRPr="005C4524" w:rsidTr="00812C29">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p>
        </w:tc>
        <w:tc>
          <w:tcPr>
            <w:tcW w:w="942" w:type="pct"/>
            <w:hideMark/>
          </w:tcPr>
          <w:p w:rsidR="00B51FD6" w:rsidRPr="005C4524" w:rsidRDefault="00B51FD6" w:rsidP="00B51FD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665" w:type="pct"/>
            <w:hideMark/>
          </w:tcPr>
          <w:p w:rsidR="00B51FD6" w:rsidRPr="005C4524" w:rsidRDefault="00B51FD6" w:rsidP="00B51FD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 </w:t>
            </w:r>
          </w:p>
        </w:tc>
        <w:tc>
          <w:tcPr>
            <w:tcW w:w="448" w:type="pct"/>
            <w:hideMark/>
          </w:tcPr>
          <w:p w:rsidR="00B51FD6" w:rsidRPr="005C4524" w:rsidRDefault="00B51FD6" w:rsidP="00B51FD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 </w:t>
            </w:r>
          </w:p>
        </w:tc>
        <w:tc>
          <w:tcPr>
            <w:tcW w:w="572" w:type="pct"/>
            <w:noWrap/>
            <w:hideMark/>
          </w:tcPr>
          <w:p w:rsidR="00B51FD6" w:rsidRPr="005C4524" w:rsidRDefault="00B51FD6" w:rsidP="00B51FD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 </w:t>
            </w:r>
          </w:p>
        </w:tc>
        <w:tc>
          <w:tcPr>
            <w:tcW w:w="592" w:type="pct"/>
            <w:hideMark/>
          </w:tcPr>
          <w:p w:rsidR="00B51FD6" w:rsidRPr="005C4524" w:rsidRDefault="00B51FD6" w:rsidP="00B51FD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 </w:t>
            </w:r>
          </w:p>
        </w:tc>
        <w:tc>
          <w:tcPr>
            <w:tcW w:w="640" w:type="pct"/>
            <w:noWrap/>
            <w:hideMark/>
          </w:tcPr>
          <w:p w:rsidR="00B51FD6" w:rsidRPr="005C4524" w:rsidRDefault="00B51FD6" w:rsidP="00B51FD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 </w:t>
            </w:r>
          </w:p>
        </w:tc>
      </w:tr>
      <w:tr w:rsidR="00B51FD6" w:rsidRPr="005C4524" w:rsidTr="00B51FD6">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Carlow County</w:t>
            </w:r>
          </w:p>
        </w:tc>
        <w:tc>
          <w:tcPr>
            <w:tcW w:w="942"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7</w:t>
            </w:r>
          </w:p>
        </w:tc>
        <w:tc>
          <w:tcPr>
            <w:tcW w:w="665"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126</w:t>
            </w:r>
          </w:p>
        </w:tc>
        <w:tc>
          <w:tcPr>
            <w:tcW w:w="448"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89</w:t>
            </w:r>
          </w:p>
        </w:tc>
        <w:tc>
          <w:tcPr>
            <w:tcW w:w="57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47.19</w:t>
            </w:r>
          </w:p>
        </w:tc>
        <w:tc>
          <w:tcPr>
            <w:tcW w:w="59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32.58</w:t>
            </w:r>
          </w:p>
        </w:tc>
        <w:tc>
          <w:tcPr>
            <w:tcW w:w="640"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20.22</w:t>
            </w:r>
          </w:p>
        </w:tc>
      </w:tr>
      <w:tr w:rsidR="00B51FD6" w:rsidRPr="005C4524" w:rsidTr="00B51FD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Cavan County</w:t>
            </w:r>
          </w:p>
        </w:tc>
        <w:tc>
          <w:tcPr>
            <w:tcW w:w="942"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57</w:t>
            </w:r>
          </w:p>
        </w:tc>
        <w:tc>
          <w:tcPr>
            <w:tcW w:w="665"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39</w:t>
            </w:r>
          </w:p>
        </w:tc>
        <w:tc>
          <w:tcPr>
            <w:tcW w:w="448"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28</w:t>
            </w:r>
          </w:p>
        </w:tc>
        <w:tc>
          <w:tcPr>
            <w:tcW w:w="57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59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78.57</w:t>
            </w:r>
          </w:p>
        </w:tc>
        <w:tc>
          <w:tcPr>
            <w:tcW w:w="640"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21.43</w:t>
            </w:r>
          </w:p>
        </w:tc>
      </w:tr>
      <w:tr w:rsidR="00B51FD6" w:rsidRPr="005C4524" w:rsidTr="00B51FD6">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Clare County</w:t>
            </w:r>
          </w:p>
        </w:tc>
        <w:tc>
          <w:tcPr>
            <w:tcW w:w="942"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231</w:t>
            </w:r>
          </w:p>
        </w:tc>
        <w:tc>
          <w:tcPr>
            <w:tcW w:w="665"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829</w:t>
            </w:r>
          </w:p>
        </w:tc>
        <w:tc>
          <w:tcPr>
            <w:tcW w:w="448"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311</w:t>
            </w:r>
          </w:p>
        </w:tc>
        <w:tc>
          <w:tcPr>
            <w:tcW w:w="57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20.58</w:t>
            </w:r>
          </w:p>
        </w:tc>
        <w:tc>
          <w:tcPr>
            <w:tcW w:w="59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42.12</w:t>
            </w:r>
          </w:p>
        </w:tc>
        <w:tc>
          <w:tcPr>
            <w:tcW w:w="640"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37.3</w:t>
            </w:r>
          </w:p>
        </w:tc>
      </w:tr>
      <w:tr w:rsidR="00B51FD6" w:rsidRPr="005C4524" w:rsidTr="00B51FD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Cork City</w:t>
            </w:r>
          </w:p>
        </w:tc>
        <w:tc>
          <w:tcPr>
            <w:tcW w:w="942"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66</w:t>
            </w:r>
          </w:p>
        </w:tc>
        <w:tc>
          <w:tcPr>
            <w:tcW w:w="665"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89</w:t>
            </w:r>
          </w:p>
        </w:tc>
        <w:tc>
          <w:tcPr>
            <w:tcW w:w="448"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52</w:t>
            </w:r>
          </w:p>
        </w:tc>
        <w:tc>
          <w:tcPr>
            <w:tcW w:w="57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30.77</w:t>
            </w:r>
          </w:p>
        </w:tc>
        <w:tc>
          <w:tcPr>
            <w:tcW w:w="59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5.77</w:t>
            </w:r>
          </w:p>
        </w:tc>
        <w:tc>
          <w:tcPr>
            <w:tcW w:w="640"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63.46</w:t>
            </w:r>
          </w:p>
        </w:tc>
      </w:tr>
      <w:tr w:rsidR="00B51FD6" w:rsidRPr="005C4524" w:rsidTr="00B51FD6">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Cork County</w:t>
            </w:r>
          </w:p>
        </w:tc>
        <w:tc>
          <w:tcPr>
            <w:tcW w:w="942"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377</w:t>
            </w:r>
          </w:p>
        </w:tc>
        <w:tc>
          <w:tcPr>
            <w:tcW w:w="665"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1040</w:t>
            </w:r>
          </w:p>
        </w:tc>
        <w:tc>
          <w:tcPr>
            <w:tcW w:w="448"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343</w:t>
            </w:r>
          </w:p>
        </w:tc>
        <w:tc>
          <w:tcPr>
            <w:tcW w:w="57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59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4.37</w:t>
            </w:r>
          </w:p>
        </w:tc>
        <w:tc>
          <w:tcPr>
            <w:tcW w:w="640"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89.5</w:t>
            </w:r>
          </w:p>
        </w:tc>
      </w:tr>
      <w:tr w:rsidR="00B51FD6" w:rsidRPr="005C4524" w:rsidTr="00B51FD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Donegal County</w:t>
            </w:r>
          </w:p>
        </w:tc>
        <w:tc>
          <w:tcPr>
            <w:tcW w:w="942"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186</w:t>
            </w:r>
          </w:p>
        </w:tc>
        <w:tc>
          <w:tcPr>
            <w:tcW w:w="665"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2006</w:t>
            </w:r>
          </w:p>
        </w:tc>
        <w:tc>
          <w:tcPr>
            <w:tcW w:w="448"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131</w:t>
            </w:r>
          </w:p>
        </w:tc>
        <w:tc>
          <w:tcPr>
            <w:tcW w:w="57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56.49</w:t>
            </w:r>
          </w:p>
        </w:tc>
        <w:tc>
          <w:tcPr>
            <w:tcW w:w="59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11.45</w:t>
            </w:r>
          </w:p>
        </w:tc>
        <w:tc>
          <w:tcPr>
            <w:tcW w:w="640"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32.06</w:t>
            </w:r>
          </w:p>
        </w:tc>
      </w:tr>
      <w:tr w:rsidR="00B51FD6" w:rsidRPr="005C4524" w:rsidTr="00B51FD6">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Dublin City</w:t>
            </w:r>
          </w:p>
        </w:tc>
        <w:tc>
          <w:tcPr>
            <w:tcW w:w="942"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943</w:t>
            </w:r>
          </w:p>
        </w:tc>
        <w:tc>
          <w:tcPr>
            <w:tcW w:w="665"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1822</w:t>
            </w:r>
          </w:p>
        </w:tc>
        <w:tc>
          <w:tcPr>
            <w:tcW w:w="448"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739</w:t>
            </w:r>
          </w:p>
        </w:tc>
        <w:tc>
          <w:tcPr>
            <w:tcW w:w="57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59.81</w:t>
            </w:r>
          </w:p>
        </w:tc>
        <w:tc>
          <w:tcPr>
            <w:tcW w:w="59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31.12</w:t>
            </w:r>
          </w:p>
        </w:tc>
        <w:tc>
          <w:tcPr>
            <w:tcW w:w="640"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9.07</w:t>
            </w:r>
          </w:p>
        </w:tc>
      </w:tr>
      <w:tr w:rsidR="00B51FD6" w:rsidRPr="005C4524" w:rsidTr="00B51FD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 xml:space="preserve">Dun Laoghaire </w:t>
            </w:r>
            <w:proofErr w:type="spellStart"/>
            <w:r w:rsidRPr="005C4524">
              <w:rPr>
                <w:rFonts w:asciiTheme="minorHAnsi" w:eastAsia="Times New Roman" w:hAnsiTheme="minorHAnsi" w:cstheme="minorHAnsi"/>
                <w:color w:val="000000"/>
                <w:sz w:val="18"/>
                <w:szCs w:val="18"/>
                <w:lang w:eastAsia="en-IE"/>
              </w:rPr>
              <w:t>Rathdown</w:t>
            </w:r>
            <w:proofErr w:type="spellEnd"/>
          </w:p>
        </w:tc>
        <w:tc>
          <w:tcPr>
            <w:tcW w:w="942"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215</w:t>
            </w:r>
          </w:p>
        </w:tc>
        <w:tc>
          <w:tcPr>
            <w:tcW w:w="665"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172</w:t>
            </w:r>
          </w:p>
        </w:tc>
        <w:tc>
          <w:tcPr>
            <w:tcW w:w="448"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228</w:t>
            </w:r>
          </w:p>
        </w:tc>
        <w:tc>
          <w:tcPr>
            <w:tcW w:w="57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59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18.86</w:t>
            </w:r>
          </w:p>
        </w:tc>
        <w:tc>
          <w:tcPr>
            <w:tcW w:w="640"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50</w:t>
            </w:r>
          </w:p>
        </w:tc>
      </w:tr>
      <w:tr w:rsidR="00B51FD6" w:rsidRPr="005C4524" w:rsidTr="00B51FD6">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proofErr w:type="spellStart"/>
            <w:r w:rsidRPr="005C4524">
              <w:rPr>
                <w:rFonts w:asciiTheme="minorHAnsi" w:eastAsia="Times New Roman" w:hAnsiTheme="minorHAnsi" w:cstheme="minorHAnsi"/>
                <w:color w:val="000000"/>
                <w:sz w:val="18"/>
                <w:szCs w:val="18"/>
                <w:lang w:eastAsia="en-IE"/>
              </w:rPr>
              <w:t>Fingal</w:t>
            </w:r>
            <w:proofErr w:type="spellEnd"/>
            <w:r w:rsidRPr="005C4524">
              <w:rPr>
                <w:rFonts w:asciiTheme="minorHAnsi" w:eastAsia="Times New Roman" w:hAnsiTheme="minorHAnsi" w:cstheme="minorHAnsi"/>
                <w:color w:val="000000"/>
                <w:sz w:val="18"/>
                <w:szCs w:val="18"/>
                <w:lang w:eastAsia="en-IE"/>
              </w:rPr>
              <w:t xml:space="preserve"> County</w:t>
            </w:r>
          </w:p>
        </w:tc>
        <w:tc>
          <w:tcPr>
            <w:tcW w:w="942"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195</w:t>
            </w:r>
          </w:p>
        </w:tc>
        <w:tc>
          <w:tcPr>
            <w:tcW w:w="665"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80</w:t>
            </w:r>
          </w:p>
        </w:tc>
        <w:tc>
          <w:tcPr>
            <w:tcW w:w="448"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115</w:t>
            </w:r>
          </w:p>
        </w:tc>
        <w:tc>
          <w:tcPr>
            <w:tcW w:w="57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4.35</w:t>
            </w:r>
          </w:p>
        </w:tc>
        <w:tc>
          <w:tcPr>
            <w:tcW w:w="59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640"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95.65</w:t>
            </w:r>
          </w:p>
        </w:tc>
      </w:tr>
      <w:tr w:rsidR="00B51FD6" w:rsidRPr="005C4524" w:rsidTr="00B51FD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Galway City</w:t>
            </w:r>
          </w:p>
        </w:tc>
        <w:tc>
          <w:tcPr>
            <w:tcW w:w="942"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450</w:t>
            </w:r>
          </w:p>
        </w:tc>
        <w:tc>
          <w:tcPr>
            <w:tcW w:w="665"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35</w:t>
            </w:r>
          </w:p>
        </w:tc>
        <w:tc>
          <w:tcPr>
            <w:tcW w:w="448"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453</w:t>
            </w:r>
          </w:p>
        </w:tc>
        <w:tc>
          <w:tcPr>
            <w:tcW w:w="57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22.96</w:t>
            </w:r>
          </w:p>
        </w:tc>
        <w:tc>
          <w:tcPr>
            <w:tcW w:w="59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640"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77.04</w:t>
            </w:r>
          </w:p>
        </w:tc>
      </w:tr>
      <w:tr w:rsidR="00B51FD6" w:rsidRPr="005C4524" w:rsidTr="00B51FD6">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Galway County</w:t>
            </w:r>
          </w:p>
        </w:tc>
        <w:tc>
          <w:tcPr>
            <w:tcW w:w="942"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269</w:t>
            </w:r>
          </w:p>
        </w:tc>
        <w:tc>
          <w:tcPr>
            <w:tcW w:w="665"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1269</w:t>
            </w:r>
          </w:p>
        </w:tc>
        <w:tc>
          <w:tcPr>
            <w:tcW w:w="448"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179</w:t>
            </w:r>
          </w:p>
        </w:tc>
        <w:tc>
          <w:tcPr>
            <w:tcW w:w="57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63.69</w:t>
            </w:r>
          </w:p>
        </w:tc>
        <w:tc>
          <w:tcPr>
            <w:tcW w:w="592" w:type="pct"/>
            <w:noWrap/>
            <w:hideMark/>
          </w:tcPr>
          <w:p w:rsidR="00B51FD6" w:rsidRPr="005C4524" w:rsidRDefault="00554F19"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Pr>
                <w:rFonts w:eastAsia="Times New Roman" w:cstheme="minorHAnsi"/>
                <w:color w:val="000000"/>
                <w:sz w:val="18"/>
                <w:szCs w:val="18"/>
                <w:lang w:eastAsia="en-IE"/>
              </w:rPr>
              <w:t>22.35</w:t>
            </w:r>
          </w:p>
        </w:tc>
        <w:tc>
          <w:tcPr>
            <w:tcW w:w="640"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13.97</w:t>
            </w:r>
          </w:p>
        </w:tc>
      </w:tr>
      <w:tr w:rsidR="00B51FD6" w:rsidRPr="005C4524" w:rsidTr="00B51FD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Kerry County</w:t>
            </w:r>
          </w:p>
        </w:tc>
        <w:tc>
          <w:tcPr>
            <w:tcW w:w="942"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228</w:t>
            </w:r>
          </w:p>
        </w:tc>
        <w:tc>
          <w:tcPr>
            <w:tcW w:w="665"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655</w:t>
            </w:r>
          </w:p>
        </w:tc>
        <w:tc>
          <w:tcPr>
            <w:tcW w:w="448"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235</w:t>
            </w:r>
          </w:p>
        </w:tc>
        <w:tc>
          <w:tcPr>
            <w:tcW w:w="57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5.53</w:t>
            </w:r>
          </w:p>
        </w:tc>
        <w:tc>
          <w:tcPr>
            <w:tcW w:w="59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48.51</w:t>
            </w:r>
          </w:p>
        </w:tc>
        <w:tc>
          <w:tcPr>
            <w:tcW w:w="640"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67.66</w:t>
            </w:r>
          </w:p>
        </w:tc>
      </w:tr>
      <w:tr w:rsidR="00B51FD6" w:rsidRPr="005C4524" w:rsidTr="00B51FD6">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Kildare County</w:t>
            </w:r>
          </w:p>
        </w:tc>
        <w:tc>
          <w:tcPr>
            <w:tcW w:w="942"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257</w:t>
            </w:r>
          </w:p>
        </w:tc>
        <w:tc>
          <w:tcPr>
            <w:tcW w:w="665"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1500</w:t>
            </w:r>
          </w:p>
        </w:tc>
        <w:tc>
          <w:tcPr>
            <w:tcW w:w="448"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262</w:t>
            </w:r>
          </w:p>
        </w:tc>
        <w:tc>
          <w:tcPr>
            <w:tcW w:w="57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35.88</w:t>
            </w:r>
          </w:p>
        </w:tc>
        <w:tc>
          <w:tcPr>
            <w:tcW w:w="59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25.57</w:t>
            </w:r>
          </w:p>
        </w:tc>
        <w:tc>
          <w:tcPr>
            <w:tcW w:w="640"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8.02</w:t>
            </w:r>
          </w:p>
        </w:tc>
      </w:tr>
      <w:tr w:rsidR="00B51FD6" w:rsidRPr="005C4524" w:rsidTr="00B51FD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Kilkenny County</w:t>
            </w:r>
          </w:p>
        </w:tc>
        <w:tc>
          <w:tcPr>
            <w:tcW w:w="942"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104</w:t>
            </w:r>
          </w:p>
        </w:tc>
        <w:tc>
          <w:tcPr>
            <w:tcW w:w="665"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363</w:t>
            </w:r>
          </w:p>
        </w:tc>
        <w:tc>
          <w:tcPr>
            <w:tcW w:w="448"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119</w:t>
            </w:r>
          </w:p>
        </w:tc>
        <w:tc>
          <w:tcPr>
            <w:tcW w:w="57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39.5</w:t>
            </w:r>
          </w:p>
        </w:tc>
        <w:tc>
          <w:tcPr>
            <w:tcW w:w="59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48.74</w:t>
            </w:r>
          </w:p>
        </w:tc>
        <w:tc>
          <w:tcPr>
            <w:tcW w:w="640"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11.76</w:t>
            </w:r>
          </w:p>
        </w:tc>
      </w:tr>
      <w:tr w:rsidR="00B51FD6" w:rsidRPr="005C4524" w:rsidTr="00B51FD6">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Laois County</w:t>
            </w:r>
          </w:p>
        </w:tc>
        <w:tc>
          <w:tcPr>
            <w:tcW w:w="942"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101</w:t>
            </w:r>
          </w:p>
        </w:tc>
        <w:tc>
          <w:tcPr>
            <w:tcW w:w="665"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218</w:t>
            </w:r>
          </w:p>
        </w:tc>
        <w:tc>
          <w:tcPr>
            <w:tcW w:w="448"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98</w:t>
            </w:r>
          </w:p>
        </w:tc>
        <w:tc>
          <w:tcPr>
            <w:tcW w:w="57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6.12</w:t>
            </w:r>
          </w:p>
        </w:tc>
        <w:tc>
          <w:tcPr>
            <w:tcW w:w="59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2.04</w:t>
            </w:r>
          </w:p>
        </w:tc>
        <w:tc>
          <w:tcPr>
            <w:tcW w:w="640"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37.76</w:t>
            </w:r>
          </w:p>
        </w:tc>
      </w:tr>
      <w:tr w:rsidR="00B51FD6" w:rsidRPr="005C4524" w:rsidTr="00B51FD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Leitrim County</w:t>
            </w:r>
          </w:p>
        </w:tc>
        <w:tc>
          <w:tcPr>
            <w:tcW w:w="942"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31</w:t>
            </w:r>
          </w:p>
        </w:tc>
        <w:tc>
          <w:tcPr>
            <w:tcW w:w="665"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19</w:t>
            </w:r>
          </w:p>
        </w:tc>
        <w:tc>
          <w:tcPr>
            <w:tcW w:w="448"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12</w:t>
            </w:r>
          </w:p>
        </w:tc>
        <w:tc>
          <w:tcPr>
            <w:tcW w:w="57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66.67</w:t>
            </w:r>
          </w:p>
        </w:tc>
        <w:tc>
          <w:tcPr>
            <w:tcW w:w="59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25</w:t>
            </w:r>
          </w:p>
        </w:tc>
        <w:tc>
          <w:tcPr>
            <w:tcW w:w="640"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8.33</w:t>
            </w:r>
          </w:p>
        </w:tc>
      </w:tr>
      <w:tr w:rsidR="00B51FD6" w:rsidRPr="005C4524" w:rsidTr="00B51FD6">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Limerick City &amp; County</w:t>
            </w:r>
          </w:p>
        </w:tc>
        <w:tc>
          <w:tcPr>
            <w:tcW w:w="942"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422</w:t>
            </w:r>
          </w:p>
        </w:tc>
        <w:tc>
          <w:tcPr>
            <w:tcW w:w="665"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1110</w:t>
            </w:r>
          </w:p>
        </w:tc>
        <w:tc>
          <w:tcPr>
            <w:tcW w:w="448"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451</w:t>
            </w:r>
          </w:p>
        </w:tc>
        <w:tc>
          <w:tcPr>
            <w:tcW w:w="57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0.22</w:t>
            </w:r>
          </w:p>
        </w:tc>
        <w:tc>
          <w:tcPr>
            <w:tcW w:w="59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33.92</w:t>
            </w:r>
          </w:p>
        </w:tc>
        <w:tc>
          <w:tcPr>
            <w:tcW w:w="640"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25.06</w:t>
            </w:r>
          </w:p>
        </w:tc>
      </w:tr>
      <w:tr w:rsidR="00B51FD6" w:rsidRPr="005C4524" w:rsidTr="00B51FD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Longford County</w:t>
            </w:r>
          </w:p>
        </w:tc>
        <w:tc>
          <w:tcPr>
            <w:tcW w:w="942"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34</w:t>
            </w:r>
          </w:p>
        </w:tc>
        <w:tc>
          <w:tcPr>
            <w:tcW w:w="665"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52</w:t>
            </w:r>
          </w:p>
        </w:tc>
        <w:tc>
          <w:tcPr>
            <w:tcW w:w="448"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w:t>
            </w:r>
          </w:p>
        </w:tc>
        <w:tc>
          <w:tcPr>
            <w:tcW w:w="57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20</w:t>
            </w:r>
          </w:p>
        </w:tc>
        <w:tc>
          <w:tcPr>
            <w:tcW w:w="59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60</w:t>
            </w:r>
          </w:p>
        </w:tc>
        <w:tc>
          <w:tcPr>
            <w:tcW w:w="640"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20</w:t>
            </w:r>
          </w:p>
        </w:tc>
      </w:tr>
      <w:tr w:rsidR="00B51FD6" w:rsidRPr="005C4524" w:rsidTr="00B51FD6">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Louth County</w:t>
            </w:r>
          </w:p>
        </w:tc>
        <w:tc>
          <w:tcPr>
            <w:tcW w:w="942"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199</w:t>
            </w:r>
          </w:p>
        </w:tc>
        <w:tc>
          <w:tcPr>
            <w:tcW w:w="665"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288</w:t>
            </w:r>
          </w:p>
        </w:tc>
        <w:tc>
          <w:tcPr>
            <w:tcW w:w="448"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120</w:t>
            </w:r>
          </w:p>
        </w:tc>
        <w:tc>
          <w:tcPr>
            <w:tcW w:w="57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59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6.67</w:t>
            </w:r>
          </w:p>
        </w:tc>
        <w:tc>
          <w:tcPr>
            <w:tcW w:w="640"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93.33</w:t>
            </w:r>
          </w:p>
        </w:tc>
      </w:tr>
      <w:tr w:rsidR="00B51FD6" w:rsidRPr="005C4524" w:rsidTr="00B51FD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Mayo County</w:t>
            </w:r>
          </w:p>
        </w:tc>
        <w:tc>
          <w:tcPr>
            <w:tcW w:w="942"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152</w:t>
            </w:r>
          </w:p>
        </w:tc>
        <w:tc>
          <w:tcPr>
            <w:tcW w:w="665"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115</w:t>
            </w:r>
          </w:p>
        </w:tc>
        <w:tc>
          <w:tcPr>
            <w:tcW w:w="448"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100</w:t>
            </w:r>
          </w:p>
        </w:tc>
        <w:tc>
          <w:tcPr>
            <w:tcW w:w="57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47</w:t>
            </w:r>
          </w:p>
        </w:tc>
        <w:tc>
          <w:tcPr>
            <w:tcW w:w="59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53</w:t>
            </w:r>
          </w:p>
        </w:tc>
        <w:tc>
          <w:tcPr>
            <w:tcW w:w="640"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68</w:t>
            </w:r>
          </w:p>
        </w:tc>
      </w:tr>
      <w:tr w:rsidR="00B51FD6" w:rsidRPr="005C4524" w:rsidTr="00B51FD6">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Meath County</w:t>
            </w:r>
          </w:p>
        </w:tc>
        <w:tc>
          <w:tcPr>
            <w:tcW w:w="942"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404</w:t>
            </w:r>
          </w:p>
        </w:tc>
        <w:tc>
          <w:tcPr>
            <w:tcW w:w="665"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937</w:t>
            </w:r>
          </w:p>
        </w:tc>
        <w:tc>
          <w:tcPr>
            <w:tcW w:w="448"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350</w:t>
            </w:r>
          </w:p>
        </w:tc>
        <w:tc>
          <w:tcPr>
            <w:tcW w:w="57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36.57</w:t>
            </w:r>
          </w:p>
        </w:tc>
        <w:tc>
          <w:tcPr>
            <w:tcW w:w="59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38.29</w:t>
            </w:r>
          </w:p>
        </w:tc>
        <w:tc>
          <w:tcPr>
            <w:tcW w:w="640"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25.14</w:t>
            </w:r>
          </w:p>
        </w:tc>
      </w:tr>
      <w:tr w:rsidR="00B51FD6" w:rsidRPr="005C4524" w:rsidTr="00B51FD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Monaghan County</w:t>
            </w:r>
          </w:p>
        </w:tc>
        <w:tc>
          <w:tcPr>
            <w:tcW w:w="942"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135</w:t>
            </w:r>
          </w:p>
        </w:tc>
        <w:tc>
          <w:tcPr>
            <w:tcW w:w="665"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211</w:t>
            </w:r>
          </w:p>
        </w:tc>
        <w:tc>
          <w:tcPr>
            <w:tcW w:w="448"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69</w:t>
            </w:r>
          </w:p>
        </w:tc>
        <w:tc>
          <w:tcPr>
            <w:tcW w:w="57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37.68</w:t>
            </w:r>
          </w:p>
        </w:tc>
        <w:tc>
          <w:tcPr>
            <w:tcW w:w="59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8.7</w:t>
            </w:r>
          </w:p>
        </w:tc>
        <w:tc>
          <w:tcPr>
            <w:tcW w:w="640"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53.62</w:t>
            </w:r>
          </w:p>
        </w:tc>
      </w:tr>
      <w:tr w:rsidR="00B51FD6" w:rsidRPr="005C4524" w:rsidTr="00B51FD6">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Offaly County</w:t>
            </w:r>
          </w:p>
        </w:tc>
        <w:tc>
          <w:tcPr>
            <w:tcW w:w="942"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52</w:t>
            </w:r>
          </w:p>
        </w:tc>
        <w:tc>
          <w:tcPr>
            <w:tcW w:w="665"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25</w:t>
            </w:r>
          </w:p>
        </w:tc>
        <w:tc>
          <w:tcPr>
            <w:tcW w:w="448"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27</w:t>
            </w:r>
          </w:p>
        </w:tc>
        <w:tc>
          <w:tcPr>
            <w:tcW w:w="57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22.22</w:t>
            </w:r>
          </w:p>
        </w:tc>
        <w:tc>
          <w:tcPr>
            <w:tcW w:w="59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640"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77.78</w:t>
            </w:r>
          </w:p>
        </w:tc>
      </w:tr>
      <w:tr w:rsidR="00B51FD6" w:rsidRPr="005C4524" w:rsidTr="00B51FD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Roscommon County</w:t>
            </w:r>
          </w:p>
        </w:tc>
        <w:tc>
          <w:tcPr>
            <w:tcW w:w="942"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92</w:t>
            </w:r>
          </w:p>
        </w:tc>
        <w:tc>
          <w:tcPr>
            <w:tcW w:w="665"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57</w:t>
            </w:r>
          </w:p>
        </w:tc>
        <w:tc>
          <w:tcPr>
            <w:tcW w:w="448"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35</w:t>
            </w:r>
          </w:p>
        </w:tc>
        <w:tc>
          <w:tcPr>
            <w:tcW w:w="57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54.29</w:t>
            </w:r>
          </w:p>
        </w:tc>
        <w:tc>
          <w:tcPr>
            <w:tcW w:w="59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11.43</w:t>
            </w:r>
          </w:p>
        </w:tc>
        <w:tc>
          <w:tcPr>
            <w:tcW w:w="640"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34.29</w:t>
            </w:r>
          </w:p>
        </w:tc>
      </w:tr>
      <w:tr w:rsidR="00B51FD6" w:rsidRPr="005C4524" w:rsidTr="00B51FD6">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Sligo County</w:t>
            </w:r>
          </w:p>
        </w:tc>
        <w:tc>
          <w:tcPr>
            <w:tcW w:w="942"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216</w:t>
            </w:r>
          </w:p>
        </w:tc>
        <w:tc>
          <w:tcPr>
            <w:tcW w:w="665"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671</w:t>
            </w:r>
          </w:p>
        </w:tc>
        <w:tc>
          <w:tcPr>
            <w:tcW w:w="448"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197</w:t>
            </w:r>
          </w:p>
        </w:tc>
        <w:tc>
          <w:tcPr>
            <w:tcW w:w="57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25.38</w:t>
            </w:r>
          </w:p>
        </w:tc>
        <w:tc>
          <w:tcPr>
            <w:tcW w:w="59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15.74</w:t>
            </w:r>
          </w:p>
        </w:tc>
        <w:tc>
          <w:tcPr>
            <w:tcW w:w="640"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58.88</w:t>
            </w:r>
          </w:p>
        </w:tc>
      </w:tr>
      <w:tr w:rsidR="00B51FD6" w:rsidRPr="005C4524" w:rsidTr="00B51FD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South Dublin County</w:t>
            </w:r>
          </w:p>
        </w:tc>
        <w:tc>
          <w:tcPr>
            <w:tcW w:w="942"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168</w:t>
            </w:r>
          </w:p>
        </w:tc>
        <w:tc>
          <w:tcPr>
            <w:tcW w:w="665"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324</w:t>
            </w:r>
          </w:p>
        </w:tc>
        <w:tc>
          <w:tcPr>
            <w:tcW w:w="448"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172</w:t>
            </w:r>
          </w:p>
        </w:tc>
        <w:tc>
          <w:tcPr>
            <w:tcW w:w="57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59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50</w:t>
            </w:r>
          </w:p>
        </w:tc>
        <w:tc>
          <w:tcPr>
            <w:tcW w:w="640"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50</w:t>
            </w:r>
          </w:p>
        </w:tc>
      </w:tr>
      <w:tr w:rsidR="00B51FD6" w:rsidRPr="005C4524" w:rsidTr="00B51FD6">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Tipperary County</w:t>
            </w:r>
          </w:p>
        </w:tc>
        <w:tc>
          <w:tcPr>
            <w:tcW w:w="942"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184</w:t>
            </w:r>
          </w:p>
        </w:tc>
        <w:tc>
          <w:tcPr>
            <w:tcW w:w="665"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149</w:t>
            </w:r>
          </w:p>
        </w:tc>
        <w:tc>
          <w:tcPr>
            <w:tcW w:w="448"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35</w:t>
            </w:r>
          </w:p>
        </w:tc>
        <w:tc>
          <w:tcPr>
            <w:tcW w:w="57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65.71</w:t>
            </w:r>
          </w:p>
        </w:tc>
        <w:tc>
          <w:tcPr>
            <w:tcW w:w="59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34.29</w:t>
            </w:r>
          </w:p>
        </w:tc>
        <w:tc>
          <w:tcPr>
            <w:tcW w:w="640"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r>
      <w:tr w:rsidR="00B51FD6" w:rsidRPr="005C4524" w:rsidTr="00B51FD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Waterford City &amp; County</w:t>
            </w:r>
          </w:p>
        </w:tc>
        <w:tc>
          <w:tcPr>
            <w:tcW w:w="942"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202</w:t>
            </w:r>
          </w:p>
        </w:tc>
        <w:tc>
          <w:tcPr>
            <w:tcW w:w="665"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100</w:t>
            </w:r>
          </w:p>
        </w:tc>
        <w:tc>
          <w:tcPr>
            <w:tcW w:w="448"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102</w:t>
            </w:r>
          </w:p>
        </w:tc>
        <w:tc>
          <w:tcPr>
            <w:tcW w:w="57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10.78</w:t>
            </w:r>
          </w:p>
        </w:tc>
        <w:tc>
          <w:tcPr>
            <w:tcW w:w="59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76.47</w:t>
            </w:r>
          </w:p>
        </w:tc>
        <w:tc>
          <w:tcPr>
            <w:tcW w:w="640"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12.75</w:t>
            </w:r>
          </w:p>
        </w:tc>
      </w:tr>
      <w:tr w:rsidR="00B51FD6" w:rsidRPr="005C4524" w:rsidTr="00B51FD6">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Westmeath County</w:t>
            </w:r>
          </w:p>
        </w:tc>
        <w:tc>
          <w:tcPr>
            <w:tcW w:w="942"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63</w:t>
            </w:r>
          </w:p>
        </w:tc>
        <w:tc>
          <w:tcPr>
            <w:tcW w:w="665"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122</w:t>
            </w:r>
          </w:p>
        </w:tc>
        <w:tc>
          <w:tcPr>
            <w:tcW w:w="448"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37</w:t>
            </w:r>
          </w:p>
        </w:tc>
        <w:tc>
          <w:tcPr>
            <w:tcW w:w="57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40.54</w:t>
            </w:r>
          </w:p>
        </w:tc>
        <w:tc>
          <w:tcPr>
            <w:tcW w:w="59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w:t>
            </w:r>
          </w:p>
        </w:tc>
        <w:tc>
          <w:tcPr>
            <w:tcW w:w="640"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59.46</w:t>
            </w:r>
          </w:p>
        </w:tc>
      </w:tr>
      <w:tr w:rsidR="00B51FD6" w:rsidRPr="005C4524" w:rsidTr="00B51FD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Wexford County</w:t>
            </w:r>
          </w:p>
        </w:tc>
        <w:tc>
          <w:tcPr>
            <w:tcW w:w="942"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161</w:t>
            </w:r>
          </w:p>
        </w:tc>
        <w:tc>
          <w:tcPr>
            <w:tcW w:w="665"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692</w:t>
            </w:r>
          </w:p>
        </w:tc>
        <w:tc>
          <w:tcPr>
            <w:tcW w:w="448" w:type="pct"/>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201</w:t>
            </w:r>
          </w:p>
        </w:tc>
        <w:tc>
          <w:tcPr>
            <w:tcW w:w="57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0.5</w:t>
            </w:r>
          </w:p>
        </w:tc>
        <w:tc>
          <w:tcPr>
            <w:tcW w:w="592"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64.68</w:t>
            </w:r>
          </w:p>
        </w:tc>
        <w:tc>
          <w:tcPr>
            <w:tcW w:w="640" w:type="pct"/>
            <w:noWrap/>
            <w:hideMark/>
          </w:tcPr>
          <w:p w:rsidR="00B51FD6" w:rsidRPr="005C4524" w:rsidRDefault="00B51FD6"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34.83</w:t>
            </w:r>
          </w:p>
        </w:tc>
      </w:tr>
      <w:tr w:rsidR="00B51FD6" w:rsidRPr="005C4524" w:rsidTr="00B51FD6">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hideMark/>
          </w:tcPr>
          <w:p w:rsidR="00B51FD6" w:rsidRPr="005C4524" w:rsidRDefault="00B51FD6" w:rsidP="00B51FD6">
            <w:pPr>
              <w:rPr>
                <w:rFonts w:asciiTheme="minorHAnsi" w:eastAsia="Times New Roman" w:hAnsiTheme="minorHAnsi" w:cstheme="minorHAnsi"/>
                <w:color w:val="000000"/>
                <w:sz w:val="18"/>
                <w:szCs w:val="18"/>
                <w:lang w:eastAsia="en-IE"/>
              </w:rPr>
            </w:pPr>
            <w:r w:rsidRPr="005C4524">
              <w:rPr>
                <w:rFonts w:asciiTheme="minorHAnsi" w:eastAsia="Times New Roman" w:hAnsiTheme="minorHAnsi" w:cstheme="minorHAnsi"/>
                <w:color w:val="000000"/>
                <w:sz w:val="18"/>
                <w:szCs w:val="18"/>
                <w:lang w:eastAsia="en-IE"/>
              </w:rPr>
              <w:t>Wicklow County</w:t>
            </w:r>
          </w:p>
        </w:tc>
        <w:tc>
          <w:tcPr>
            <w:tcW w:w="942"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227</w:t>
            </w:r>
          </w:p>
        </w:tc>
        <w:tc>
          <w:tcPr>
            <w:tcW w:w="665"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836</w:t>
            </w:r>
          </w:p>
        </w:tc>
        <w:tc>
          <w:tcPr>
            <w:tcW w:w="448" w:type="pct"/>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244</w:t>
            </w:r>
          </w:p>
        </w:tc>
        <w:tc>
          <w:tcPr>
            <w:tcW w:w="57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2.05</w:t>
            </w:r>
          </w:p>
        </w:tc>
        <w:tc>
          <w:tcPr>
            <w:tcW w:w="592"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16.8</w:t>
            </w:r>
          </w:p>
        </w:tc>
        <w:tc>
          <w:tcPr>
            <w:tcW w:w="640" w:type="pct"/>
            <w:noWrap/>
            <w:hideMark/>
          </w:tcPr>
          <w:p w:rsidR="00B51FD6" w:rsidRPr="005C4524" w:rsidRDefault="00B51FD6" w:rsidP="00B51FD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5C4524">
              <w:rPr>
                <w:rFonts w:eastAsia="Times New Roman" w:cstheme="minorHAnsi"/>
                <w:color w:val="000000"/>
                <w:sz w:val="18"/>
                <w:szCs w:val="18"/>
                <w:lang w:eastAsia="en-IE"/>
              </w:rPr>
              <w:t>56.15</w:t>
            </w:r>
          </w:p>
        </w:tc>
      </w:tr>
      <w:tr w:rsidR="00EB7F97" w:rsidRPr="00EB7F97" w:rsidTr="00B51FD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1" w:type="pct"/>
            <w:noWrap/>
          </w:tcPr>
          <w:p w:rsidR="00EB7F97" w:rsidRPr="00EB7F97" w:rsidRDefault="00EB7F97" w:rsidP="00B51FD6">
            <w:pPr>
              <w:rPr>
                <w:rFonts w:asciiTheme="minorHAnsi" w:eastAsia="Times New Roman" w:hAnsiTheme="minorHAnsi" w:cstheme="minorHAnsi"/>
                <w:color w:val="000000"/>
                <w:sz w:val="18"/>
                <w:szCs w:val="18"/>
                <w:lang w:eastAsia="en-IE"/>
              </w:rPr>
            </w:pPr>
            <w:r w:rsidRPr="00EB7F97">
              <w:rPr>
                <w:rFonts w:asciiTheme="minorHAnsi" w:eastAsia="Times New Roman" w:hAnsiTheme="minorHAnsi" w:cstheme="minorHAnsi"/>
                <w:color w:val="000000"/>
                <w:sz w:val="18"/>
                <w:szCs w:val="18"/>
                <w:lang w:eastAsia="en-IE"/>
              </w:rPr>
              <w:t>Totals</w:t>
            </w:r>
          </w:p>
        </w:tc>
        <w:tc>
          <w:tcPr>
            <w:tcW w:w="942" w:type="pct"/>
          </w:tcPr>
          <w:p w:rsidR="00EB7F97" w:rsidRPr="00EB7F97" w:rsidRDefault="00EB7F97"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lang w:eastAsia="en-IE"/>
              </w:rPr>
            </w:pPr>
            <w:r>
              <w:rPr>
                <w:rFonts w:eastAsia="Times New Roman" w:cstheme="minorHAnsi"/>
                <w:b/>
                <w:color w:val="000000"/>
                <w:sz w:val="18"/>
                <w:szCs w:val="18"/>
                <w:lang w:eastAsia="en-IE"/>
              </w:rPr>
              <w:t>6,428</w:t>
            </w:r>
          </w:p>
        </w:tc>
        <w:tc>
          <w:tcPr>
            <w:tcW w:w="665" w:type="pct"/>
          </w:tcPr>
          <w:p w:rsidR="00EB7F97" w:rsidRPr="00EB7F97" w:rsidRDefault="00EB7F97"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lang w:eastAsia="en-IE"/>
              </w:rPr>
            </w:pPr>
            <w:r>
              <w:rPr>
                <w:rFonts w:eastAsia="Times New Roman" w:cstheme="minorHAnsi"/>
                <w:b/>
                <w:color w:val="000000"/>
                <w:sz w:val="18"/>
                <w:szCs w:val="18"/>
                <w:lang w:eastAsia="en-IE"/>
              </w:rPr>
              <w:t>15,951</w:t>
            </w:r>
          </w:p>
        </w:tc>
        <w:tc>
          <w:tcPr>
            <w:tcW w:w="448" w:type="pct"/>
          </w:tcPr>
          <w:p w:rsidR="00EB7F97" w:rsidRPr="00EB7F97" w:rsidRDefault="00EB7F97"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lang w:eastAsia="en-IE"/>
              </w:rPr>
            </w:pPr>
            <w:r>
              <w:rPr>
                <w:rFonts w:eastAsia="Times New Roman" w:cstheme="minorHAnsi"/>
                <w:b/>
                <w:color w:val="000000"/>
                <w:sz w:val="18"/>
                <w:szCs w:val="18"/>
                <w:lang w:eastAsia="en-IE"/>
              </w:rPr>
              <w:t>5,539</w:t>
            </w:r>
          </w:p>
        </w:tc>
        <w:tc>
          <w:tcPr>
            <w:tcW w:w="572" w:type="pct"/>
            <w:noWrap/>
          </w:tcPr>
          <w:p w:rsidR="00EB7F97" w:rsidRPr="00EB7F97" w:rsidRDefault="00EB7F97"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lang w:eastAsia="en-IE"/>
              </w:rPr>
            </w:pPr>
          </w:p>
        </w:tc>
        <w:tc>
          <w:tcPr>
            <w:tcW w:w="592" w:type="pct"/>
            <w:noWrap/>
          </w:tcPr>
          <w:p w:rsidR="00EB7F97" w:rsidRPr="00EB7F97" w:rsidRDefault="00EB7F97"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lang w:eastAsia="en-IE"/>
              </w:rPr>
            </w:pPr>
          </w:p>
        </w:tc>
        <w:tc>
          <w:tcPr>
            <w:tcW w:w="640" w:type="pct"/>
            <w:noWrap/>
          </w:tcPr>
          <w:p w:rsidR="00EB7F97" w:rsidRPr="00EB7F97" w:rsidRDefault="00EB7F97" w:rsidP="00B51FD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lang w:eastAsia="en-IE"/>
              </w:rPr>
            </w:pPr>
          </w:p>
        </w:tc>
      </w:tr>
    </w:tbl>
    <w:p w:rsidR="00CF616C" w:rsidRPr="00CF616C" w:rsidRDefault="00627A57" w:rsidP="00CF616C">
      <w:pPr>
        <w:rPr>
          <w:rFonts w:eastAsia="Times New Roman" w:cstheme="minorHAnsi"/>
          <w:color w:val="000000"/>
          <w:sz w:val="20"/>
          <w:szCs w:val="20"/>
          <w:lang w:eastAsia="en-IE"/>
        </w:rPr>
      </w:pPr>
      <w:r>
        <w:rPr>
          <w:rFonts w:eastAsia="Times New Roman" w:cstheme="minorHAnsi"/>
          <w:bCs/>
          <w:color w:val="000000"/>
          <w:sz w:val="20"/>
          <w:szCs w:val="20"/>
          <w:lang w:eastAsia="en-IE"/>
        </w:rPr>
        <w:t xml:space="preserve">For a number of local authorities </w:t>
      </w:r>
      <w:r w:rsidR="00CF616C" w:rsidRPr="00CF616C">
        <w:rPr>
          <w:rFonts w:eastAsia="Times New Roman" w:cstheme="minorHAnsi"/>
          <w:bCs/>
          <w:color w:val="000000"/>
          <w:sz w:val="20"/>
          <w:szCs w:val="20"/>
          <w:lang w:eastAsia="en-IE"/>
        </w:rPr>
        <w:t xml:space="preserve">the cumulative </w:t>
      </w:r>
      <w:r>
        <w:rPr>
          <w:rFonts w:eastAsia="Times New Roman" w:cstheme="minorHAnsi"/>
          <w:bCs/>
          <w:color w:val="000000"/>
          <w:sz w:val="20"/>
          <w:szCs w:val="20"/>
          <w:lang w:eastAsia="en-IE"/>
        </w:rPr>
        <w:t xml:space="preserve">total </w:t>
      </w:r>
      <w:r w:rsidR="00CF616C" w:rsidRPr="00CF616C">
        <w:rPr>
          <w:rFonts w:eastAsia="Times New Roman" w:cstheme="minorHAnsi"/>
          <w:bCs/>
          <w:color w:val="000000"/>
          <w:sz w:val="20"/>
          <w:szCs w:val="20"/>
          <w:lang w:eastAsia="en-IE"/>
        </w:rPr>
        <w:t xml:space="preserve">of the </w:t>
      </w:r>
      <w:r w:rsidR="00CF616C" w:rsidRPr="00CF616C">
        <w:rPr>
          <w:rFonts w:cstheme="minorHAnsi"/>
          <w:sz w:val="20"/>
          <w:szCs w:val="20"/>
        </w:rPr>
        <w:t xml:space="preserve">% of the closed </w:t>
      </w:r>
      <w:r w:rsidRPr="00CF616C">
        <w:rPr>
          <w:rFonts w:cstheme="minorHAnsi"/>
          <w:sz w:val="20"/>
          <w:szCs w:val="20"/>
        </w:rPr>
        <w:t>cases that</w:t>
      </w:r>
      <w:r w:rsidR="00CF616C" w:rsidRPr="00CF616C">
        <w:rPr>
          <w:rFonts w:cstheme="minorHAnsi"/>
          <w:sz w:val="20"/>
          <w:szCs w:val="20"/>
        </w:rPr>
        <w:t xml:space="preserve"> were dismissed, </w:t>
      </w:r>
      <w:r>
        <w:rPr>
          <w:rFonts w:cstheme="minorHAnsi"/>
          <w:sz w:val="20"/>
          <w:szCs w:val="20"/>
        </w:rPr>
        <w:t xml:space="preserve">the </w:t>
      </w:r>
      <w:r w:rsidR="00CF616C" w:rsidRPr="00CF616C">
        <w:rPr>
          <w:rFonts w:eastAsia="Times New Roman" w:cstheme="minorHAnsi"/>
          <w:color w:val="000000"/>
          <w:sz w:val="20"/>
          <w:szCs w:val="20"/>
          <w:lang w:eastAsia="en-IE"/>
        </w:rPr>
        <w:t xml:space="preserve">% of </w:t>
      </w:r>
      <w:r>
        <w:rPr>
          <w:rFonts w:eastAsia="Times New Roman" w:cstheme="minorHAnsi"/>
          <w:color w:val="000000"/>
          <w:sz w:val="20"/>
          <w:szCs w:val="20"/>
          <w:lang w:eastAsia="en-IE"/>
        </w:rPr>
        <w:t xml:space="preserve">cases </w:t>
      </w:r>
      <w:r w:rsidR="00CF616C" w:rsidRPr="00CF616C">
        <w:rPr>
          <w:rFonts w:eastAsia="Times New Roman" w:cstheme="minorHAnsi"/>
          <w:color w:val="000000"/>
          <w:sz w:val="20"/>
          <w:szCs w:val="20"/>
          <w:lang w:eastAsia="en-IE"/>
        </w:rPr>
        <w:t xml:space="preserve">closed </w:t>
      </w:r>
      <w:r>
        <w:rPr>
          <w:rFonts w:eastAsia="Times New Roman" w:cstheme="minorHAnsi"/>
          <w:color w:val="000000"/>
          <w:sz w:val="20"/>
          <w:szCs w:val="20"/>
          <w:lang w:eastAsia="en-IE"/>
        </w:rPr>
        <w:t>as</w:t>
      </w:r>
      <w:r w:rsidR="00CF616C" w:rsidRPr="00CF616C">
        <w:rPr>
          <w:rFonts w:eastAsia="Times New Roman" w:cstheme="minorHAnsi"/>
          <w:color w:val="000000"/>
          <w:sz w:val="20"/>
          <w:szCs w:val="20"/>
          <w:lang w:eastAsia="en-IE"/>
        </w:rPr>
        <w:t xml:space="preserve"> resolved to the LA’s satisfaction and</w:t>
      </w:r>
      <w:r>
        <w:rPr>
          <w:rFonts w:eastAsia="Times New Roman" w:cstheme="minorHAnsi"/>
          <w:color w:val="000000"/>
          <w:sz w:val="20"/>
          <w:szCs w:val="20"/>
          <w:lang w:eastAsia="en-IE"/>
        </w:rPr>
        <w:t xml:space="preserve"> the </w:t>
      </w:r>
      <w:r w:rsidR="00CF616C" w:rsidRPr="00CF616C">
        <w:rPr>
          <w:rFonts w:eastAsia="Times New Roman" w:cstheme="minorHAnsi"/>
          <w:color w:val="000000"/>
          <w:sz w:val="20"/>
          <w:szCs w:val="20"/>
          <w:lang w:eastAsia="en-IE"/>
        </w:rPr>
        <w:t>% of closed cases due to enforcement proceedings</w:t>
      </w:r>
      <w:r>
        <w:rPr>
          <w:rFonts w:eastAsia="Times New Roman" w:cstheme="minorHAnsi"/>
          <w:color w:val="000000"/>
          <w:sz w:val="20"/>
          <w:szCs w:val="20"/>
          <w:lang w:eastAsia="en-IE"/>
        </w:rPr>
        <w:t xml:space="preserve"> are not equal to 100%. This is due to </w:t>
      </w:r>
      <w:r w:rsidR="00DD6A92">
        <w:rPr>
          <w:rFonts w:eastAsia="Times New Roman" w:cstheme="minorHAnsi"/>
          <w:color w:val="000000"/>
          <w:sz w:val="20"/>
          <w:szCs w:val="20"/>
          <w:lang w:eastAsia="en-IE"/>
        </w:rPr>
        <w:t xml:space="preserve">issues around the </w:t>
      </w:r>
      <w:r>
        <w:rPr>
          <w:rFonts w:eastAsia="Times New Roman" w:cstheme="minorHAnsi"/>
          <w:color w:val="000000"/>
          <w:sz w:val="20"/>
          <w:szCs w:val="20"/>
          <w:lang w:eastAsia="en-IE"/>
        </w:rPr>
        <w:t xml:space="preserve">scope of the definition of the classification of cases closed. </w:t>
      </w:r>
    </w:p>
    <w:tbl>
      <w:tblPr>
        <w:tblW w:w="6204" w:type="dxa"/>
        <w:tblLook w:val="04A0" w:firstRow="1" w:lastRow="0" w:firstColumn="1" w:lastColumn="0" w:noHBand="0" w:noVBand="1"/>
      </w:tblPr>
      <w:tblGrid>
        <w:gridCol w:w="2020"/>
        <w:gridCol w:w="2815"/>
        <w:gridCol w:w="1369"/>
      </w:tblGrid>
      <w:tr w:rsidR="00B51FD6" w:rsidRPr="00B97E75" w:rsidTr="00E17A00">
        <w:trPr>
          <w:trHeight w:val="315"/>
        </w:trPr>
        <w:tc>
          <w:tcPr>
            <w:tcW w:w="6204" w:type="dxa"/>
            <w:gridSpan w:val="3"/>
            <w:tcBorders>
              <w:top w:val="single" w:sz="4" w:space="0" w:color="auto"/>
              <w:left w:val="single" w:sz="4" w:space="0" w:color="auto"/>
              <w:bottom w:val="nil"/>
              <w:right w:val="single" w:sz="4" w:space="0" w:color="auto"/>
            </w:tcBorders>
            <w:shd w:val="clear" w:color="auto" w:fill="auto"/>
            <w:vAlign w:val="center"/>
            <w:hideMark/>
          </w:tcPr>
          <w:p w:rsidR="00B51FD6" w:rsidRPr="00B97E75" w:rsidRDefault="007B0393"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lastRenderedPageBreak/>
              <w:br w:type="page"/>
            </w:r>
            <w:r w:rsidR="00B51FD6" w:rsidRPr="00B97E75">
              <w:rPr>
                <w:rFonts w:eastAsia="Times New Roman" w:cstheme="minorHAnsi"/>
                <w:b/>
                <w:bCs/>
                <w:color w:val="000000"/>
                <w:lang w:eastAsia="en-IE"/>
              </w:rPr>
              <w:t xml:space="preserve">Summary Statistics </w:t>
            </w:r>
          </w:p>
        </w:tc>
      </w:tr>
      <w:tr w:rsidR="00B51FD6" w:rsidRPr="00B97E75" w:rsidTr="00E17A00">
        <w:trPr>
          <w:trHeight w:val="315"/>
        </w:trPr>
        <w:tc>
          <w:tcPr>
            <w:tcW w:w="4835" w:type="dxa"/>
            <w:gridSpan w:val="2"/>
            <w:tcBorders>
              <w:top w:val="single" w:sz="8" w:space="0" w:color="auto"/>
              <w:left w:val="single" w:sz="8" w:space="0" w:color="auto"/>
              <w:bottom w:val="single" w:sz="4" w:space="0" w:color="auto"/>
              <w:right w:val="single" w:sz="4" w:space="0" w:color="000000"/>
            </w:tcBorders>
            <w:shd w:val="clear" w:color="auto" w:fill="B6DDE8" w:themeFill="accent5" w:themeFillTint="66"/>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Total number of planning enforcement cases referred/initiated 1/1/2014 to 31/12/2014</w:t>
            </w:r>
          </w:p>
        </w:tc>
        <w:tc>
          <w:tcPr>
            <w:tcW w:w="1369" w:type="dxa"/>
            <w:tcBorders>
              <w:top w:val="single" w:sz="8" w:space="0" w:color="auto"/>
              <w:left w:val="nil"/>
              <w:bottom w:val="single" w:sz="4" w:space="0" w:color="auto"/>
              <w:right w:val="single" w:sz="8" w:space="0" w:color="auto"/>
            </w:tcBorders>
            <w:shd w:val="clear" w:color="auto" w:fill="B6DDE8" w:themeFill="accent5" w:themeFillTint="66"/>
            <w:vAlign w:val="center"/>
            <w:hideMark/>
          </w:tcPr>
          <w:p w:rsidR="00B51FD6" w:rsidRPr="00B97E75" w:rsidRDefault="00B51FD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2014</w:t>
            </w:r>
          </w:p>
        </w:tc>
      </w:tr>
      <w:tr w:rsidR="00B51FD6" w:rsidRPr="00B97E75" w:rsidTr="00E17A00">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N</w:t>
            </w:r>
          </w:p>
        </w:tc>
        <w:tc>
          <w:tcPr>
            <w:tcW w:w="2815" w:type="dxa"/>
            <w:tcBorders>
              <w:top w:val="nil"/>
              <w:left w:val="nil"/>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Valid</w:t>
            </w:r>
          </w:p>
        </w:tc>
        <w:tc>
          <w:tcPr>
            <w:tcW w:w="1369" w:type="dxa"/>
            <w:tcBorders>
              <w:top w:val="nil"/>
              <w:left w:val="nil"/>
              <w:bottom w:val="single" w:sz="4" w:space="0" w:color="auto"/>
              <w:right w:val="single" w:sz="8"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31</w:t>
            </w:r>
          </w:p>
        </w:tc>
      </w:tr>
      <w:tr w:rsidR="00B51FD6" w:rsidRPr="00B97E75" w:rsidTr="00E17A00">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815" w:type="dxa"/>
            <w:tcBorders>
              <w:top w:val="nil"/>
              <w:left w:val="nil"/>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Missing</w:t>
            </w:r>
          </w:p>
        </w:tc>
        <w:tc>
          <w:tcPr>
            <w:tcW w:w="1369" w:type="dxa"/>
            <w:tcBorders>
              <w:top w:val="nil"/>
              <w:left w:val="nil"/>
              <w:bottom w:val="single" w:sz="4" w:space="0" w:color="auto"/>
              <w:right w:val="single" w:sz="8"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0</w:t>
            </w:r>
          </w:p>
        </w:tc>
      </w:tr>
      <w:tr w:rsidR="00B51FD6" w:rsidRPr="00B97E75" w:rsidTr="00E17A00">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Average</w:t>
            </w:r>
          </w:p>
        </w:tc>
        <w:tc>
          <w:tcPr>
            <w:tcW w:w="2815" w:type="dxa"/>
            <w:tcBorders>
              <w:top w:val="nil"/>
              <w:left w:val="nil"/>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Median</w:t>
            </w:r>
          </w:p>
        </w:tc>
        <w:tc>
          <w:tcPr>
            <w:tcW w:w="1369" w:type="dxa"/>
            <w:tcBorders>
              <w:top w:val="nil"/>
              <w:left w:val="nil"/>
              <w:bottom w:val="single" w:sz="4" w:space="0" w:color="auto"/>
              <w:right w:val="single" w:sz="8" w:space="0" w:color="auto"/>
            </w:tcBorders>
            <w:shd w:val="clear" w:color="auto" w:fill="auto"/>
            <w:vAlign w:val="center"/>
            <w:hideMark/>
          </w:tcPr>
          <w:p w:rsidR="00B51FD6" w:rsidRPr="00B97E75" w:rsidRDefault="00B51FD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GB" w:eastAsia="en-IE"/>
              </w:rPr>
              <w:t>186.00</w:t>
            </w:r>
          </w:p>
        </w:tc>
      </w:tr>
      <w:tr w:rsidR="00B51FD6" w:rsidRPr="00B97E75" w:rsidTr="00E17A00">
        <w:trPr>
          <w:trHeight w:val="315"/>
        </w:trPr>
        <w:tc>
          <w:tcPr>
            <w:tcW w:w="2020" w:type="dxa"/>
            <w:tcBorders>
              <w:top w:val="nil"/>
              <w:left w:val="single" w:sz="8" w:space="0" w:color="auto"/>
              <w:bottom w:val="single" w:sz="8"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815" w:type="dxa"/>
            <w:tcBorders>
              <w:top w:val="nil"/>
              <w:left w:val="nil"/>
              <w:bottom w:val="single" w:sz="8"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Mean</w:t>
            </w:r>
          </w:p>
        </w:tc>
        <w:tc>
          <w:tcPr>
            <w:tcW w:w="1369" w:type="dxa"/>
            <w:tcBorders>
              <w:top w:val="nil"/>
              <w:left w:val="nil"/>
              <w:bottom w:val="single" w:sz="8" w:space="0" w:color="auto"/>
              <w:right w:val="single" w:sz="8"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207.35</w:t>
            </w:r>
          </w:p>
        </w:tc>
      </w:tr>
      <w:tr w:rsidR="00B51FD6" w:rsidRPr="00B97E75" w:rsidTr="00E17A00">
        <w:trPr>
          <w:trHeight w:val="810"/>
        </w:trPr>
        <w:tc>
          <w:tcPr>
            <w:tcW w:w="4835" w:type="dxa"/>
            <w:gridSpan w:val="2"/>
            <w:tcBorders>
              <w:top w:val="single" w:sz="8" w:space="0" w:color="auto"/>
              <w:left w:val="single" w:sz="8" w:space="0" w:color="auto"/>
              <w:bottom w:val="single" w:sz="4" w:space="0" w:color="auto"/>
              <w:right w:val="single" w:sz="4" w:space="0" w:color="000000"/>
            </w:tcBorders>
            <w:shd w:val="clear" w:color="auto" w:fill="B6DDE8" w:themeFill="accent5" w:themeFillTint="66"/>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Total number of planning cases being investigated as at 31/12/2014</w:t>
            </w:r>
          </w:p>
        </w:tc>
        <w:tc>
          <w:tcPr>
            <w:tcW w:w="1369" w:type="dxa"/>
            <w:tcBorders>
              <w:top w:val="nil"/>
              <w:left w:val="nil"/>
              <w:bottom w:val="single" w:sz="4" w:space="0" w:color="auto"/>
              <w:right w:val="single" w:sz="8" w:space="0" w:color="auto"/>
            </w:tcBorders>
            <w:shd w:val="clear" w:color="auto" w:fill="B6DDE8" w:themeFill="accent5" w:themeFillTint="66"/>
            <w:vAlign w:val="center"/>
            <w:hideMark/>
          </w:tcPr>
          <w:p w:rsidR="00B51FD6" w:rsidRPr="00B97E75" w:rsidRDefault="00B51FD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2014</w:t>
            </w:r>
          </w:p>
        </w:tc>
      </w:tr>
      <w:tr w:rsidR="00B51FD6" w:rsidRPr="00B97E75" w:rsidTr="00E17A00">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N</w:t>
            </w:r>
          </w:p>
        </w:tc>
        <w:tc>
          <w:tcPr>
            <w:tcW w:w="2815" w:type="dxa"/>
            <w:tcBorders>
              <w:top w:val="nil"/>
              <w:left w:val="nil"/>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Valid</w:t>
            </w:r>
          </w:p>
        </w:tc>
        <w:tc>
          <w:tcPr>
            <w:tcW w:w="1369" w:type="dxa"/>
            <w:tcBorders>
              <w:top w:val="nil"/>
              <w:left w:val="nil"/>
              <w:bottom w:val="single" w:sz="4" w:space="0" w:color="auto"/>
              <w:right w:val="single" w:sz="8"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31</w:t>
            </w:r>
          </w:p>
        </w:tc>
      </w:tr>
      <w:tr w:rsidR="00B51FD6" w:rsidRPr="00B97E75" w:rsidTr="00E17A00">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815" w:type="dxa"/>
            <w:tcBorders>
              <w:top w:val="nil"/>
              <w:left w:val="nil"/>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Missing</w:t>
            </w:r>
          </w:p>
        </w:tc>
        <w:tc>
          <w:tcPr>
            <w:tcW w:w="1369" w:type="dxa"/>
            <w:tcBorders>
              <w:top w:val="nil"/>
              <w:left w:val="nil"/>
              <w:bottom w:val="single" w:sz="4" w:space="0" w:color="auto"/>
              <w:right w:val="single" w:sz="8"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0</w:t>
            </w:r>
          </w:p>
        </w:tc>
      </w:tr>
      <w:tr w:rsidR="00B51FD6" w:rsidRPr="00B97E75" w:rsidTr="00E17A00">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Average</w:t>
            </w:r>
          </w:p>
        </w:tc>
        <w:tc>
          <w:tcPr>
            <w:tcW w:w="2815" w:type="dxa"/>
            <w:tcBorders>
              <w:top w:val="nil"/>
              <w:left w:val="nil"/>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Median</w:t>
            </w:r>
          </w:p>
        </w:tc>
        <w:tc>
          <w:tcPr>
            <w:tcW w:w="1369" w:type="dxa"/>
            <w:tcBorders>
              <w:top w:val="nil"/>
              <w:left w:val="nil"/>
              <w:bottom w:val="single" w:sz="4" w:space="0" w:color="auto"/>
              <w:right w:val="single" w:sz="8" w:space="0" w:color="auto"/>
            </w:tcBorders>
            <w:shd w:val="clear" w:color="auto" w:fill="auto"/>
            <w:vAlign w:val="center"/>
            <w:hideMark/>
          </w:tcPr>
          <w:p w:rsidR="00B51FD6" w:rsidRPr="00B97E75" w:rsidRDefault="00B51FD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GB" w:eastAsia="en-IE"/>
              </w:rPr>
              <w:t>218.00</w:t>
            </w:r>
          </w:p>
        </w:tc>
      </w:tr>
      <w:tr w:rsidR="00B51FD6" w:rsidRPr="00B97E75" w:rsidTr="00E17A00">
        <w:trPr>
          <w:trHeight w:val="315"/>
        </w:trPr>
        <w:tc>
          <w:tcPr>
            <w:tcW w:w="2020" w:type="dxa"/>
            <w:tcBorders>
              <w:top w:val="nil"/>
              <w:left w:val="single" w:sz="8" w:space="0" w:color="auto"/>
              <w:bottom w:val="single" w:sz="8"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815" w:type="dxa"/>
            <w:tcBorders>
              <w:top w:val="nil"/>
              <w:left w:val="nil"/>
              <w:bottom w:val="single" w:sz="8"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Mean</w:t>
            </w:r>
          </w:p>
        </w:tc>
        <w:tc>
          <w:tcPr>
            <w:tcW w:w="1369" w:type="dxa"/>
            <w:tcBorders>
              <w:top w:val="nil"/>
              <w:left w:val="nil"/>
              <w:bottom w:val="single" w:sz="8" w:space="0" w:color="auto"/>
              <w:right w:val="single" w:sz="8"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514.55</w:t>
            </w:r>
          </w:p>
        </w:tc>
      </w:tr>
      <w:tr w:rsidR="00B51FD6" w:rsidRPr="00B97E75" w:rsidTr="00E17A00">
        <w:trPr>
          <w:trHeight w:val="825"/>
        </w:trPr>
        <w:tc>
          <w:tcPr>
            <w:tcW w:w="4835" w:type="dxa"/>
            <w:gridSpan w:val="2"/>
            <w:tcBorders>
              <w:top w:val="single" w:sz="8" w:space="0" w:color="auto"/>
              <w:left w:val="single" w:sz="8" w:space="0" w:color="auto"/>
              <w:bottom w:val="single" w:sz="4" w:space="0" w:color="auto"/>
              <w:right w:val="single" w:sz="4" w:space="0" w:color="000000"/>
            </w:tcBorders>
            <w:shd w:val="clear" w:color="auto" w:fill="B6DDE8" w:themeFill="accent5" w:themeFillTint="66"/>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xml:space="preserve">Total </w:t>
            </w:r>
            <w:r w:rsidR="0059278E">
              <w:rPr>
                <w:rFonts w:eastAsia="Times New Roman" w:cstheme="minorHAnsi"/>
                <w:color w:val="000000"/>
                <w:lang w:eastAsia="en-IE"/>
              </w:rPr>
              <w:t>number</w:t>
            </w:r>
            <w:r w:rsidRPr="00B97E75">
              <w:rPr>
                <w:rFonts w:eastAsia="Times New Roman" w:cstheme="minorHAnsi"/>
                <w:color w:val="000000"/>
                <w:lang w:eastAsia="en-IE"/>
              </w:rPr>
              <w:t xml:space="preserve"> of cases closed during 2014</w:t>
            </w:r>
          </w:p>
        </w:tc>
        <w:tc>
          <w:tcPr>
            <w:tcW w:w="1369" w:type="dxa"/>
            <w:tcBorders>
              <w:top w:val="nil"/>
              <w:left w:val="nil"/>
              <w:bottom w:val="single" w:sz="4" w:space="0" w:color="auto"/>
              <w:right w:val="single" w:sz="8" w:space="0" w:color="auto"/>
            </w:tcBorders>
            <w:shd w:val="clear" w:color="auto" w:fill="B6DDE8" w:themeFill="accent5" w:themeFillTint="66"/>
            <w:vAlign w:val="center"/>
            <w:hideMark/>
          </w:tcPr>
          <w:p w:rsidR="00B51FD6" w:rsidRPr="00B97E75" w:rsidRDefault="00B51FD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2014</w:t>
            </w:r>
          </w:p>
        </w:tc>
      </w:tr>
      <w:tr w:rsidR="00B51FD6" w:rsidRPr="00B97E75" w:rsidTr="00E17A00">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N</w:t>
            </w:r>
          </w:p>
        </w:tc>
        <w:tc>
          <w:tcPr>
            <w:tcW w:w="2815" w:type="dxa"/>
            <w:tcBorders>
              <w:top w:val="nil"/>
              <w:left w:val="nil"/>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Valid</w:t>
            </w:r>
          </w:p>
        </w:tc>
        <w:tc>
          <w:tcPr>
            <w:tcW w:w="1369" w:type="dxa"/>
            <w:tcBorders>
              <w:top w:val="nil"/>
              <w:left w:val="nil"/>
              <w:bottom w:val="single" w:sz="4" w:space="0" w:color="auto"/>
              <w:right w:val="single" w:sz="8"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31</w:t>
            </w:r>
          </w:p>
        </w:tc>
      </w:tr>
      <w:tr w:rsidR="00B51FD6" w:rsidRPr="00B97E75" w:rsidTr="00E17A00">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815" w:type="dxa"/>
            <w:tcBorders>
              <w:top w:val="nil"/>
              <w:left w:val="nil"/>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Missing</w:t>
            </w:r>
          </w:p>
        </w:tc>
        <w:tc>
          <w:tcPr>
            <w:tcW w:w="1369" w:type="dxa"/>
            <w:tcBorders>
              <w:top w:val="nil"/>
              <w:left w:val="nil"/>
              <w:bottom w:val="single" w:sz="4" w:space="0" w:color="auto"/>
              <w:right w:val="single" w:sz="8"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0</w:t>
            </w:r>
          </w:p>
        </w:tc>
      </w:tr>
      <w:tr w:rsidR="00B51FD6" w:rsidRPr="00B97E75" w:rsidTr="00E17A00">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Average</w:t>
            </w:r>
          </w:p>
        </w:tc>
        <w:tc>
          <w:tcPr>
            <w:tcW w:w="2815" w:type="dxa"/>
            <w:tcBorders>
              <w:top w:val="nil"/>
              <w:left w:val="nil"/>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Median</w:t>
            </w:r>
          </w:p>
        </w:tc>
        <w:tc>
          <w:tcPr>
            <w:tcW w:w="1369" w:type="dxa"/>
            <w:tcBorders>
              <w:top w:val="nil"/>
              <w:left w:val="nil"/>
              <w:bottom w:val="single" w:sz="4" w:space="0" w:color="auto"/>
              <w:right w:val="single" w:sz="8" w:space="0" w:color="auto"/>
            </w:tcBorders>
            <w:shd w:val="clear" w:color="auto" w:fill="auto"/>
            <w:vAlign w:val="center"/>
            <w:hideMark/>
          </w:tcPr>
          <w:p w:rsidR="00B51FD6" w:rsidRPr="00B97E75" w:rsidRDefault="00B51FD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GB" w:eastAsia="en-IE"/>
              </w:rPr>
              <w:t>120.00</w:t>
            </w:r>
          </w:p>
        </w:tc>
      </w:tr>
      <w:tr w:rsidR="00B51FD6" w:rsidRPr="00B97E75" w:rsidTr="00E17A00">
        <w:trPr>
          <w:trHeight w:val="315"/>
        </w:trPr>
        <w:tc>
          <w:tcPr>
            <w:tcW w:w="2020" w:type="dxa"/>
            <w:tcBorders>
              <w:top w:val="nil"/>
              <w:left w:val="single" w:sz="8" w:space="0" w:color="auto"/>
              <w:bottom w:val="single" w:sz="8"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815" w:type="dxa"/>
            <w:tcBorders>
              <w:top w:val="nil"/>
              <w:left w:val="nil"/>
              <w:bottom w:val="single" w:sz="8"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Mean</w:t>
            </w:r>
          </w:p>
        </w:tc>
        <w:tc>
          <w:tcPr>
            <w:tcW w:w="1369" w:type="dxa"/>
            <w:tcBorders>
              <w:top w:val="nil"/>
              <w:left w:val="nil"/>
              <w:bottom w:val="single" w:sz="8" w:space="0" w:color="auto"/>
              <w:right w:val="single" w:sz="8"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178.68</w:t>
            </w:r>
          </w:p>
        </w:tc>
      </w:tr>
      <w:tr w:rsidR="00B51FD6" w:rsidRPr="00B97E75" w:rsidTr="00E17A00">
        <w:trPr>
          <w:trHeight w:val="300"/>
        </w:trPr>
        <w:tc>
          <w:tcPr>
            <w:tcW w:w="4835" w:type="dxa"/>
            <w:gridSpan w:val="2"/>
            <w:tcBorders>
              <w:top w:val="single" w:sz="8" w:space="0" w:color="auto"/>
              <w:left w:val="single" w:sz="8" w:space="0" w:color="auto"/>
              <w:bottom w:val="single" w:sz="4" w:space="0" w:color="auto"/>
              <w:right w:val="single" w:sz="4" w:space="0" w:color="000000"/>
            </w:tcBorders>
            <w:shd w:val="clear" w:color="auto" w:fill="B6DDE8" w:themeFill="accent5" w:themeFillTint="66"/>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of</w:t>
            </w:r>
            <w:r w:rsidR="001453F5">
              <w:rPr>
                <w:rFonts w:eastAsia="Times New Roman" w:cstheme="minorHAnsi"/>
                <w:color w:val="000000"/>
                <w:lang w:eastAsia="en-IE"/>
              </w:rPr>
              <w:t xml:space="preserve"> </w:t>
            </w:r>
            <w:r w:rsidR="0059278E">
              <w:rPr>
                <w:rFonts w:eastAsia="Times New Roman" w:cstheme="minorHAnsi"/>
                <w:color w:val="000000"/>
                <w:lang w:eastAsia="en-IE"/>
              </w:rPr>
              <w:t xml:space="preserve">the </w:t>
            </w:r>
            <w:r w:rsidR="001453F5">
              <w:rPr>
                <w:rFonts w:eastAsia="Times New Roman" w:cstheme="minorHAnsi"/>
                <w:color w:val="000000"/>
                <w:lang w:eastAsia="en-IE"/>
              </w:rPr>
              <w:t xml:space="preserve">closed </w:t>
            </w:r>
            <w:r w:rsidRPr="00B97E75">
              <w:rPr>
                <w:rFonts w:eastAsia="Times New Roman" w:cstheme="minorHAnsi"/>
                <w:color w:val="000000"/>
                <w:lang w:eastAsia="en-IE"/>
              </w:rPr>
              <w:t>cases  that were dismissed</w:t>
            </w:r>
          </w:p>
        </w:tc>
        <w:tc>
          <w:tcPr>
            <w:tcW w:w="1369" w:type="dxa"/>
            <w:tcBorders>
              <w:top w:val="nil"/>
              <w:left w:val="nil"/>
              <w:bottom w:val="single" w:sz="4" w:space="0" w:color="auto"/>
              <w:right w:val="single" w:sz="8" w:space="0" w:color="auto"/>
            </w:tcBorders>
            <w:shd w:val="clear" w:color="auto" w:fill="B6DDE8" w:themeFill="accent5" w:themeFillTint="66"/>
            <w:vAlign w:val="center"/>
            <w:hideMark/>
          </w:tcPr>
          <w:p w:rsidR="00B51FD6" w:rsidRPr="00B97E75" w:rsidRDefault="00B51FD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2014</w:t>
            </w:r>
          </w:p>
        </w:tc>
      </w:tr>
      <w:tr w:rsidR="00B51FD6" w:rsidRPr="00B97E75" w:rsidTr="00E17A00">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N</w:t>
            </w:r>
          </w:p>
        </w:tc>
        <w:tc>
          <w:tcPr>
            <w:tcW w:w="2815" w:type="dxa"/>
            <w:tcBorders>
              <w:top w:val="nil"/>
              <w:left w:val="nil"/>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Valid</w:t>
            </w:r>
          </w:p>
        </w:tc>
        <w:tc>
          <w:tcPr>
            <w:tcW w:w="1369" w:type="dxa"/>
            <w:tcBorders>
              <w:top w:val="nil"/>
              <w:left w:val="nil"/>
              <w:bottom w:val="single" w:sz="4" w:space="0" w:color="auto"/>
              <w:right w:val="single" w:sz="8" w:space="0" w:color="auto"/>
            </w:tcBorders>
            <w:shd w:val="clear" w:color="auto" w:fill="auto"/>
            <w:vAlign w:val="center"/>
            <w:hideMark/>
          </w:tcPr>
          <w:p w:rsidR="00B51FD6" w:rsidRPr="00B97E75" w:rsidRDefault="00266776" w:rsidP="00E17A00">
            <w:pPr>
              <w:spacing w:after="0" w:line="240" w:lineRule="auto"/>
              <w:rPr>
                <w:rFonts w:eastAsia="Times New Roman" w:cstheme="minorHAnsi"/>
                <w:color w:val="000000"/>
                <w:lang w:eastAsia="en-IE"/>
              </w:rPr>
            </w:pPr>
            <w:r>
              <w:rPr>
                <w:rFonts w:eastAsia="Times New Roman" w:cstheme="minorHAnsi"/>
                <w:color w:val="000000"/>
                <w:lang w:val="en-US" w:eastAsia="en-IE"/>
              </w:rPr>
              <w:t>31</w:t>
            </w:r>
          </w:p>
        </w:tc>
      </w:tr>
      <w:tr w:rsidR="00B51FD6" w:rsidRPr="00B97E75" w:rsidTr="00E17A00">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815" w:type="dxa"/>
            <w:tcBorders>
              <w:top w:val="nil"/>
              <w:left w:val="nil"/>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Missing</w:t>
            </w:r>
          </w:p>
        </w:tc>
        <w:tc>
          <w:tcPr>
            <w:tcW w:w="1369" w:type="dxa"/>
            <w:tcBorders>
              <w:top w:val="nil"/>
              <w:left w:val="nil"/>
              <w:bottom w:val="single" w:sz="4" w:space="0" w:color="auto"/>
              <w:right w:val="single" w:sz="8" w:space="0" w:color="auto"/>
            </w:tcBorders>
            <w:shd w:val="clear" w:color="auto" w:fill="auto"/>
            <w:vAlign w:val="center"/>
            <w:hideMark/>
          </w:tcPr>
          <w:p w:rsidR="00B51FD6" w:rsidRPr="00B97E75" w:rsidRDefault="00266776" w:rsidP="00E17A00">
            <w:pPr>
              <w:spacing w:after="0" w:line="240" w:lineRule="auto"/>
              <w:rPr>
                <w:rFonts w:eastAsia="Times New Roman" w:cstheme="minorHAnsi"/>
                <w:color w:val="000000"/>
                <w:lang w:eastAsia="en-IE"/>
              </w:rPr>
            </w:pPr>
            <w:r>
              <w:rPr>
                <w:rFonts w:eastAsia="Times New Roman" w:cstheme="minorHAnsi"/>
                <w:color w:val="000000"/>
                <w:lang w:val="en-US" w:eastAsia="en-IE"/>
              </w:rPr>
              <w:t>0</w:t>
            </w:r>
          </w:p>
        </w:tc>
      </w:tr>
      <w:tr w:rsidR="00B51FD6" w:rsidRPr="00B97E75" w:rsidTr="00E17A00">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Average</w:t>
            </w:r>
          </w:p>
        </w:tc>
        <w:tc>
          <w:tcPr>
            <w:tcW w:w="2815" w:type="dxa"/>
            <w:tcBorders>
              <w:top w:val="nil"/>
              <w:left w:val="nil"/>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Median</w:t>
            </w:r>
          </w:p>
        </w:tc>
        <w:tc>
          <w:tcPr>
            <w:tcW w:w="1369" w:type="dxa"/>
            <w:tcBorders>
              <w:top w:val="nil"/>
              <w:left w:val="nil"/>
              <w:bottom w:val="single" w:sz="4" w:space="0" w:color="auto"/>
              <w:right w:val="single" w:sz="8" w:space="0" w:color="auto"/>
            </w:tcBorders>
            <w:shd w:val="clear" w:color="auto" w:fill="auto"/>
            <w:vAlign w:val="center"/>
            <w:hideMark/>
          </w:tcPr>
          <w:p w:rsidR="00B51FD6" w:rsidRPr="00B97E75" w:rsidRDefault="0085426A" w:rsidP="00E17A00">
            <w:pPr>
              <w:spacing w:after="0" w:line="240" w:lineRule="auto"/>
              <w:rPr>
                <w:rFonts w:eastAsia="Times New Roman" w:cstheme="minorHAnsi"/>
                <w:b/>
                <w:bCs/>
                <w:color w:val="000000"/>
                <w:lang w:eastAsia="en-IE"/>
              </w:rPr>
            </w:pPr>
            <w:r>
              <w:rPr>
                <w:rFonts w:eastAsia="Times New Roman" w:cstheme="minorHAnsi"/>
                <w:b/>
                <w:bCs/>
                <w:color w:val="000000"/>
                <w:lang w:val="en-GB" w:eastAsia="en-IE"/>
              </w:rPr>
              <w:t>22.96</w:t>
            </w:r>
          </w:p>
        </w:tc>
      </w:tr>
      <w:tr w:rsidR="00B51FD6" w:rsidRPr="00B97E75" w:rsidTr="00E17A00">
        <w:trPr>
          <w:trHeight w:val="315"/>
        </w:trPr>
        <w:tc>
          <w:tcPr>
            <w:tcW w:w="2020" w:type="dxa"/>
            <w:tcBorders>
              <w:top w:val="nil"/>
              <w:left w:val="single" w:sz="8" w:space="0" w:color="auto"/>
              <w:bottom w:val="single" w:sz="8"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815" w:type="dxa"/>
            <w:tcBorders>
              <w:top w:val="nil"/>
              <w:left w:val="nil"/>
              <w:bottom w:val="single" w:sz="8"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Mean</w:t>
            </w:r>
          </w:p>
        </w:tc>
        <w:tc>
          <w:tcPr>
            <w:tcW w:w="1369" w:type="dxa"/>
            <w:tcBorders>
              <w:top w:val="nil"/>
              <w:left w:val="nil"/>
              <w:bottom w:val="single" w:sz="8" w:space="0" w:color="auto"/>
              <w:right w:val="single" w:sz="8" w:space="0" w:color="auto"/>
            </w:tcBorders>
            <w:shd w:val="clear" w:color="auto" w:fill="auto"/>
            <w:vAlign w:val="center"/>
            <w:hideMark/>
          </w:tcPr>
          <w:p w:rsidR="00B51FD6" w:rsidRPr="00B97E75" w:rsidRDefault="0085426A" w:rsidP="00E17A00">
            <w:pPr>
              <w:spacing w:after="0" w:line="240" w:lineRule="auto"/>
              <w:rPr>
                <w:rFonts w:eastAsia="Times New Roman" w:cstheme="minorHAnsi"/>
                <w:color w:val="000000"/>
                <w:lang w:eastAsia="en-IE"/>
              </w:rPr>
            </w:pPr>
            <w:r>
              <w:rPr>
                <w:rFonts w:eastAsia="Times New Roman" w:cstheme="minorHAnsi"/>
                <w:color w:val="000000"/>
                <w:lang w:val="en-US" w:eastAsia="en-IE"/>
              </w:rPr>
              <w:t>26.53</w:t>
            </w:r>
          </w:p>
        </w:tc>
      </w:tr>
      <w:tr w:rsidR="00B51FD6" w:rsidRPr="00B97E75" w:rsidTr="00E17A00">
        <w:trPr>
          <w:trHeight w:val="300"/>
        </w:trPr>
        <w:tc>
          <w:tcPr>
            <w:tcW w:w="4835" w:type="dxa"/>
            <w:gridSpan w:val="2"/>
            <w:tcBorders>
              <w:top w:val="single" w:sz="8" w:space="0" w:color="auto"/>
              <w:left w:val="single" w:sz="8" w:space="0" w:color="auto"/>
              <w:bottom w:val="single" w:sz="4" w:space="0" w:color="auto"/>
              <w:right w:val="single" w:sz="4" w:space="0" w:color="000000"/>
            </w:tcBorders>
            <w:shd w:val="clear" w:color="auto" w:fill="B6DDE8" w:themeFill="accent5" w:themeFillTint="66"/>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w:t>
            </w:r>
            <w:r w:rsidR="00554F19">
              <w:rPr>
                <w:rFonts w:eastAsia="Times New Roman" w:cstheme="minorHAnsi"/>
                <w:color w:val="000000"/>
                <w:lang w:eastAsia="en-IE"/>
              </w:rPr>
              <w:t xml:space="preserve"> </w:t>
            </w:r>
            <w:r w:rsidR="001453F5">
              <w:rPr>
                <w:rFonts w:eastAsia="Times New Roman" w:cstheme="minorHAnsi"/>
                <w:color w:val="000000"/>
                <w:lang w:eastAsia="en-IE"/>
              </w:rPr>
              <w:t xml:space="preserve">of </w:t>
            </w:r>
            <w:r w:rsidR="00554F19">
              <w:rPr>
                <w:rFonts w:eastAsia="Times New Roman" w:cstheme="minorHAnsi"/>
                <w:color w:val="000000"/>
                <w:lang w:eastAsia="en-IE"/>
              </w:rPr>
              <w:t>closed cases resolved to the LAs</w:t>
            </w:r>
            <w:r w:rsidRPr="00B97E75">
              <w:rPr>
                <w:rFonts w:eastAsia="Times New Roman" w:cstheme="minorHAnsi"/>
                <w:color w:val="000000"/>
                <w:lang w:eastAsia="en-IE"/>
              </w:rPr>
              <w:t xml:space="preserve"> satisfaction </w:t>
            </w:r>
          </w:p>
        </w:tc>
        <w:tc>
          <w:tcPr>
            <w:tcW w:w="1369" w:type="dxa"/>
            <w:tcBorders>
              <w:top w:val="nil"/>
              <w:left w:val="nil"/>
              <w:bottom w:val="single" w:sz="4" w:space="0" w:color="auto"/>
              <w:right w:val="single" w:sz="8" w:space="0" w:color="auto"/>
            </w:tcBorders>
            <w:shd w:val="clear" w:color="auto" w:fill="B6DDE8" w:themeFill="accent5" w:themeFillTint="66"/>
            <w:vAlign w:val="center"/>
            <w:hideMark/>
          </w:tcPr>
          <w:p w:rsidR="00B51FD6" w:rsidRPr="00B97E75" w:rsidRDefault="00B51FD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2014</w:t>
            </w:r>
          </w:p>
        </w:tc>
      </w:tr>
      <w:tr w:rsidR="00B51FD6" w:rsidRPr="00B97E75" w:rsidTr="00E17A00">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N</w:t>
            </w:r>
          </w:p>
        </w:tc>
        <w:tc>
          <w:tcPr>
            <w:tcW w:w="2815" w:type="dxa"/>
            <w:tcBorders>
              <w:top w:val="nil"/>
              <w:left w:val="nil"/>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Valid</w:t>
            </w:r>
          </w:p>
        </w:tc>
        <w:tc>
          <w:tcPr>
            <w:tcW w:w="1369" w:type="dxa"/>
            <w:tcBorders>
              <w:top w:val="nil"/>
              <w:left w:val="nil"/>
              <w:bottom w:val="single" w:sz="4" w:space="0" w:color="auto"/>
              <w:right w:val="single" w:sz="8" w:space="0" w:color="auto"/>
            </w:tcBorders>
            <w:shd w:val="clear" w:color="auto" w:fill="auto"/>
            <w:vAlign w:val="center"/>
            <w:hideMark/>
          </w:tcPr>
          <w:p w:rsidR="00B51FD6" w:rsidRPr="00B97E75" w:rsidRDefault="00266776" w:rsidP="00E17A00">
            <w:pPr>
              <w:spacing w:after="0" w:line="240" w:lineRule="auto"/>
              <w:rPr>
                <w:rFonts w:eastAsia="Times New Roman" w:cstheme="minorHAnsi"/>
                <w:color w:val="000000"/>
                <w:lang w:eastAsia="en-IE"/>
              </w:rPr>
            </w:pPr>
            <w:r>
              <w:rPr>
                <w:rFonts w:eastAsia="Times New Roman" w:cstheme="minorHAnsi"/>
                <w:color w:val="000000"/>
                <w:lang w:val="en-US" w:eastAsia="en-IE"/>
              </w:rPr>
              <w:t>31</w:t>
            </w:r>
          </w:p>
        </w:tc>
      </w:tr>
      <w:tr w:rsidR="00B51FD6" w:rsidRPr="00B97E75" w:rsidTr="00E17A00">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815" w:type="dxa"/>
            <w:tcBorders>
              <w:top w:val="nil"/>
              <w:left w:val="nil"/>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Missing</w:t>
            </w:r>
          </w:p>
        </w:tc>
        <w:tc>
          <w:tcPr>
            <w:tcW w:w="1369" w:type="dxa"/>
            <w:tcBorders>
              <w:top w:val="nil"/>
              <w:left w:val="nil"/>
              <w:bottom w:val="single" w:sz="4" w:space="0" w:color="auto"/>
              <w:right w:val="single" w:sz="8" w:space="0" w:color="auto"/>
            </w:tcBorders>
            <w:shd w:val="clear" w:color="auto" w:fill="auto"/>
            <w:vAlign w:val="center"/>
            <w:hideMark/>
          </w:tcPr>
          <w:p w:rsidR="00B51FD6" w:rsidRPr="00B97E75" w:rsidRDefault="00266776" w:rsidP="00E17A00">
            <w:pPr>
              <w:spacing w:after="0" w:line="240" w:lineRule="auto"/>
              <w:rPr>
                <w:rFonts w:eastAsia="Times New Roman" w:cstheme="minorHAnsi"/>
                <w:color w:val="000000"/>
                <w:lang w:eastAsia="en-IE"/>
              </w:rPr>
            </w:pPr>
            <w:r>
              <w:rPr>
                <w:rFonts w:eastAsia="Times New Roman" w:cstheme="minorHAnsi"/>
                <w:color w:val="000000"/>
                <w:lang w:val="en-US" w:eastAsia="en-IE"/>
              </w:rPr>
              <w:t>0</w:t>
            </w:r>
          </w:p>
        </w:tc>
      </w:tr>
      <w:tr w:rsidR="00B51FD6" w:rsidRPr="00B97E75" w:rsidTr="00E17A00">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Average</w:t>
            </w:r>
          </w:p>
        </w:tc>
        <w:tc>
          <w:tcPr>
            <w:tcW w:w="2815" w:type="dxa"/>
            <w:tcBorders>
              <w:top w:val="nil"/>
              <w:left w:val="nil"/>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Median</w:t>
            </w:r>
          </w:p>
        </w:tc>
        <w:tc>
          <w:tcPr>
            <w:tcW w:w="1369" w:type="dxa"/>
            <w:tcBorders>
              <w:top w:val="nil"/>
              <w:left w:val="nil"/>
              <w:bottom w:val="single" w:sz="4" w:space="0" w:color="auto"/>
              <w:right w:val="single" w:sz="8" w:space="0" w:color="auto"/>
            </w:tcBorders>
            <w:shd w:val="clear" w:color="auto" w:fill="auto"/>
            <w:vAlign w:val="center"/>
            <w:hideMark/>
          </w:tcPr>
          <w:p w:rsidR="00B51FD6" w:rsidRPr="00B97E75" w:rsidRDefault="0085426A" w:rsidP="00E17A00">
            <w:pPr>
              <w:spacing w:after="0" w:line="240" w:lineRule="auto"/>
              <w:rPr>
                <w:rFonts w:eastAsia="Times New Roman" w:cstheme="minorHAnsi"/>
                <w:b/>
                <w:bCs/>
                <w:color w:val="000000"/>
                <w:lang w:eastAsia="en-IE"/>
              </w:rPr>
            </w:pPr>
            <w:r>
              <w:rPr>
                <w:rFonts w:eastAsia="Times New Roman" w:cstheme="minorHAnsi"/>
                <w:b/>
                <w:bCs/>
                <w:color w:val="000000"/>
                <w:lang w:val="en-GB" w:eastAsia="en-IE"/>
              </w:rPr>
              <w:t>25.00</w:t>
            </w:r>
          </w:p>
        </w:tc>
      </w:tr>
      <w:tr w:rsidR="00B51FD6" w:rsidRPr="00B97E75" w:rsidTr="00E17A00">
        <w:trPr>
          <w:trHeight w:val="315"/>
        </w:trPr>
        <w:tc>
          <w:tcPr>
            <w:tcW w:w="2020" w:type="dxa"/>
            <w:tcBorders>
              <w:top w:val="nil"/>
              <w:left w:val="single" w:sz="8" w:space="0" w:color="auto"/>
              <w:bottom w:val="single" w:sz="8"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815" w:type="dxa"/>
            <w:tcBorders>
              <w:top w:val="nil"/>
              <w:left w:val="nil"/>
              <w:bottom w:val="single" w:sz="8"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Mean</w:t>
            </w:r>
          </w:p>
        </w:tc>
        <w:tc>
          <w:tcPr>
            <w:tcW w:w="1369" w:type="dxa"/>
            <w:tcBorders>
              <w:top w:val="nil"/>
              <w:left w:val="nil"/>
              <w:bottom w:val="single" w:sz="8" w:space="0" w:color="auto"/>
              <w:right w:val="single" w:sz="8" w:space="0" w:color="auto"/>
            </w:tcBorders>
            <w:shd w:val="clear" w:color="auto" w:fill="auto"/>
            <w:vAlign w:val="center"/>
            <w:hideMark/>
          </w:tcPr>
          <w:p w:rsidR="00B51FD6" w:rsidRPr="00B97E75" w:rsidRDefault="0085426A" w:rsidP="00E17A00">
            <w:pPr>
              <w:spacing w:after="0" w:line="240" w:lineRule="auto"/>
              <w:rPr>
                <w:rFonts w:eastAsia="Times New Roman" w:cstheme="minorHAnsi"/>
                <w:color w:val="000000"/>
                <w:lang w:eastAsia="en-IE"/>
              </w:rPr>
            </w:pPr>
            <w:r>
              <w:rPr>
                <w:rFonts w:eastAsia="Times New Roman" w:cstheme="minorHAnsi"/>
                <w:color w:val="000000"/>
                <w:lang w:val="en-US" w:eastAsia="en-IE"/>
              </w:rPr>
              <w:t>27.97</w:t>
            </w:r>
          </w:p>
        </w:tc>
      </w:tr>
      <w:tr w:rsidR="00B51FD6" w:rsidRPr="00B97E75" w:rsidTr="00E17A00">
        <w:trPr>
          <w:trHeight w:val="300"/>
        </w:trPr>
        <w:tc>
          <w:tcPr>
            <w:tcW w:w="4835" w:type="dxa"/>
            <w:gridSpan w:val="2"/>
            <w:tcBorders>
              <w:top w:val="single" w:sz="8" w:space="0" w:color="auto"/>
              <w:left w:val="single" w:sz="8" w:space="0" w:color="auto"/>
              <w:bottom w:val="single" w:sz="4" w:space="0" w:color="auto"/>
              <w:right w:val="single" w:sz="4" w:space="0" w:color="000000"/>
            </w:tcBorders>
            <w:shd w:val="clear" w:color="auto" w:fill="B6DDE8" w:themeFill="accent5" w:themeFillTint="66"/>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closed cases due to enforcement proceedings</w:t>
            </w:r>
          </w:p>
        </w:tc>
        <w:tc>
          <w:tcPr>
            <w:tcW w:w="1369" w:type="dxa"/>
            <w:tcBorders>
              <w:top w:val="nil"/>
              <w:left w:val="nil"/>
              <w:bottom w:val="single" w:sz="4" w:space="0" w:color="auto"/>
              <w:right w:val="single" w:sz="8" w:space="0" w:color="auto"/>
            </w:tcBorders>
            <w:shd w:val="clear" w:color="auto" w:fill="B6DDE8" w:themeFill="accent5" w:themeFillTint="66"/>
            <w:vAlign w:val="center"/>
            <w:hideMark/>
          </w:tcPr>
          <w:p w:rsidR="00B51FD6" w:rsidRPr="00B97E75" w:rsidRDefault="00B51FD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2014</w:t>
            </w:r>
          </w:p>
        </w:tc>
      </w:tr>
      <w:tr w:rsidR="00B51FD6" w:rsidRPr="00B97E75" w:rsidTr="00E17A00">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N</w:t>
            </w:r>
          </w:p>
        </w:tc>
        <w:tc>
          <w:tcPr>
            <w:tcW w:w="2815" w:type="dxa"/>
            <w:tcBorders>
              <w:top w:val="nil"/>
              <w:left w:val="nil"/>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Valid</w:t>
            </w:r>
          </w:p>
        </w:tc>
        <w:tc>
          <w:tcPr>
            <w:tcW w:w="1369" w:type="dxa"/>
            <w:tcBorders>
              <w:top w:val="nil"/>
              <w:left w:val="nil"/>
              <w:bottom w:val="single" w:sz="4" w:space="0" w:color="auto"/>
              <w:right w:val="single" w:sz="8" w:space="0" w:color="auto"/>
            </w:tcBorders>
            <w:shd w:val="clear" w:color="auto" w:fill="auto"/>
            <w:vAlign w:val="center"/>
            <w:hideMark/>
          </w:tcPr>
          <w:p w:rsidR="00B51FD6" w:rsidRPr="00B97E75" w:rsidRDefault="00266776" w:rsidP="00E17A00">
            <w:pPr>
              <w:spacing w:after="0" w:line="240" w:lineRule="auto"/>
              <w:rPr>
                <w:rFonts w:eastAsia="Times New Roman" w:cstheme="minorHAnsi"/>
                <w:color w:val="000000"/>
                <w:lang w:eastAsia="en-IE"/>
              </w:rPr>
            </w:pPr>
            <w:r>
              <w:rPr>
                <w:rFonts w:eastAsia="Times New Roman" w:cstheme="minorHAnsi"/>
                <w:color w:val="000000"/>
                <w:lang w:val="en-US" w:eastAsia="en-IE"/>
              </w:rPr>
              <w:t>31</w:t>
            </w:r>
          </w:p>
        </w:tc>
      </w:tr>
      <w:tr w:rsidR="00B51FD6" w:rsidRPr="00B97E75" w:rsidTr="00E17A00">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815" w:type="dxa"/>
            <w:tcBorders>
              <w:top w:val="nil"/>
              <w:left w:val="nil"/>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Missing</w:t>
            </w:r>
          </w:p>
        </w:tc>
        <w:tc>
          <w:tcPr>
            <w:tcW w:w="1369" w:type="dxa"/>
            <w:tcBorders>
              <w:top w:val="nil"/>
              <w:left w:val="nil"/>
              <w:bottom w:val="single" w:sz="4" w:space="0" w:color="auto"/>
              <w:right w:val="single" w:sz="8" w:space="0" w:color="auto"/>
            </w:tcBorders>
            <w:shd w:val="clear" w:color="auto" w:fill="auto"/>
            <w:vAlign w:val="center"/>
            <w:hideMark/>
          </w:tcPr>
          <w:p w:rsidR="00B51FD6" w:rsidRPr="00B97E75" w:rsidRDefault="00266776" w:rsidP="00E17A00">
            <w:pPr>
              <w:spacing w:after="0" w:line="240" w:lineRule="auto"/>
              <w:rPr>
                <w:rFonts w:eastAsia="Times New Roman" w:cstheme="minorHAnsi"/>
                <w:color w:val="000000"/>
                <w:lang w:eastAsia="en-IE"/>
              </w:rPr>
            </w:pPr>
            <w:r>
              <w:rPr>
                <w:rFonts w:eastAsia="Times New Roman" w:cstheme="minorHAnsi"/>
                <w:color w:val="000000"/>
                <w:lang w:val="en-US" w:eastAsia="en-IE"/>
              </w:rPr>
              <w:t>0</w:t>
            </w:r>
          </w:p>
        </w:tc>
      </w:tr>
      <w:tr w:rsidR="00B51FD6" w:rsidRPr="00B97E75" w:rsidTr="00E17A00">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Average</w:t>
            </w:r>
          </w:p>
        </w:tc>
        <w:tc>
          <w:tcPr>
            <w:tcW w:w="2815" w:type="dxa"/>
            <w:tcBorders>
              <w:top w:val="nil"/>
              <w:left w:val="nil"/>
              <w:bottom w:val="single" w:sz="4"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Median</w:t>
            </w:r>
          </w:p>
        </w:tc>
        <w:tc>
          <w:tcPr>
            <w:tcW w:w="1369" w:type="dxa"/>
            <w:tcBorders>
              <w:top w:val="nil"/>
              <w:left w:val="nil"/>
              <w:bottom w:val="single" w:sz="4" w:space="0" w:color="auto"/>
              <w:right w:val="single" w:sz="8" w:space="0" w:color="auto"/>
            </w:tcBorders>
            <w:shd w:val="clear" w:color="auto" w:fill="auto"/>
            <w:vAlign w:val="center"/>
            <w:hideMark/>
          </w:tcPr>
          <w:p w:rsidR="00B51FD6" w:rsidRPr="00B97E75" w:rsidRDefault="00266776" w:rsidP="00266776">
            <w:pPr>
              <w:spacing w:after="0" w:line="240" w:lineRule="auto"/>
              <w:rPr>
                <w:rFonts w:eastAsia="Times New Roman" w:cstheme="minorHAnsi"/>
                <w:b/>
                <w:bCs/>
                <w:color w:val="000000"/>
                <w:lang w:eastAsia="en-IE"/>
              </w:rPr>
            </w:pPr>
            <w:r>
              <w:rPr>
                <w:rFonts w:eastAsia="Times New Roman" w:cstheme="minorHAnsi"/>
                <w:b/>
                <w:bCs/>
                <w:color w:val="000000"/>
                <w:lang w:val="en-GB" w:eastAsia="en-IE"/>
              </w:rPr>
              <w:t>37.30</w:t>
            </w:r>
          </w:p>
        </w:tc>
      </w:tr>
      <w:tr w:rsidR="00B51FD6" w:rsidRPr="00B97E75" w:rsidTr="00E17A00">
        <w:trPr>
          <w:trHeight w:val="315"/>
        </w:trPr>
        <w:tc>
          <w:tcPr>
            <w:tcW w:w="2020" w:type="dxa"/>
            <w:tcBorders>
              <w:top w:val="nil"/>
              <w:left w:val="single" w:sz="8" w:space="0" w:color="auto"/>
              <w:bottom w:val="single" w:sz="8"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2815" w:type="dxa"/>
            <w:tcBorders>
              <w:top w:val="nil"/>
              <w:left w:val="nil"/>
              <w:bottom w:val="single" w:sz="8" w:space="0" w:color="auto"/>
              <w:right w:val="single" w:sz="4" w:space="0" w:color="auto"/>
            </w:tcBorders>
            <w:shd w:val="clear" w:color="auto" w:fill="auto"/>
            <w:vAlign w:val="center"/>
            <w:hideMark/>
          </w:tcPr>
          <w:p w:rsidR="00B51FD6" w:rsidRPr="00B97E75" w:rsidRDefault="00B51FD6"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Mean</w:t>
            </w:r>
          </w:p>
        </w:tc>
        <w:tc>
          <w:tcPr>
            <w:tcW w:w="1369" w:type="dxa"/>
            <w:tcBorders>
              <w:top w:val="nil"/>
              <w:left w:val="nil"/>
              <w:bottom w:val="single" w:sz="8" w:space="0" w:color="auto"/>
              <w:right w:val="single" w:sz="8" w:space="0" w:color="auto"/>
            </w:tcBorders>
            <w:shd w:val="clear" w:color="auto" w:fill="auto"/>
            <w:vAlign w:val="center"/>
            <w:hideMark/>
          </w:tcPr>
          <w:p w:rsidR="00B51FD6" w:rsidRPr="00B97E75" w:rsidRDefault="00266776" w:rsidP="00E17A00">
            <w:pPr>
              <w:spacing w:after="0" w:line="240" w:lineRule="auto"/>
              <w:rPr>
                <w:rFonts w:eastAsia="Times New Roman" w:cstheme="minorHAnsi"/>
                <w:color w:val="000000"/>
                <w:lang w:eastAsia="en-IE"/>
              </w:rPr>
            </w:pPr>
            <w:r>
              <w:rPr>
                <w:rFonts w:eastAsia="Times New Roman" w:cstheme="minorHAnsi"/>
                <w:color w:val="000000"/>
                <w:lang w:val="en-US" w:eastAsia="en-IE"/>
              </w:rPr>
              <w:t>42</w:t>
            </w:r>
            <w:r w:rsidR="0085426A">
              <w:rPr>
                <w:rFonts w:eastAsia="Times New Roman" w:cstheme="minorHAnsi"/>
                <w:color w:val="000000"/>
                <w:lang w:val="en-US" w:eastAsia="en-IE"/>
              </w:rPr>
              <w:t>.</w:t>
            </w:r>
            <w:r>
              <w:rPr>
                <w:rFonts w:eastAsia="Times New Roman" w:cstheme="minorHAnsi"/>
                <w:color w:val="000000"/>
                <w:lang w:val="en-US" w:eastAsia="en-IE"/>
              </w:rPr>
              <w:t>34</w:t>
            </w:r>
          </w:p>
        </w:tc>
      </w:tr>
    </w:tbl>
    <w:p w:rsidR="007B0393" w:rsidRPr="00B97E75" w:rsidRDefault="007B0393">
      <w:pPr>
        <w:rPr>
          <w:rFonts w:eastAsia="Times New Roman" w:cstheme="minorHAnsi"/>
          <w:b/>
          <w:bCs/>
          <w:color w:val="000000"/>
          <w:lang w:eastAsia="en-IE"/>
        </w:rPr>
      </w:pPr>
    </w:p>
    <w:p w:rsidR="00B51FD6" w:rsidRDefault="00B51FD6" w:rsidP="0076731A">
      <w:pPr>
        <w:pStyle w:val="PISectionHeading"/>
      </w:pPr>
    </w:p>
    <w:p w:rsidR="00B51FD6" w:rsidRDefault="00B51FD6" w:rsidP="0076731A">
      <w:pPr>
        <w:pStyle w:val="PISectionHeading"/>
      </w:pPr>
    </w:p>
    <w:p w:rsidR="00B51FD6" w:rsidRDefault="00B51FD6" w:rsidP="0076731A">
      <w:pPr>
        <w:pStyle w:val="PISectionHeading"/>
      </w:pPr>
    </w:p>
    <w:p w:rsidR="00B51FD6" w:rsidRDefault="00B51FD6" w:rsidP="0076731A">
      <w:pPr>
        <w:pStyle w:val="PISectionHeading"/>
      </w:pPr>
    </w:p>
    <w:p w:rsidR="00B51FD6" w:rsidRDefault="00B51FD6" w:rsidP="0076731A">
      <w:pPr>
        <w:pStyle w:val="PISectionHeading"/>
      </w:pPr>
    </w:p>
    <w:p w:rsidR="0005390B" w:rsidRPr="009507EE" w:rsidRDefault="007C12D5" w:rsidP="0076731A">
      <w:pPr>
        <w:pStyle w:val="PISectionHeading"/>
      </w:pPr>
      <w:bookmarkStart w:id="6" w:name="_Toc436926482"/>
      <w:r>
        <w:lastRenderedPageBreak/>
        <w:t>Section 6</w:t>
      </w:r>
      <w:r w:rsidR="0005390B" w:rsidRPr="009507EE">
        <w:t>: Fire</w:t>
      </w:r>
      <w:bookmarkEnd w:id="6"/>
    </w:p>
    <w:p w:rsidR="0005390B" w:rsidRPr="003E001D" w:rsidRDefault="0005390B" w:rsidP="007B0393">
      <w:pPr>
        <w:pStyle w:val="PITableHeading"/>
        <w:rPr>
          <w:rFonts w:asciiTheme="minorHAnsi" w:hAnsiTheme="minorHAnsi" w:cstheme="minorHAnsi"/>
          <w:b w:val="0"/>
          <w:sz w:val="22"/>
          <w:szCs w:val="22"/>
        </w:rPr>
      </w:pPr>
      <w:r w:rsidRPr="00B97E75">
        <w:rPr>
          <w:rFonts w:asciiTheme="minorHAnsi" w:hAnsiTheme="minorHAnsi" w:cstheme="minorHAnsi"/>
          <w:sz w:val="22"/>
          <w:szCs w:val="22"/>
        </w:rPr>
        <w:t>Table 1</w:t>
      </w:r>
      <w:r w:rsidR="00B70292">
        <w:rPr>
          <w:rFonts w:asciiTheme="minorHAnsi" w:hAnsiTheme="minorHAnsi" w:cstheme="minorHAnsi"/>
          <w:sz w:val="22"/>
          <w:szCs w:val="22"/>
        </w:rPr>
        <w:t>7</w:t>
      </w:r>
      <w:r w:rsidRPr="00B97E75">
        <w:rPr>
          <w:rFonts w:asciiTheme="minorHAnsi" w:hAnsiTheme="minorHAnsi" w:cstheme="minorHAnsi"/>
          <w:sz w:val="22"/>
          <w:szCs w:val="22"/>
        </w:rPr>
        <w:t xml:space="preserve">: </w:t>
      </w:r>
      <w:r w:rsidRPr="003E001D">
        <w:rPr>
          <w:rFonts w:asciiTheme="minorHAnsi" w:hAnsiTheme="minorHAnsi" w:cstheme="minorHAnsi"/>
          <w:b w:val="0"/>
          <w:sz w:val="22"/>
          <w:szCs w:val="22"/>
        </w:rPr>
        <w:t>Cost per Capita of the Fire Service &amp; Service Mobilisation</w:t>
      </w:r>
    </w:p>
    <w:tbl>
      <w:tblPr>
        <w:tblStyle w:val="LightGrid-Accent5"/>
        <w:tblW w:w="9780" w:type="dxa"/>
        <w:tblLayout w:type="fixed"/>
        <w:tblLook w:val="04A0" w:firstRow="1" w:lastRow="0" w:firstColumn="1" w:lastColumn="0" w:noHBand="0" w:noVBand="1"/>
      </w:tblPr>
      <w:tblGrid>
        <w:gridCol w:w="2460"/>
        <w:gridCol w:w="1464"/>
        <w:gridCol w:w="1464"/>
        <w:gridCol w:w="1464"/>
        <w:gridCol w:w="1464"/>
        <w:gridCol w:w="1464"/>
      </w:tblGrid>
      <w:tr w:rsidR="00052258" w:rsidRPr="005C4524" w:rsidTr="00771880">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460" w:type="dxa"/>
            <w:vMerge w:val="restart"/>
            <w:noWrap/>
            <w:vAlign w:val="center"/>
            <w:hideMark/>
          </w:tcPr>
          <w:p w:rsidR="00052258" w:rsidRPr="005C4524" w:rsidRDefault="00D36D20" w:rsidP="00771880">
            <w:pPr>
              <w:rPr>
                <w:rFonts w:asciiTheme="minorHAnsi" w:eastAsia="Times New Roman" w:hAnsiTheme="minorHAnsi" w:cstheme="minorHAnsi"/>
                <w:color w:val="000000"/>
                <w:lang w:eastAsia="en-IE"/>
              </w:rPr>
            </w:pPr>
            <w:r w:rsidRPr="00D36D20">
              <w:rPr>
                <w:rFonts w:asciiTheme="minorHAnsi" w:eastAsia="Times New Roman" w:hAnsiTheme="minorHAnsi" w:cstheme="minorHAnsi"/>
                <w:color w:val="000000"/>
                <w:lang w:eastAsia="en-IE"/>
              </w:rPr>
              <w:t>Authority</w:t>
            </w:r>
          </w:p>
        </w:tc>
        <w:tc>
          <w:tcPr>
            <w:tcW w:w="1464" w:type="dxa"/>
            <w:vMerge w:val="restart"/>
            <w:vAlign w:val="center"/>
            <w:hideMark/>
          </w:tcPr>
          <w:p w:rsidR="00052258" w:rsidRPr="0059278E" w:rsidRDefault="00052258"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vertAlign w:val="superscript"/>
                <w:lang w:eastAsia="en-IE"/>
              </w:rPr>
            </w:pPr>
            <w:r w:rsidRPr="005C4524">
              <w:rPr>
                <w:rFonts w:asciiTheme="minorHAnsi" w:eastAsia="Times New Roman" w:hAnsiTheme="minorHAnsi" w:cstheme="minorHAnsi"/>
                <w:color w:val="000000"/>
                <w:lang w:eastAsia="en-IE"/>
              </w:rPr>
              <w:t>Cost per Capita</w:t>
            </w:r>
            <w:r w:rsidR="000D5F92">
              <w:rPr>
                <w:rFonts w:asciiTheme="minorHAnsi" w:eastAsia="Times New Roman" w:hAnsiTheme="minorHAnsi" w:cstheme="minorHAnsi"/>
                <w:color w:val="000000"/>
                <w:lang w:eastAsia="en-IE"/>
              </w:rPr>
              <w:t xml:space="preserve"> </w:t>
            </w:r>
            <w:r w:rsidR="0083189A">
              <w:rPr>
                <w:rFonts w:asciiTheme="minorHAnsi" w:eastAsia="Times New Roman" w:hAnsiTheme="minorHAnsi" w:cstheme="minorHAnsi"/>
                <w:color w:val="000000"/>
                <w:lang w:eastAsia="en-IE"/>
              </w:rPr>
              <w:t>(</w:t>
            </w:r>
            <w:r w:rsidR="000D5F92">
              <w:rPr>
                <w:rFonts w:asciiTheme="minorHAnsi" w:eastAsia="Times New Roman" w:hAnsiTheme="minorHAnsi" w:cstheme="minorHAnsi"/>
                <w:color w:val="000000"/>
                <w:lang w:eastAsia="en-IE"/>
              </w:rPr>
              <w:t>€</w:t>
            </w:r>
            <w:r w:rsidR="0083189A">
              <w:rPr>
                <w:rFonts w:asciiTheme="minorHAnsi" w:eastAsia="Times New Roman" w:hAnsiTheme="minorHAnsi" w:cstheme="minorHAnsi"/>
                <w:color w:val="000000"/>
                <w:lang w:eastAsia="en-IE"/>
              </w:rPr>
              <w:t>)</w:t>
            </w:r>
            <w:r w:rsidR="0059278E">
              <w:rPr>
                <w:rFonts w:asciiTheme="minorHAnsi" w:eastAsia="Times New Roman" w:hAnsiTheme="minorHAnsi" w:cstheme="minorHAnsi"/>
                <w:color w:val="000000"/>
                <w:vertAlign w:val="superscript"/>
                <w:lang w:eastAsia="en-IE"/>
              </w:rPr>
              <w:t>a</w:t>
            </w:r>
          </w:p>
        </w:tc>
        <w:tc>
          <w:tcPr>
            <w:tcW w:w="2928" w:type="dxa"/>
            <w:gridSpan w:val="2"/>
            <w:tcBorders>
              <w:bottom w:val="single" w:sz="4" w:space="0" w:color="auto"/>
            </w:tcBorders>
            <w:vAlign w:val="center"/>
            <w:hideMark/>
          </w:tcPr>
          <w:p w:rsidR="00052258" w:rsidRPr="00052258" w:rsidRDefault="00052258"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lang w:eastAsia="en-IE"/>
              </w:rPr>
            </w:pPr>
            <w:r w:rsidRPr="00052258">
              <w:rPr>
                <w:rFonts w:asciiTheme="minorHAnsi" w:eastAsia="Times New Roman" w:hAnsiTheme="minorHAnsi" w:cstheme="minorHAnsi"/>
                <w:bCs w:val="0"/>
                <w:color w:val="000000"/>
                <w:lang w:eastAsia="en-IE"/>
              </w:rPr>
              <w:t>Average Time to Mobilise Fire Brigade (Fire in Minutes)</w:t>
            </w:r>
          </w:p>
        </w:tc>
        <w:tc>
          <w:tcPr>
            <w:tcW w:w="2928" w:type="dxa"/>
            <w:gridSpan w:val="2"/>
            <w:tcBorders>
              <w:bottom w:val="single" w:sz="4" w:space="0" w:color="auto"/>
            </w:tcBorders>
            <w:vAlign w:val="center"/>
            <w:hideMark/>
          </w:tcPr>
          <w:p w:rsidR="00052258" w:rsidRPr="005C4524" w:rsidRDefault="00052258"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eastAsia="en-IE"/>
              </w:rPr>
            </w:pPr>
            <w:r w:rsidRPr="00052258">
              <w:rPr>
                <w:rFonts w:asciiTheme="minorHAnsi" w:eastAsia="Times New Roman" w:hAnsiTheme="minorHAnsi" w:cstheme="minorHAnsi"/>
                <w:bCs w:val="0"/>
                <w:color w:val="000000"/>
                <w:lang w:eastAsia="en-IE"/>
              </w:rPr>
              <w:t>Average Time to Mobilise Fire Brigade (</w:t>
            </w:r>
            <w:r>
              <w:rPr>
                <w:rFonts w:asciiTheme="minorHAnsi" w:eastAsia="Times New Roman" w:hAnsiTheme="minorHAnsi" w:cstheme="minorHAnsi"/>
                <w:bCs w:val="0"/>
                <w:color w:val="000000"/>
                <w:lang w:eastAsia="en-IE"/>
              </w:rPr>
              <w:t>Non-f</w:t>
            </w:r>
            <w:r w:rsidRPr="00052258">
              <w:rPr>
                <w:rFonts w:asciiTheme="minorHAnsi" w:eastAsia="Times New Roman" w:hAnsiTheme="minorHAnsi" w:cstheme="minorHAnsi"/>
                <w:bCs w:val="0"/>
                <w:color w:val="000000"/>
                <w:lang w:eastAsia="en-IE"/>
              </w:rPr>
              <w:t>ire in Minutes)</w:t>
            </w:r>
          </w:p>
        </w:tc>
      </w:tr>
      <w:tr w:rsidR="00052258" w:rsidRPr="005C4524" w:rsidTr="00052258">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460" w:type="dxa"/>
            <w:vMerge/>
            <w:noWrap/>
            <w:vAlign w:val="center"/>
            <w:hideMark/>
          </w:tcPr>
          <w:p w:rsidR="00052258" w:rsidRPr="005C4524" w:rsidRDefault="00052258" w:rsidP="005C4524">
            <w:pPr>
              <w:rPr>
                <w:rFonts w:eastAsia="Times New Roman" w:cstheme="minorHAnsi"/>
                <w:color w:val="000000"/>
                <w:lang w:eastAsia="en-IE"/>
              </w:rPr>
            </w:pPr>
          </w:p>
        </w:tc>
        <w:tc>
          <w:tcPr>
            <w:tcW w:w="1464" w:type="dxa"/>
            <w:vMerge/>
            <w:vAlign w:val="center"/>
            <w:hideMark/>
          </w:tcPr>
          <w:p w:rsidR="00052258" w:rsidRPr="005C4524" w:rsidRDefault="00052258" w:rsidP="005C452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p>
        </w:tc>
        <w:tc>
          <w:tcPr>
            <w:tcW w:w="1464" w:type="dxa"/>
            <w:tcBorders>
              <w:top w:val="single" w:sz="4" w:space="0" w:color="auto"/>
            </w:tcBorders>
            <w:vAlign w:val="center"/>
            <w:hideMark/>
          </w:tcPr>
          <w:p w:rsidR="00052258" w:rsidRPr="00052258" w:rsidRDefault="00052258" w:rsidP="00B0335E">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IE"/>
              </w:rPr>
            </w:pPr>
            <w:r w:rsidRPr="00052258">
              <w:rPr>
                <w:rFonts w:eastAsia="Times New Roman" w:cstheme="minorHAnsi"/>
                <w:b/>
                <w:color w:val="000000"/>
                <w:lang w:eastAsia="en-IE"/>
              </w:rPr>
              <w:t xml:space="preserve">Full-Time </w:t>
            </w:r>
            <w:r>
              <w:rPr>
                <w:rFonts w:eastAsia="Times New Roman" w:cstheme="minorHAnsi"/>
                <w:b/>
                <w:color w:val="000000"/>
                <w:lang w:eastAsia="en-IE"/>
              </w:rPr>
              <w:t>Station</w:t>
            </w:r>
          </w:p>
        </w:tc>
        <w:tc>
          <w:tcPr>
            <w:tcW w:w="1464" w:type="dxa"/>
            <w:tcBorders>
              <w:top w:val="single" w:sz="4" w:space="0" w:color="auto"/>
            </w:tcBorders>
            <w:vAlign w:val="center"/>
            <w:hideMark/>
          </w:tcPr>
          <w:p w:rsidR="00052258" w:rsidRPr="00052258" w:rsidRDefault="00052258" w:rsidP="00B0335E">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IE"/>
              </w:rPr>
            </w:pPr>
            <w:r w:rsidRPr="00052258">
              <w:rPr>
                <w:rFonts w:eastAsia="Times New Roman" w:cstheme="minorHAnsi"/>
                <w:b/>
                <w:color w:val="000000"/>
                <w:lang w:eastAsia="en-IE"/>
              </w:rPr>
              <w:t>Part-time</w:t>
            </w:r>
            <w:r>
              <w:rPr>
                <w:rFonts w:eastAsia="Times New Roman" w:cstheme="minorHAnsi"/>
                <w:b/>
                <w:color w:val="000000"/>
                <w:lang w:eastAsia="en-IE"/>
              </w:rPr>
              <w:t xml:space="preserve"> Station</w:t>
            </w:r>
            <w:r w:rsidRPr="00052258">
              <w:rPr>
                <w:rFonts w:eastAsia="Times New Roman" w:cstheme="minorHAnsi"/>
                <w:b/>
                <w:color w:val="000000"/>
                <w:lang w:eastAsia="en-IE"/>
              </w:rPr>
              <w:t xml:space="preserve"> </w:t>
            </w:r>
          </w:p>
        </w:tc>
        <w:tc>
          <w:tcPr>
            <w:tcW w:w="1464" w:type="dxa"/>
            <w:tcBorders>
              <w:top w:val="single" w:sz="4" w:space="0" w:color="auto"/>
            </w:tcBorders>
            <w:vAlign w:val="center"/>
            <w:hideMark/>
          </w:tcPr>
          <w:p w:rsidR="00052258" w:rsidRPr="00052258" w:rsidRDefault="00052258" w:rsidP="00B0335E">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IE"/>
              </w:rPr>
            </w:pPr>
            <w:r w:rsidRPr="00052258">
              <w:rPr>
                <w:rFonts w:eastAsia="Times New Roman" w:cstheme="minorHAnsi"/>
                <w:b/>
                <w:color w:val="000000"/>
                <w:lang w:eastAsia="en-IE"/>
              </w:rPr>
              <w:t xml:space="preserve">Full-Time </w:t>
            </w:r>
            <w:r>
              <w:rPr>
                <w:rFonts w:eastAsia="Times New Roman" w:cstheme="minorHAnsi"/>
                <w:b/>
                <w:color w:val="000000"/>
                <w:lang w:eastAsia="en-IE"/>
              </w:rPr>
              <w:t>Station</w:t>
            </w:r>
          </w:p>
        </w:tc>
        <w:tc>
          <w:tcPr>
            <w:tcW w:w="1464" w:type="dxa"/>
            <w:tcBorders>
              <w:top w:val="single" w:sz="4" w:space="0" w:color="auto"/>
            </w:tcBorders>
            <w:vAlign w:val="center"/>
            <w:hideMark/>
          </w:tcPr>
          <w:p w:rsidR="00052258" w:rsidRPr="00052258" w:rsidRDefault="00052258" w:rsidP="00B0335E">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IE"/>
              </w:rPr>
            </w:pPr>
            <w:r w:rsidRPr="00052258">
              <w:rPr>
                <w:rFonts w:eastAsia="Times New Roman" w:cstheme="minorHAnsi"/>
                <w:b/>
                <w:color w:val="000000"/>
                <w:lang w:eastAsia="en-IE"/>
              </w:rPr>
              <w:t>Part-time</w:t>
            </w:r>
            <w:r>
              <w:rPr>
                <w:rFonts w:eastAsia="Times New Roman" w:cstheme="minorHAnsi"/>
                <w:b/>
                <w:color w:val="000000"/>
                <w:lang w:eastAsia="en-IE"/>
              </w:rPr>
              <w:t xml:space="preserve"> Station</w:t>
            </w:r>
          </w:p>
        </w:tc>
      </w:tr>
      <w:tr w:rsidR="00052258"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 </w:t>
            </w:r>
          </w:p>
        </w:tc>
        <w:tc>
          <w:tcPr>
            <w:tcW w:w="1464" w:type="dxa"/>
            <w:hideMark/>
          </w:tcPr>
          <w:p w:rsidR="00052258" w:rsidRPr="005C4524" w:rsidRDefault="00052258" w:rsidP="0005390B">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464" w:type="dxa"/>
            <w:hideMark/>
          </w:tcPr>
          <w:p w:rsidR="00052258" w:rsidRPr="005C4524" w:rsidRDefault="00052258" w:rsidP="0005390B">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464" w:type="dxa"/>
            <w:noWrap/>
            <w:hideMark/>
          </w:tcPr>
          <w:p w:rsidR="00052258" w:rsidRPr="005C4524" w:rsidRDefault="00052258" w:rsidP="0005390B">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464" w:type="dxa"/>
            <w:hideMark/>
          </w:tcPr>
          <w:p w:rsidR="00052258" w:rsidRPr="005C4524" w:rsidRDefault="00052258" w:rsidP="0005390B">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464" w:type="dxa"/>
            <w:noWrap/>
            <w:hideMark/>
          </w:tcPr>
          <w:p w:rsidR="00052258" w:rsidRPr="005C4524" w:rsidRDefault="00052258" w:rsidP="0005390B">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r>
      <w:tr w:rsidR="00052258"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Carlow County</w:t>
            </w:r>
          </w:p>
        </w:tc>
        <w:tc>
          <w:tcPr>
            <w:tcW w:w="1464" w:type="dxa"/>
            <w:hideMark/>
          </w:tcPr>
          <w:p w:rsidR="00052258" w:rsidRPr="005C4524" w:rsidRDefault="00052258"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43.17</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6.18</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6.78</w:t>
            </w:r>
          </w:p>
        </w:tc>
      </w:tr>
      <w:tr w:rsidR="00052258"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Cavan County</w:t>
            </w:r>
          </w:p>
        </w:tc>
        <w:tc>
          <w:tcPr>
            <w:tcW w:w="1464" w:type="dxa"/>
            <w:hideMark/>
          </w:tcPr>
          <w:p w:rsidR="00052258" w:rsidRPr="005C4524" w:rsidRDefault="00052258"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53.47</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5.17</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6.25</w:t>
            </w:r>
          </w:p>
        </w:tc>
      </w:tr>
      <w:tr w:rsidR="00052258"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Clare County</w:t>
            </w:r>
          </w:p>
        </w:tc>
        <w:tc>
          <w:tcPr>
            <w:tcW w:w="1464" w:type="dxa"/>
            <w:hideMark/>
          </w:tcPr>
          <w:p w:rsidR="00052258" w:rsidRPr="005C4524" w:rsidRDefault="00052258"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44.13</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5.55</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5.65</w:t>
            </w:r>
          </w:p>
        </w:tc>
      </w:tr>
      <w:tr w:rsidR="00052258"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Cork City</w:t>
            </w:r>
          </w:p>
        </w:tc>
        <w:tc>
          <w:tcPr>
            <w:tcW w:w="1464" w:type="dxa"/>
            <w:hideMark/>
          </w:tcPr>
          <w:p w:rsidR="00052258" w:rsidRPr="005C4524" w:rsidRDefault="00052258"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93.13</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1.71</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1.76</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r>
      <w:tr w:rsidR="00052258"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Cork County</w:t>
            </w:r>
          </w:p>
        </w:tc>
        <w:tc>
          <w:tcPr>
            <w:tcW w:w="1464" w:type="dxa"/>
            <w:hideMark/>
          </w:tcPr>
          <w:p w:rsidR="00052258" w:rsidRPr="005C4524" w:rsidRDefault="00052258"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42.23</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5.44</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5.47</w:t>
            </w:r>
          </w:p>
        </w:tc>
      </w:tr>
      <w:tr w:rsidR="00052258"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Donegal County</w:t>
            </w:r>
          </w:p>
        </w:tc>
        <w:tc>
          <w:tcPr>
            <w:tcW w:w="1464" w:type="dxa"/>
            <w:hideMark/>
          </w:tcPr>
          <w:p w:rsidR="00052258" w:rsidRPr="005C4524" w:rsidRDefault="00052258"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40.97</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6.05</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5.9</w:t>
            </w:r>
          </w:p>
        </w:tc>
      </w:tr>
      <w:tr w:rsidR="00052258"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Dublin City</w:t>
            </w:r>
          </w:p>
        </w:tc>
        <w:tc>
          <w:tcPr>
            <w:tcW w:w="1464" w:type="dxa"/>
            <w:hideMark/>
          </w:tcPr>
          <w:p w:rsidR="00052258" w:rsidRPr="005C4524" w:rsidRDefault="00052258"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74.13</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1.41</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6.24</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1.48</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6.42</w:t>
            </w:r>
          </w:p>
        </w:tc>
      </w:tr>
      <w:tr w:rsidR="00052258"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 xml:space="preserve">Dun Laoghaire </w:t>
            </w:r>
            <w:proofErr w:type="spellStart"/>
            <w:r w:rsidRPr="005C4524">
              <w:rPr>
                <w:rFonts w:asciiTheme="minorHAnsi" w:eastAsia="Times New Roman" w:hAnsiTheme="minorHAnsi" w:cstheme="minorHAnsi"/>
                <w:color w:val="000000"/>
                <w:lang w:eastAsia="en-IE"/>
              </w:rPr>
              <w:t>Rathdown</w:t>
            </w:r>
            <w:proofErr w:type="spellEnd"/>
          </w:p>
        </w:tc>
        <w:tc>
          <w:tcPr>
            <w:tcW w:w="1464" w:type="dxa"/>
            <w:hideMark/>
          </w:tcPr>
          <w:p w:rsidR="00052258" w:rsidRPr="005C4524" w:rsidRDefault="00052258"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r>
      <w:tr w:rsidR="00052258"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proofErr w:type="spellStart"/>
            <w:r w:rsidRPr="005C4524">
              <w:rPr>
                <w:rFonts w:asciiTheme="minorHAnsi" w:eastAsia="Times New Roman" w:hAnsiTheme="minorHAnsi" w:cstheme="minorHAnsi"/>
                <w:color w:val="000000"/>
                <w:lang w:eastAsia="en-IE"/>
              </w:rPr>
              <w:t>Fingal</w:t>
            </w:r>
            <w:proofErr w:type="spellEnd"/>
            <w:r w:rsidRPr="005C4524">
              <w:rPr>
                <w:rFonts w:asciiTheme="minorHAnsi" w:eastAsia="Times New Roman" w:hAnsiTheme="minorHAnsi" w:cstheme="minorHAnsi"/>
                <w:color w:val="000000"/>
                <w:lang w:eastAsia="en-IE"/>
              </w:rPr>
              <w:t xml:space="preserve"> County</w:t>
            </w:r>
          </w:p>
        </w:tc>
        <w:tc>
          <w:tcPr>
            <w:tcW w:w="1464" w:type="dxa"/>
            <w:hideMark/>
          </w:tcPr>
          <w:p w:rsidR="00052258" w:rsidRPr="005C4524" w:rsidRDefault="00052258"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r>
      <w:tr w:rsidR="00052258"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Galway City</w:t>
            </w:r>
          </w:p>
        </w:tc>
        <w:tc>
          <w:tcPr>
            <w:tcW w:w="1464" w:type="dxa"/>
            <w:hideMark/>
          </w:tcPr>
          <w:p w:rsidR="00052258" w:rsidRPr="005C4524" w:rsidRDefault="00052258"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r>
      <w:tr w:rsidR="00052258"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Galway County</w:t>
            </w:r>
          </w:p>
        </w:tc>
        <w:tc>
          <w:tcPr>
            <w:tcW w:w="1464" w:type="dxa"/>
            <w:hideMark/>
          </w:tcPr>
          <w:p w:rsidR="00052258" w:rsidRPr="005C4524" w:rsidRDefault="000D5F92"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Pr>
                <w:rFonts w:eastAsia="Times New Roman" w:cstheme="minorHAnsi"/>
                <w:color w:val="000000"/>
                <w:lang w:eastAsia="en-IE"/>
              </w:rPr>
              <w:t> </w:t>
            </w:r>
            <w:r w:rsidR="00052258" w:rsidRPr="005C4524">
              <w:rPr>
                <w:rFonts w:eastAsia="Times New Roman" w:cstheme="minorHAnsi"/>
                <w:color w:val="000000"/>
                <w:lang w:eastAsia="en-IE"/>
              </w:rPr>
              <w:t>44.15</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2.58</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2.33</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4.65</w:t>
            </w:r>
          </w:p>
        </w:tc>
      </w:tr>
      <w:tr w:rsidR="00052258"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Kerry County</w:t>
            </w:r>
          </w:p>
        </w:tc>
        <w:tc>
          <w:tcPr>
            <w:tcW w:w="1464" w:type="dxa"/>
            <w:hideMark/>
          </w:tcPr>
          <w:p w:rsidR="00052258" w:rsidRPr="005C4524" w:rsidRDefault="00052258"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46.90</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6.2</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6.12</w:t>
            </w:r>
          </w:p>
        </w:tc>
      </w:tr>
      <w:tr w:rsidR="00052258"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Kildare County</w:t>
            </w:r>
          </w:p>
        </w:tc>
        <w:tc>
          <w:tcPr>
            <w:tcW w:w="1464" w:type="dxa"/>
            <w:hideMark/>
          </w:tcPr>
          <w:p w:rsidR="00052258" w:rsidRPr="005C4524" w:rsidRDefault="00052258"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28.25</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5.41</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5.46</w:t>
            </w:r>
          </w:p>
        </w:tc>
      </w:tr>
      <w:tr w:rsidR="00052258"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Kilkenny County</w:t>
            </w:r>
          </w:p>
        </w:tc>
        <w:tc>
          <w:tcPr>
            <w:tcW w:w="1464" w:type="dxa"/>
            <w:hideMark/>
          </w:tcPr>
          <w:p w:rsidR="00052258" w:rsidRPr="005C4524" w:rsidRDefault="00052258"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51.40</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6.88</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6.55</w:t>
            </w:r>
          </w:p>
        </w:tc>
      </w:tr>
      <w:tr w:rsidR="00052258"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Laois County</w:t>
            </w:r>
          </w:p>
        </w:tc>
        <w:tc>
          <w:tcPr>
            <w:tcW w:w="1464" w:type="dxa"/>
            <w:hideMark/>
          </w:tcPr>
          <w:p w:rsidR="00052258" w:rsidRPr="005C4524" w:rsidRDefault="00052258"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50.70</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5.33</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5.33</w:t>
            </w:r>
          </w:p>
        </w:tc>
      </w:tr>
      <w:tr w:rsidR="00052258"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Leitrim County</w:t>
            </w:r>
          </w:p>
        </w:tc>
        <w:tc>
          <w:tcPr>
            <w:tcW w:w="1464" w:type="dxa"/>
            <w:hideMark/>
          </w:tcPr>
          <w:p w:rsidR="00052258" w:rsidRPr="005C4524" w:rsidRDefault="00052258"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70.00</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4.92</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4.7</w:t>
            </w:r>
          </w:p>
        </w:tc>
      </w:tr>
      <w:tr w:rsidR="00052258"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Limerick City &amp; County</w:t>
            </w:r>
          </w:p>
        </w:tc>
        <w:tc>
          <w:tcPr>
            <w:tcW w:w="1464" w:type="dxa"/>
            <w:hideMark/>
          </w:tcPr>
          <w:p w:rsidR="00052258" w:rsidRPr="005C4524" w:rsidRDefault="00052258"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75.72</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1.28</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5.28</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1.41</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6.18</w:t>
            </w:r>
          </w:p>
        </w:tc>
      </w:tr>
      <w:tr w:rsidR="00052258"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Longford County</w:t>
            </w:r>
          </w:p>
        </w:tc>
        <w:tc>
          <w:tcPr>
            <w:tcW w:w="1464" w:type="dxa"/>
            <w:hideMark/>
          </w:tcPr>
          <w:p w:rsidR="00052258" w:rsidRPr="005C4524" w:rsidRDefault="00052258"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49.01</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5.3</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5.31</w:t>
            </w:r>
          </w:p>
        </w:tc>
      </w:tr>
      <w:tr w:rsidR="00052258"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Louth County</w:t>
            </w:r>
          </w:p>
        </w:tc>
        <w:tc>
          <w:tcPr>
            <w:tcW w:w="1464" w:type="dxa"/>
            <w:hideMark/>
          </w:tcPr>
          <w:p w:rsidR="00052258" w:rsidRPr="005C4524" w:rsidRDefault="00052258"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50.90</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2.21</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3.8</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2.05</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2.91</w:t>
            </w:r>
          </w:p>
        </w:tc>
      </w:tr>
      <w:tr w:rsidR="00052258"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Mayo County</w:t>
            </w:r>
          </w:p>
        </w:tc>
        <w:tc>
          <w:tcPr>
            <w:tcW w:w="1464" w:type="dxa"/>
            <w:hideMark/>
          </w:tcPr>
          <w:p w:rsidR="00052258" w:rsidRPr="005C4524" w:rsidRDefault="00052258"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38.85</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5.93</w:t>
            </w:r>
          </w:p>
        </w:tc>
      </w:tr>
      <w:tr w:rsidR="00052258"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Meath County</w:t>
            </w:r>
          </w:p>
        </w:tc>
        <w:tc>
          <w:tcPr>
            <w:tcW w:w="1464" w:type="dxa"/>
            <w:hideMark/>
          </w:tcPr>
          <w:p w:rsidR="00052258" w:rsidRPr="005C4524" w:rsidRDefault="00052258"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30.40</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5.2</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5.31</w:t>
            </w:r>
          </w:p>
        </w:tc>
      </w:tr>
      <w:tr w:rsidR="00052258"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Monaghan County</w:t>
            </w:r>
          </w:p>
        </w:tc>
        <w:tc>
          <w:tcPr>
            <w:tcW w:w="1464" w:type="dxa"/>
            <w:hideMark/>
          </w:tcPr>
          <w:p w:rsidR="00052258" w:rsidRPr="005C4524" w:rsidRDefault="00052258" w:rsidP="007C7A2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41.</w:t>
            </w:r>
            <w:r w:rsidR="007C7A2E">
              <w:rPr>
                <w:rFonts w:eastAsia="Times New Roman" w:cstheme="minorHAnsi"/>
                <w:color w:val="000000"/>
                <w:lang w:eastAsia="en-IE"/>
              </w:rPr>
              <w:t>58</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6.27</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w:t>
            </w:r>
          </w:p>
        </w:tc>
      </w:tr>
      <w:tr w:rsidR="00052258"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Offaly County</w:t>
            </w:r>
          </w:p>
        </w:tc>
        <w:tc>
          <w:tcPr>
            <w:tcW w:w="1464" w:type="dxa"/>
            <w:hideMark/>
          </w:tcPr>
          <w:p w:rsidR="00052258" w:rsidRPr="005C4524" w:rsidRDefault="00052258"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38.30</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5.07</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5.42</w:t>
            </w:r>
          </w:p>
        </w:tc>
      </w:tr>
      <w:tr w:rsidR="00052258"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Roscommon County</w:t>
            </w:r>
          </w:p>
        </w:tc>
        <w:tc>
          <w:tcPr>
            <w:tcW w:w="1464" w:type="dxa"/>
            <w:hideMark/>
          </w:tcPr>
          <w:p w:rsidR="00052258" w:rsidRPr="005C4524" w:rsidRDefault="00052258"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58.60</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6.18</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6.24</w:t>
            </w:r>
          </w:p>
        </w:tc>
      </w:tr>
      <w:tr w:rsidR="00052258"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Sligo County</w:t>
            </w:r>
          </w:p>
        </w:tc>
        <w:tc>
          <w:tcPr>
            <w:tcW w:w="1464" w:type="dxa"/>
            <w:hideMark/>
          </w:tcPr>
          <w:p w:rsidR="00052258" w:rsidRPr="005C4524" w:rsidRDefault="00052258"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58.41</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4.25</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4.32</w:t>
            </w:r>
          </w:p>
        </w:tc>
      </w:tr>
      <w:tr w:rsidR="00052258"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South Dublin County</w:t>
            </w:r>
          </w:p>
        </w:tc>
        <w:tc>
          <w:tcPr>
            <w:tcW w:w="1464" w:type="dxa"/>
            <w:hideMark/>
          </w:tcPr>
          <w:p w:rsidR="00052258" w:rsidRPr="005C4524" w:rsidRDefault="00052258"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r>
      <w:tr w:rsidR="00052258"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Tipperary County</w:t>
            </w:r>
          </w:p>
        </w:tc>
        <w:tc>
          <w:tcPr>
            <w:tcW w:w="1464" w:type="dxa"/>
            <w:hideMark/>
          </w:tcPr>
          <w:p w:rsidR="00052258" w:rsidRPr="005C4524" w:rsidRDefault="00052258"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46.48</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6.32</w:t>
            </w:r>
          </w:p>
        </w:tc>
      </w:tr>
      <w:tr w:rsidR="00052258"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Waterford City &amp; County</w:t>
            </w:r>
          </w:p>
        </w:tc>
        <w:tc>
          <w:tcPr>
            <w:tcW w:w="1464" w:type="dxa"/>
            <w:hideMark/>
          </w:tcPr>
          <w:p w:rsidR="00052258" w:rsidRPr="005C4524" w:rsidRDefault="00052258"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59.26</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1.6</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5.83</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1.81</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5.67</w:t>
            </w:r>
          </w:p>
        </w:tc>
      </w:tr>
      <w:tr w:rsidR="00052258"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Westmeath County</w:t>
            </w:r>
          </w:p>
        </w:tc>
        <w:tc>
          <w:tcPr>
            <w:tcW w:w="1464" w:type="dxa"/>
            <w:hideMark/>
          </w:tcPr>
          <w:p w:rsidR="00052258" w:rsidRPr="005C4524" w:rsidRDefault="00052258"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32.85</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6.2</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7.23</w:t>
            </w:r>
          </w:p>
        </w:tc>
      </w:tr>
      <w:tr w:rsidR="00052258"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Wexford County</w:t>
            </w:r>
          </w:p>
        </w:tc>
        <w:tc>
          <w:tcPr>
            <w:tcW w:w="1464" w:type="dxa"/>
            <w:hideMark/>
          </w:tcPr>
          <w:p w:rsidR="00052258" w:rsidRPr="005C4524" w:rsidRDefault="00052258"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29.00</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6.87</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7.72</w:t>
            </w:r>
          </w:p>
        </w:tc>
      </w:tr>
      <w:tr w:rsidR="00052258"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52258" w:rsidRPr="005C4524" w:rsidRDefault="00052258" w:rsidP="0005390B">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Wicklow County</w:t>
            </w:r>
          </w:p>
        </w:tc>
        <w:tc>
          <w:tcPr>
            <w:tcW w:w="1464" w:type="dxa"/>
            <w:hideMark/>
          </w:tcPr>
          <w:p w:rsidR="00052258" w:rsidRPr="005C4524" w:rsidRDefault="00052258"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41.00</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5.5</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464" w:type="dxa"/>
            <w:hideMark/>
          </w:tcPr>
          <w:p w:rsidR="00052258" w:rsidRPr="005C4524" w:rsidRDefault="00052258" w:rsidP="0005390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6.04</w:t>
            </w:r>
          </w:p>
        </w:tc>
      </w:tr>
    </w:tbl>
    <w:p w:rsidR="009554B2" w:rsidRPr="00B97E75" w:rsidRDefault="009554B2" w:rsidP="00B904ED">
      <w:pPr>
        <w:spacing w:after="0" w:line="240" w:lineRule="auto"/>
        <w:rPr>
          <w:rFonts w:eastAsia="Times New Roman" w:cstheme="minorHAnsi"/>
          <w:b/>
          <w:bCs/>
          <w:color w:val="000000"/>
          <w:u w:val="single"/>
          <w:lang w:eastAsia="en-IE"/>
        </w:rPr>
      </w:pPr>
    </w:p>
    <w:p w:rsidR="00431F6E" w:rsidRPr="0059278E" w:rsidRDefault="0059278E" w:rsidP="00B904ED">
      <w:pPr>
        <w:spacing w:after="0" w:line="240" w:lineRule="auto"/>
        <w:rPr>
          <w:rFonts w:eastAsia="Times New Roman" w:cstheme="minorHAnsi"/>
          <w:color w:val="000000"/>
          <w:sz w:val="18"/>
          <w:szCs w:val="18"/>
          <w:lang w:eastAsia="en-IE"/>
        </w:rPr>
      </w:pPr>
      <w:proofErr w:type="spellStart"/>
      <w:proofErr w:type="gramStart"/>
      <w:r w:rsidRPr="0059278E">
        <w:rPr>
          <w:rFonts w:eastAsia="Times New Roman" w:cstheme="minorHAnsi"/>
          <w:color w:val="000000"/>
          <w:sz w:val="18"/>
          <w:szCs w:val="18"/>
          <w:vertAlign w:val="superscript"/>
          <w:lang w:eastAsia="en-IE"/>
        </w:rPr>
        <w:t>a</w:t>
      </w:r>
      <w:proofErr w:type="spellEnd"/>
      <w:proofErr w:type="gramEnd"/>
      <w:r w:rsidRPr="0059278E">
        <w:rPr>
          <w:rFonts w:eastAsia="Times New Roman" w:cstheme="minorHAnsi"/>
          <w:color w:val="000000"/>
          <w:sz w:val="18"/>
          <w:szCs w:val="18"/>
          <w:vertAlign w:val="superscript"/>
          <w:lang w:eastAsia="en-IE"/>
        </w:rPr>
        <w:t xml:space="preserve"> </w:t>
      </w:r>
      <w:r w:rsidRPr="0059278E">
        <w:rPr>
          <w:rFonts w:eastAsia="Times New Roman" w:cstheme="minorHAnsi"/>
          <w:color w:val="000000"/>
          <w:sz w:val="18"/>
          <w:szCs w:val="18"/>
          <w:lang w:eastAsia="en-IE"/>
        </w:rPr>
        <w:t>The per capita cost is based on the population to which the fire authority provides a first respon</w:t>
      </w:r>
      <w:r>
        <w:rPr>
          <w:rFonts w:eastAsia="Times New Roman" w:cstheme="minorHAnsi"/>
          <w:color w:val="000000"/>
          <w:sz w:val="18"/>
          <w:szCs w:val="18"/>
          <w:lang w:eastAsia="en-IE"/>
        </w:rPr>
        <w:t>s</w:t>
      </w:r>
      <w:r w:rsidRPr="0059278E">
        <w:rPr>
          <w:rFonts w:eastAsia="Times New Roman" w:cstheme="minorHAnsi"/>
          <w:color w:val="000000"/>
          <w:sz w:val="18"/>
          <w:szCs w:val="18"/>
          <w:lang w:eastAsia="en-IE"/>
        </w:rPr>
        <w:t>e</w:t>
      </w:r>
    </w:p>
    <w:p w:rsidR="00052258" w:rsidRDefault="00052258" w:rsidP="00B904ED">
      <w:pPr>
        <w:spacing w:after="0" w:line="240" w:lineRule="auto"/>
        <w:rPr>
          <w:rFonts w:eastAsia="Times New Roman" w:cstheme="minorHAnsi"/>
          <w:color w:val="000000"/>
          <w:lang w:eastAsia="en-IE"/>
        </w:rPr>
      </w:pPr>
    </w:p>
    <w:p w:rsidR="005C4524" w:rsidRDefault="005C4524" w:rsidP="00B904ED">
      <w:pPr>
        <w:spacing w:after="0" w:line="240" w:lineRule="auto"/>
        <w:rPr>
          <w:rFonts w:eastAsia="Times New Roman" w:cstheme="minorHAnsi"/>
          <w:color w:val="000000"/>
          <w:lang w:eastAsia="en-IE"/>
        </w:rPr>
      </w:pPr>
    </w:p>
    <w:p w:rsidR="00885360" w:rsidRPr="00B97E75" w:rsidRDefault="00885360" w:rsidP="00B904ED">
      <w:pPr>
        <w:spacing w:after="0" w:line="240" w:lineRule="auto"/>
        <w:rPr>
          <w:rFonts w:eastAsia="Times New Roman" w:cstheme="minorHAnsi"/>
          <w:color w:val="000000"/>
          <w:lang w:eastAsia="en-IE"/>
        </w:rPr>
      </w:pPr>
    </w:p>
    <w:p w:rsidR="00885360" w:rsidRPr="00B97E75" w:rsidRDefault="00885360" w:rsidP="00B904ED">
      <w:pPr>
        <w:spacing w:after="0" w:line="240" w:lineRule="auto"/>
        <w:rPr>
          <w:rFonts w:eastAsia="Times New Roman" w:cstheme="minorHAnsi"/>
          <w:color w:val="000000"/>
          <w:lang w:eastAsia="en-IE"/>
        </w:rPr>
      </w:pPr>
    </w:p>
    <w:tbl>
      <w:tblPr>
        <w:tblW w:w="6673" w:type="dxa"/>
        <w:tblInd w:w="98" w:type="dxa"/>
        <w:tblLook w:val="04A0" w:firstRow="1" w:lastRow="0" w:firstColumn="1" w:lastColumn="0" w:noHBand="0" w:noVBand="1"/>
      </w:tblPr>
      <w:tblGrid>
        <w:gridCol w:w="1440"/>
        <w:gridCol w:w="1831"/>
        <w:gridCol w:w="1129"/>
        <w:gridCol w:w="1139"/>
        <w:gridCol w:w="1134"/>
      </w:tblGrid>
      <w:tr w:rsidR="00D94834" w:rsidRPr="00D94834" w:rsidTr="00E17A00">
        <w:trPr>
          <w:trHeight w:val="315"/>
        </w:trPr>
        <w:tc>
          <w:tcPr>
            <w:tcW w:w="667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4834" w:rsidRPr="00D94834" w:rsidRDefault="00D94834" w:rsidP="00266776">
            <w:pPr>
              <w:spacing w:after="0" w:line="240" w:lineRule="auto"/>
              <w:rPr>
                <w:rFonts w:ascii="Calibri" w:eastAsia="Times New Roman" w:hAnsi="Calibri" w:cs="Calibri"/>
                <w:b/>
                <w:bCs/>
                <w:color w:val="000000"/>
                <w:lang w:eastAsia="en-IE"/>
              </w:rPr>
            </w:pPr>
            <w:r w:rsidRPr="00D94834">
              <w:rPr>
                <w:rFonts w:ascii="Calibri" w:eastAsia="Times New Roman" w:hAnsi="Calibri" w:cs="Calibri"/>
                <w:b/>
                <w:bCs/>
                <w:color w:val="000000"/>
                <w:lang w:eastAsia="en-IE"/>
              </w:rPr>
              <w:lastRenderedPageBreak/>
              <w:t xml:space="preserve">Cost per Capita of the Fire Service </w:t>
            </w:r>
            <w:r w:rsidR="00137C7C">
              <w:rPr>
                <w:rFonts w:ascii="Calibri" w:eastAsia="Times New Roman" w:hAnsi="Calibri" w:cs="Calibri"/>
                <w:b/>
                <w:bCs/>
                <w:color w:val="000000"/>
                <w:lang w:eastAsia="en-IE"/>
              </w:rPr>
              <w:t>(€)</w:t>
            </w:r>
          </w:p>
        </w:tc>
      </w:tr>
      <w:tr w:rsidR="00F76BC3" w:rsidRPr="00D94834" w:rsidTr="00137C7C">
        <w:trPr>
          <w:trHeight w:val="315"/>
        </w:trPr>
        <w:tc>
          <w:tcPr>
            <w:tcW w:w="1440" w:type="dxa"/>
            <w:tcBorders>
              <w:top w:val="nil"/>
              <w:left w:val="single" w:sz="8" w:space="0" w:color="auto"/>
              <w:bottom w:val="single" w:sz="8" w:space="0" w:color="auto"/>
              <w:right w:val="nil"/>
            </w:tcBorders>
            <w:shd w:val="clear" w:color="000000" w:fill="B6DDE8"/>
            <w:vAlign w:val="center"/>
            <w:hideMark/>
          </w:tcPr>
          <w:p w:rsidR="00F76BC3" w:rsidRPr="00D94834" w:rsidRDefault="00F76BC3" w:rsidP="00E17A00">
            <w:pPr>
              <w:spacing w:after="0" w:line="240" w:lineRule="auto"/>
              <w:rPr>
                <w:rFonts w:ascii="Calibri" w:eastAsia="Times New Roman" w:hAnsi="Calibri" w:cs="Calibri"/>
                <w:color w:val="000000"/>
                <w:lang w:eastAsia="en-IE"/>
              </w:rPr>
            </w:pPr>
          </w:p>
        </w:tc>
        <w:tc>
          <w:tcPr>
            <w:tcW w:w="1831" w:type="dxa"/>
            <w:tcBorders>
              <w:top w:val="nil"/>
              <w:left w:val="nil"/>
              <w:bottom w:val="single" w:sz="8" w:space="0" w:color="auto"/>
              <w:right w:val="nil"/>
            </w:tcBorders>
            <w:shd w:val="clear" w:color="000000" w:fill="B6DDE8"/>
            <w:vAlign w:val="center"/>
            <w:hideMark/>
          </w:tcPr>
          <w:p w:rsidR="00F76BC3" w:rsidRPr="00D94834" w:rsidRDefault="00F76BC3"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 </w:t>
            </w:r>
          </w:p>
        </w:tc>
        <w:tc>
          <w:tcPr>
            <w:tcW w:w="1129" w:type="dxa"/>
            <w:tcBorders>
              <w:top w:val="nil"/>
              <w:left w:val="single" w:sz="8" w:space="0" w:color="auto"/>
              <w:bottom w:val="single" w:sz="8" w:space="0" w:color="auto"/>
              <w:right w:val="single" w:sz="8" w:space="0" w:color="auto"/>
            </w:tcBorders>
            <w:shd w:val="clear" w:color="000000" w:fill="B6DDE8"/>
            <w:vAlign w:val="center"/>
            <w:hideMark/>
          </w:tcPr>
          <w:p w:rsidR="00F76BC3" w:rsidRPr="00D94834" w:rsidRDefault="00F76BC3" w:rsidP="00137C7C">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Full-Time Station</w:t>
            </w:r>
          </w:p>
        </w:tc>
        <w:tc>
          <w:tcPr>
            <w:tcW w:w="1139" w:type="dxa"/>
            <w:tcBorders>
              <w:top w:val="nil"/>
              <w:left w:val="nil"/>
              <w:bottom w:val="single" w:sz="8" w:space="0" w:color="auto"/>
              <w:right w:val="nil"/>
            </w:tcBorders>
            <w:shd w:val="clear" w:color="000000" w:fill="B6DDE8"/>
            <w:vAlign w:val="center"/>
            <w:hideMark/>
          </w:tcPr>
          <w:p w:rsidR="00F76BC3" w:rsidRPr="00D94834" w:rsidRDefault="00F76BC3" w:rsidP="00137C7C">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Full &amp; Part-Time Station</w:t>
            </w:r>
          </w:p>
        </w:tc>
        <w:tc>
          <w:tcPr>
            <w:tcW w:w="1134" w:type="dxa"/>
            <w:tcBorders>
              <w:top w:val="nil"/>
              <w:left w:val="single" w:sz="8" w:space="0" w:color="auto"/>
              <w:bottom w:val="single" w:sz="8" w:space="0" w:color="auto"/>
              <w:right w:val="single" w:sz="8" w:space="0" w:color="auto"/>
            </w:tcBorders>
            <w:shd w:val="clear" w:color="000000" w:fill="B6DDE8"/>
            <w:vAlign w:val="center"/>
            <w:hideMark/>
          </w:tcPr>
          <w:p w:rsidR="00F76BC3" w:rsidRPr="00D94834" w:rsidRDefault="00F76BC3" w:rsidP="00137C7C">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Part-Time Station</w:t>
            </w:r>
          </w:p>
        </w:tc>
      </w:tr>
      <w:tr w:rsidR="00F76BC3" w:rsidRPr="00D94834" w:rsidTr="00137C7C">
        <w:trPr>
          <w:trHeight w:val="315"/>
        </w:trPr>
        <w:tc>
          <w:tcPr>
            <w:tcW w:w="1440" w:type="dxa"/>
            <w:tcBorders>
              <w:top w:val="nil"/>
              <w:left w:val="single" w:sz="8" w:space="0" w:color="auto"/>
              <w:bottom w:val="single" w:sz="8" w:space="0" w:color="auto"/>
              <w:right w:val="single" w:sz="8" w:space="0" w:color="000000"/>
            </w:tcBorders>
            <w:shd w:val="clear" w:color="auto" w:fill="auto"/>
            <w:vAlign w:val="center"/>
            <w:hideMark/>
          </w:tcPr>
          <w:p w:rsidR="00F76BC3" w:rsidRPr="00D94834" w:rsidRDefault="00F76BC3"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N</w:t>
            </w:r>
          </w:p>
        </w:tc>
        <w:tc>
          <w:tcPr>
            <w:tcW w:w="1831" w:type="dxa"/>
            <w:tcBorders>
              <w:top w:val="nil"/>
              <w:left w:val="nil"/>
              <w:bottom w:val="single" w:sz="8" w:space="0" w:color="auto"/>
              <w:right w:val="nil"/>
            </w:tcBorders>
            <w:shd w:val="clear" w:color="auto" w:fill="auto"/>
            <w:vAlign w:val="center"/>
            <w:hideMark/>
          </w:tcPr>
          <w:p w:rsidR="00F76BC3" w:rsidRPr="00D94834" w:rsidRDefault="00F76BC3"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Valid</w:t>
            </w:r>
          </w:p>
        </w:tc>
        <w:tc>
          <w:tcPr>
            <w:tcW w:w="1129" w:type="dxa"/>
            <w:tcBorders>
              <w:top w:val="nil"/>
              <w:left w:val="single" w:sz="8" w:space="0" w:color="auto"/>
              <w:bottom w:val="single" w:sz="8" w:space="0" w:color="auto"/>
              <w:right w:val="single" w:sz="8" w:space="0" w:color="auto"/>
            </w:tcBorders>
            <w:shd w:val="clear" w:color="auto" w:fill="auto"/>
            <w:vAlign w:val="center"/>
            <w:hideMark/>
          </w:tcPr>
          <w:p w:rsidR="00F76BC3" w:rsidRPr="00D94834" w:rsidRDefault="00F76BC3" w:rsidP="00137C7C">
            <w:pPr>
              <w:spacing w:after="0" w:line="240" w:lineRule="auto"/>
              <w:jc w:val="right"/>
              <w:rPr>
                <w:rFonts w:ascii="Calibri" w:eastAsia="Times New Roman" w:hAnsi="Calibri" w:cs="Calibri"/>
                <w:color w:val="000000"/>
                <w:lang w:eastAsia="en-IE"/>
              </w:rPr>
            </w:pPr>
            <w:r w:rsidRPr="00D94834">
              <w:rPr>
                <w:rFonts w:ascii="Calibri" w:eastAsia="Times New Roman" w:hAnsi="Calibri" w:cs="Calibri"/>
                <w:color w:val="000000"/>
                <w:lang w:eastAsia="en-IE"/>
              </w:rPr>
              <w:t>1</w:t>
            </w:r>
          </w:p>
        </w:tc>
        <w:tc>
          <w:tcPr>
            <w:tcW w:w="1139" w:type="dxa"/>
            <w:tcBorders>
              <w:top w:val="nil"/>
              <w:left w:val="nil"/>
              <w:bottom w:val="single" w:sz="8" w:space="0" w:color="auto"/>
              <w:right w:val="nil"/>
            </w:tcBorders>
            <w:shd w:val="clear" w:color="auto" w:fill="auto"/>
            <w:vAlign w:val="center"/>
            <w:hideMark/>
          </w:tcPr>
          <w:p w:rsidR="00F76BC3" w:rsidRPr="00D94834" w:rsidRDefault="00F76BC3" w:rsidP="00137C7C">
            <w:pPr>
              <w:spacing w:after="0" w:line="240" w:lineRule="auto"/>
              <w:jc w:val="right"/>
              <w:rPr>
                <w:rFonts w:ascii="Calibri" w:eastAsia="Times New Roman" w:hAnsi="Calibri" w:cs="Calibri"/>
                <w:color w:val="000000"/>
                <w:lang w:eastAsia="en-IE"/>
              </w:rPr>
            </w:pPr>
            <w:r w:rsidRPr="00D94834">
              <w:rPr>
                <w:rFonts w:ascii="Calibri" w:eastAsia="Times New Roman" w:hAnsi="Calibri" w:cs="Calibri"/>
                <w:color w:val="000000"/>
                <w:lang w:eastAsia="en-IE"/>
              </w:rPr>
              <w:t>5</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F76BC3" w:rsidRPr="00D94834" w:rsidRDefault="00F76BC3" w:rsidP="00137C7C">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21</w:t>
            </w:r>
          </w:p>
        </w:tc>
      </w:tr>
      <w:tr w:rsidR="00F76BC3" w:rsidRPr="00D94834" w:rsidTr="00137C7C">
        <w:trPr>
          <w:trHeight w:val="315"/>
        </w:trPr>
        <w:tc>
          <w:tcPr>
            <w:tcW w:w="1440" w:type="dxa"/>
            <w:tcBorders>
              <w:top w:val="nil"/>
              <w:left w:val="single" w:sz="8" w:space="0" w:color="auto"/>
              <w:bottom w:val="single" w:sz="8" w:space="0" w:color="auto"/>
              <w:right w:val="single" w:sz="8" w:space="0" w:color="000000"/>
            </w:tcBorders>
            <w:shd w:val="clear" w:color="auto" w:fill="auto"/>
            <w:vAlign w:val="center"/>
            <w:hideMark/>
          </w:tcPr>
          <w:p w:rsidR="00F76BC3" w:rsidRPr="00D94834" w:rsidRDefault="00F76BC3"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 </w:t>
            </w:r>
          </w:p>
        </w:tc>
        <w:tc>
          <w:tcPr>
            <w:tcW w:w="1831" w:type="dxa"/>
            <w:tcBorders>
              <w:top w:val="nil"/>
              <w:left w:val="nil"/>
              <w:bottom w:val="single" w:sz="8" w:space="0" w:color="auto"/>
              <w:right w:val="nil"/>
            </w:tcBorders>
            <w:shd w:val="clear" w:color="auto" w:fill="auto"/>
            <w:vAlign w:val="center"/>
            <w:hideMark/>
          </w:tcPr>
          <w:p w:rsidR="00F76BC3" w:rsidRPr="00D94834" w:rsidRDefault="00F76BC3" w:rsidP="00E17A00">
            <w:pPr>
              <w:spacing w:after="0" w:line="240" w:lineRule="auto"/>
              <w:rPr>
                <w:rFonts w:ascii="Calibri" w:eastAsia="Times New Roman" w:hAnsi="Calibri" w:cs="Calibri"/>
                <w:color w:val="000000"/>
                <w:lang w:eastAsia="en-IE"/>
              </w:rPr>
            </w:pPr>
          </w:p>
        </w:tc>
        <w:tc>
          <w:tcPr>
            <w:tcW w:w="1129" w:type="dxa"/>
            <w:tcBorders>
              <w:top w:val="nil"/>
              <w:left w:val="single" w:sz="8" w:space="0" w:color="auto"/>
              <w:bottom w:val="single" w:sz="8" w:space="0" w:color="auto"/>
              <w:right w:val="single" w:sz="8" w:space="0" w:color="auto"/>
            </w:tcBorders>
            <w:shd w:val="clear" w:color="auto" w:fill="auto"/>
            <w:vAlign w:val="center"/>
            <w:hideMark/>
          </w:tcPr>
          <w:p w:rsidR="00F76BC3" w:rsidRPr="00D94834" w:rsidRDefault="00F76BC3" w:rsidP="00137C7C">
            <w:pPr>
              <w:spacing w:after="0" w:line="240" w:lineRule="auto"/>
              <w:jc w:val="right"/>
              <w:rPr>
                <w:rFonts w:ascii="Calibri" w:eastAsia="Times New Roman" w:hAnsi="Calibri" w:cs="Calibri"/>
                <w:color w:val="000000"/>
                <w:lang w:eastAsia="en-IE"/>
              </w:rPr>
            </w:pPr>
          </w:p>
        </w:tc>
        <w:tc>
          <w:tcPr>
            <w:tcW w:w="1139" w:type="dxa"/>
            <w:tcBorders>
              <w:top w:val="nil"/>
              <w:left w:val="nil"/>
              <w:bottom w:val="single" w:sz="8" w:space="0" w:color="auto"/>
              <w:right w:val="nil"/>
            </w:tcBorders>
            <w:shd w:val="clear" w:color="auto" w:fill="auto"/>
            <w:vAlign w:val="center"/>
            <w:hideMark/>
          </w:tcPr>
          <w:p w:rsidR="00F76BC3" w:rsidRPr="00D94834" w:rsidRDefault="00F76BC3" w:rsidP="00137C7C">
            <w:pPr>
              <w:spacing w:after="0" w:line="240" w:lineRule="auto"/>
              <w:jc w:val="right"/>
              <w:rPr>
                <w:rFonts w:ascii="Calibri" w:eastAsia="Times New Roman" w:hAnsi="Calibri" w:cs="Calibri"/>
                <w:color w:val="000000"/>
                <w:lang w:eastAsia="en-IE"/>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F76BC3" w:rsidRPr="00D94834" w:rsidRDefault="00F76BC3" w:rsidP="00137C7C">
            <w:pPr>
              <w:spacing w:after="0" w:line="240" w:lineRule="auto"/>
              <w:jc w:val="right"/>
              <w:rPr>
                <w:rFonts w:ascii="Calibri" w:eastAsia="Times New Roman" w:hAnsi="Calibri" w:cs="Calibri"/>
                <w:color w:val="000000"/>
                <w:lang w:eastAsia="en-IE"/>
              </w:rPr>
            </w:pPr>
          </w:p>
        </w:tc>
      </w:tr>
      <w:tr w:rsidR="00F76BC3" w:rsidRPr="00D94834" w:rsidTr="00137C7C">
        <w:trPr>
          <w:trHeight w:val="315"/>
        </w:trPr>
        <w:tc>
          <w:tcPr>
            <w:tcW w:w="1440" w:type="dxa"/>
            <w:tcBorders>
              <w:top w:val="nil"/>
              <w:left w:val="single" w:sz="8" w:space="0" w:color="auto"/>
              <w:bottom w:val="single" w:sz="8" w:space="0" w:color="auto"/>
              <w:right w:val="single" w:sz="8" w:space="0" w:color="000000"/>
            </w:tcBorders>
            <w:shd w:val="clear" w:color="auto" w:fill="auto"/>
            <w:vAlign w:val="center"/>
            <w:hideMark/>
          </w:tcPr>
          <w:p w:rsidR="00F76BC3" w:rsidRPr="00D94834" w:rsidRDefault="00F76BC3" w:rsidP="00E17A00">
            <w:pPr>
              <w:spacing w:after="0" w:line="240" w:lineRule="auto"/>
              <w:rPr>
                <w:rFonts w:ascii="Calibri" w:eastAsia="Times New Roman" w:hAnsi="Calibri" w:cs="Calibri"/>
                <w:b/>
                <w:bCs/>
                <w:color w:val="000000"/>
                <w:lang w:eastAsia="en-IE"/>
              </w:rPr>
            </w:pPr>
            <w:r w:rsidRPr="00D94834">
              <w:rPr>
                <w:rFonts w:ascii="Calibri" w:eastAsia="Times New Roman" w:hAnsi="Calibri" w:cs="Calibri"/>
                <w:b/>
                <w:bCs/>
                <w:color w:val="000000"/>
                <w:lang w:eastAsia="en-IE"/>
              </w:rPr>
              <w:t>Average</w:t>
            </w:r>
          </w:p>
        </w:tc>
        <w:tc>
          <w:tcPr>
            <w:tcW w:w="1831" w:type="dxa"/>
            <w:tcBorders>
              <w:top w:val="nil"/>
              <w:left w:val="nil"/>
              <w:bottom w:val="single" w:sz="8" w:space="0" w:color="auto"/>
              <w:right w:val="nil"/>
            </w:tcBorders>
            <w:shd w:val="clear" w:color="auto" w:fill="auto"/>
            <w:vAlign w:val="center"/>
            <w:hideMark/>
          </w:tcPr>
          <w:p w:rsidR="00F76BC3" w:rsidRPr="00D94834" w:rsidRDefault="00F76BC3" w:rsidP="00E17A00">
            <w:pPr>
              <w:spacing w:after="0" w:line="240" w:lineRule="auto"/>
              <w:rPr>
                <w:rFonts w:ascii="Calibri" w:eastAsia="Times New Roman" w:hAnsi="Calibri" w:cs="Calibri"/>
                <w:b/>
                <w:bCs/>
                <w:color w:val="000000"/>
                <w:lang w:eastAsia="en-IE"/>
              </w:rPr>
            </w:pPr>
            <w:r w:rsidRPr="00D94834">
              <w:rPr>
                <w:rFonts w:ascii="Calibri" w:eastAsia="Times New Roman" w:hAnsi="Calibri" w:cs="Calibri"/>
                <w:b/>
                <w:bCs/>
                <w:color w:val="000000"/>
                <w:lang w:eastAsia="en-IE"/>
              </w:rPr>
              <w:t>Median</w:t>
            </w:r>
          </w:p>
        </w:tc>
        <w:tc>
          <w:tcPr>
            <w:tcW w:w="1129" w:type="dxa"/>
            <w:tcBorders>
              <w:top w:val="nil"/>
              <w:left w:val="single" w:sz="8" w:space="0" w:color="auto"/>
              <w:bottom w:val="single" w:sz="8" w:space="0" w:color="auto"/>
              <w:right w:val="single" w:sz="8" w:space="0" w:color="auto"/>
            </w:tcBorders>
            <w:shd w:val="clear" w:color="auto" w:fill="auto"/>
            <w:vAlign w:val="center"/>
            <w:hideMark/>
          </w:tcPr>
          <w:p w:rsidR="00F76BC3" w:rsidRPr="00D94834" w:rsidRDefault="00F76BC3" w:rsidP="00137C7C">
            <w:pPr>
              <w:spacing w:after="0" w:line="240" w:lineRule="auto"/>
              <w:jc w:val="right"/>
              <w:rPr>
                <w:rFonts w:ascii="Calibri" w:eastAsia="Times New Roman" w:hAnsi="Calibri" w:cs="Calibri"/>
                <w:b/>
                <w:bCs/>
                <w:color w:val="000000"/>
                <w:lang w:eastAsia="en-IE"/>
              </w:rPr>
            </w:pPr>
            <w:r w:rsidRPr="00D94834">
              <w:rPr>
                <w:rFonts w:ascii="Calibri" w:eastAsia="Times New Roman" w:hAnsi="Calibri" w:cs="Calibri"/>
                <w:b/>
                <w:bCs/>
                <w:color w:val="000000"/>
                <w:lang w:eastAsia="en-IE"/>
              </w:rPr>
              <w:t>93.13</w:t>
            </w:r>
          </w:p>
        </w:tc>
        <w:tc>
          <w:tcPr>
            <w:tcW w:w="1139" w:type="dxa"/>
            <w:tcBorders>
              <w:top w:val="nil"/>
              <w:left w:val="nil"/>
              <w:bottom w:val="single" w:sz="8" w:space="0" w:color="auto"/>
              <w:right w:val="nil"/>
            </w:tcBorders>
            <w:shd w:val="clear" w:color="auto" w:fill="auto"/>
            <w:vAlign w:val="center"/>
            <w:hideMark/>
          </w:tcPr>
          <w:p w:rsidR="00F76BC3" w:rsidRPr="00D94834" w:rsidRDefault="00F76BC3" w:rsidP="00137C7C">
            <w:pPr>
              <w:spacing w:after="0" w:line="240" w:lineRule="auto"/>
              <w:jc w:val="right"/>
              <w:rPr>
                <w:rFonts w:ascii="Calibri" w:eastAsia="Times New Roman" w:hAnsi="Calibri" w:cs="Calibri"/>
                <w:b/>
                <w:bCs/>
                <w:color w:val="000000"/>
                <w:lang w:eastAsia="en-IE"/>
              </w:rPr>
            </w:pPr>
            <w:r w:rsidRPr="00D94834">
              <w:rPr>
                <w:rFonts w:ascii="Calibri" w:eastAsia="Times New Roman" w:hAnsi="Calibri" w:cs="Calibri"/>
                <w:b/>
                <w:bCs/>
                <w:color w:val="000000"/>
                <w:lang w:eastAsia="en-IE"/>
              </w:rPr>
              <w:t>59.26</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F76BC3" w:rsidRPr="00D94834" w:rsidRDefault="00F76BC3" w:rsidP="00137C7C">
            <w:pPr>
              <w:spacing w:after="0" w:line="240" w:lineRule="auto"/>
              <w:jc w:val="right"/>
              <w:rPr>
                <w:rFonts w:ascii="Calibri" w:eastAsia="Times New Roman" w:hAnsi="Calibri" w:cs="Calibri"/>
                <w:b/>
                <w:bCs/>
                <w:color w:val="000000"/>
                <w:lang w:eastAsia="en-IE"/>
              </w:rPr>
            </w:pPr>
            <w:r>
              <w:rPr>
                <w:rFonts w:ascii="Calibri" w:eastAsia="Times New Roman" w:hAnsi="Calibri" w:cs="Calibri"/>
                <w:b/>
                <w:bCs/>
                <w:color w:val="000000"/>
                <w:lang w:eastAsia="en-IE"/>
              </w:rPr>
              <w:t>43.17</w:t>
            </w:r>
          </w:p>
        </w:tc>
      </w:tr>
      <w:tr w:rsidR="00F76BC3" w:rsidRPr="00D94834" w:rsidTr="00137C7C">
        <w:trPr>
          <w:trHeight w:val="315"/>
        </w:trPr>
        <w:tc>
          <w:tcPr>
            <w:tcW w:w="1440" w:type="dxa"/>
            <w:tcBorders>
              <w:top w:val="nil"/>
              <w:left w:val="single" w:sz="8" w:space="0" w:color="auto"/>
              <w:bottom w:val="single" w:sz="8" w:space="0" w:color="auto"/>
              <w:right w:val="single" w:sz="8" w:space="0" w:color="000000"/>
            </w:tcBorders>
            <w:shd w:val="clear" w:color="auto" w:fill="auto"/>
            <w:vAlign w:val="center"/>
            <w:hideMark/>
          </w:tcPr>
          <w:p w:rsidR="00F76BC3" w:rsidRPr="00D94834" w:rsidRDefault="00F76BC3"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 </w:t>
            </w:r>
          </w:p>
        </w:tc>
        <w:tc>
          <w:tcPr>
            <w:tcW w:w="1831" w:type="dxa"/>
            <w:tcBorders>
              <w:top w:val="nil"/>
              <w:left w:val="nil"/>
              <w:bottom w:val="single" w:sz="8" w:space="0" w:color="auto"/>
              <w:right w:val="nil"/>
            </w:tcBorders>
            <w:shd w:val="clear" w:color="auto" w:fill="auto"/>
            <w:vAlign w:val="center"/>
            <w:hideMark/>
          </w:tcPr>
          <w:p w:rsidR="00F76BC3" w:rsidRPr="00D94834" w:rsidRDefault="00F76BC3"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Mean</w:t>
            </w:r>
          </w:p>
        </w:tc>
        <w:tc>
          <w:tcPr>
            <w:tcW w:w="1129" w:type="dxa"/>
            <w:tcBorders>
              <w:top w:val="nil"/>
              <w:left w:val="single" w:sz="8" w:space="0" w:color="auto"/>
              <w:bottom w:val="single" w:sz="8" w:space="0" w:color="auto"/>
              <w:right w:val="single" w:sz="8" w:space="0" w:color="auto"/>
            </w:tcBorders>
            <w:shd w:val="clear" w:color="auto" w:fill="auto"/>
            <w:vAlign w:val="center"/>
            <w:hideMark/>
          </w:tcPr>
          <w:p w:rsidR="00F76BC3" w:rsidRPr="00D94834" w:rsidRDefault="00F76BC3" w:rsidP="00137C7C">
            <w:pPr>
              <w:spacing w:after="0" w:line="240" w:lineRule="auto"/>
              <w:jc w:val="right"/>
              <w:rPr>
                <w:rFonts w:ascii="Calibri" w:eastAsia="Times New Roman" w:hAnsi="Calibri" w:cs="Calibri"/>
                <w:color w:val="000000"/>
                <w:lang w:eastAsia="en-IE"/>
              </w:rPr>
            </w:pPr>
            <w:r w:rsidRPr="00D94834">
              <w:rPr>
                <w:rFonts w:ascii="Calibri" w:eastAsia="Times New Roman" w:hAnsi="Calibri" w:cs="Calibri"/>
                <w:color w:val="000000"/>
                <w:lang w:eastAsia="en-IE"/>
              </w:rPr>
              <w:t>93.13</w:t>
            </w:r>
          </w:p>
        </w:tc>
        <w:tc>
          <w:tcPr>
            <w:tcW w:w="1139" w:type="dxa"/>
            <w:tcBorders>
              <w:top w:val="nil"/>
              <w:left w:val="nil"/>
              <w:bottom w:val="single" w:sz="8" w:space="0" w:color="auto"/>
              <w:right w:val="nil"/>
            </w:tcBorders>
            <w:shd w:val="clear" w:color="auto" w:fill="auto"/>
            <w:vAlign w:val="center"/>
            <w:hideMark/>
          </w:tcPr>
          <w:p w:rsidR="00F76BC3" w:rsidRPr="00D94834" w:rsidRDefault="00F76BC3" w:rsidP="00137C7C">
            <w:pPr>
              <w:spacing w:after="0" w:line="240" w:lineRule="auto"/>
              <w:jc w:val="right"/>
              <w:rPr>
                <w:rFonts w:ascii="Calibri" w:eastAsia="Times New Roman" w:hAnsi="Calibri" w:cs="Calibri"/>
                <w:color w:val="000000"/>
                <w:lang w:eastAsia="en-IE"/>
              </w:rPr>
            </w:pPr>
            <w:r w:rsidRPr="00D94834">
              <w:rPr>
                <w:rFonts w:ascii="Calibri" w:eastAsia="Times New Roman" w:hAnsi="Calibri" w:cs="Calibri"/>
                <w:color w:val="000000"/>
                <w:lang w:eastAsia="en-IE"/>
              </w:rPr>
              <w:t>60.83</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F76BC3" w:rsidRPr="00D94834" w:rsidRDefault="00F76BC3" w:rsidP="00137C7C">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44.56</w:t>
            </w:r>
          </w:p>
        </w:tc>
      </w:tr>
    </w:tbl>
    <w:p w:rsidR="00885360" w:rsidRPr="00B97E75" w:rsidRDefault="00885360" w:rsidP="00B904ED">
      <w:pPr>
        <w:spacing w:after="0" w:line="240" w:lineRule="auto"/>
        <w:rPr>
          <w:rFonts w:eastAsia="Times New Roman" w:cstheme="minorHAnsi"/>
          <w:color w:val="000000"/>
          <w:lang w:eastAsia="en-IE"/>
        </w:rPr>
      </w:pPr>
    </w:p>
    <w:p w:rsidR="00885360" w:rsidRPr="00B97E75" w:rsidRDefault="00885360" w:rsidP="00B904ED">
      <w:pPr>
        <w:spacing w:after="0" w:line="240" w:lineRule="auto"/>
        <w:rPr>
          <w:rFonts w:eastAsia="Times New Roman" w:cstheme="minorHAnsi"/>
          <w:color w:val="000000"/>
          <w:lang w:eastAsia="en-IE"/>
        </w:rPr>
      </w:pPr>
    </w:p>
    <w:tbl>
      <w:tblPr>
        <w:tblW w:w="7860" w:type="dxa"/>
        <w:tblInd w:w="98" w:type="dxa"/>
        <w:tblLook w:val="04A0" w:firstRow="1" w:lastRow="0" w:firstColumn="1" w:lastColumn="0" w:noHBand="0" w:noVBand="1"/>
      </w:tblPr>
      <w:tblGrid>
        <w:gridCol w:w="1440"/>
        <w:gridCol w:w="1400"/>
        <w:gridCol w:w="1553"/>
        <w:gridCol w:w="967"/>
        <w:gridCol w:w="1540"/>
        <w:gridCol w:w="960"/>
      </w:tblGrid>
      <w:tr w:rsidR="00D94834" w:rsidRPr="00D94834" w:rsidTr="00E17A00">
        <w:trPr>
          <w:trHeight w:val="315"/>
        </w:trPr>
        <w:tc>
          <w:tcPr>
            <w:tcW w:w="7860" w:type="dxa"/>
            <w:gridSpan w:val="6"/>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D94834" w:rsidRPr="00D94834" w:rsidRDefault="00D94834" w:rsidP="00E17A00">
            <w:pPr>
              <w:spacing w:after="0" w:line="240" w:lineRule="auto"/>
              <w:rPr>
                <w:rFonts w:ascii="Calibri" w:eastAsia="Times New Roman" w:hAnsi="Calibri" w:cs="Calibri"/>
                <w:b/>
                <w:bCs/>
                <w:color w:val="000000"/>
                <w:lang w:eastAsia="en-IE"/>
              </w:rPr>
            </w:pPr>
            <w:r w:rsidRPr="00D94834">
              <w:rPr>
                <w:rFonts w:ascii="Calibri" w:eastAsia="Times New Roman" w:hAnsi="Calibri" w:cs="Calibri"/>
                <w:b/>
                <w:bCs/>
                <w:color w:val="000000"/>
                <w:lang w:eastAsia="en-IE"/>
              </w:rPr>
              <w:t>Average time to Mobilise Fire Brigade (Fire in Minutes)</w:t>
            </w:r>
          </w:p>
        </w:tc>
      </w:tr>
      <w:tr w:rsidR="00D94834" w:rsidRPr="00D94834" w:rsidTr="00E17A00">
        <w:trPr>
          <w:trHeight w:val="315"/>
        </w:trPr>
        <w:tc>
          <w:tcPr>
            <w:tcW w:w="2840" w:type="dxa"/>
            <w:gridSpan w:val="2"/>
            <w:tcBorders>
              <w:top w:val="single" w:sz="8" w:space="0" w:color="auto"/>
              <w:left w:val="single" w:sz="8" w:space="0" w:color="auto"/>
              <w:bottom w:val="single" w:sz="8" w:space="0" w:color="auto"/>
              <w:right w:val="single" w:sz="8" w:space="0" w:color="000000"/>
            </w:tcBorders>
            <w:shd w:val="clear" w:color="000000" w:fill="B6DDE8"/>
            <w:noWrap/>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Full-Time Station</w:t>
            </w:r>
          </w:p>
        </w:tc>
        <w:tc>
          <w:tcPr>
            <w:tcW w:w="1560" w:type="dxa"/>
            <w:tcBorders>
              <w:top w:val="nil"/>
              <w:left w:val="nil"/>
              <w:bottom w:val="single" w:sz="8" w:space="0" w:color="auto"/>
              <w:right w:val="single" w:sz="8" w:space="0" w:color="auto"/>
            </w:tcBorders>
            <w:shd w:val="clear" w:color="000000" w:fill="B6DDE8"/>
            <w:vAlign w:val="center"/>
            <w:hideMark/>
          </w:tcPr>
          <w:p w:rsidR="00D94834" w:rsidRPr="00D94834" w:rsidRDefault="00D94834" w:rsidP="00E17A00">
            <w:pPr>
              <w:spacing w:after="0" w:line="240" w:lineRule="auto"/>
              <w:rPr>
                <w:rFonts w:ascii="Calibri" w:eastAsia="Times New Roman" w:hAnsi="Calibri" w:cs="Calibri"/>
                <w:b/>
                <w:bCs/>
                <w:color w:val="000000"/>
                <w:lang w:eastAsia="en-IE"/>
              </w:rPr>
            </w:pPr>
            <w:r w:rsidRPr="00D94834">
              <w:rPr>
                <w:rFonts w:ascii="Calibri" w:eastAsia="Times New Roman" w:hAnsi="Calibri" w:cs="Calibri"/>
                <w:b/>
                <w:bCs/>
                <w:color w:val="000000"/>
                <w:lang w:eastAsia="en-IE"/>
              </w:rPr>
              <w:t>2014</w:t>
            </w:r>
          </w:p>
        </w:tc>
        <w:tc>
          <w:tcPr>
            <w:tcW w:w="2500" w:type="dxa"/>
            <w:gridSpan w:val="2"/>
            <w:tcBorders>
              <w:top w:val="single" w:sz="8" w:space="0" w:color="auto"/>
              <w:left w:val="nil"/>
              <w:bottom w:val="single" w:sz="8" w:space="0" w:color="auto"/>
              <w:right w:val="single" w:sz="8" w:space="0" w:color="000000"/>
            </w:tcBorders>
            <w:shd w:val="clear" w:color="000000" w:fill="B6DDE8"/>
            <w:noWrap/>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Part-time Station</w:t>
            </w:r>
          </w:p>
        </w:tc>
        <w:tc>
          <w:tcPr>
            <w:tcW w:w="960" w:type="dxa"/>
            <w:tcBorders>
              <w:top w:val="nil"/>
              <w:left w:val="nil"/>
              <w:bottom w:val="single" w:sz="8" w:space="0" w:color="auto"/>
              <w:right w:val="single" w:sz="8" w:space="0" w:color="auto"/>
            </w:tcBorders>
            <w:shd w:val="clear" w:color="000000" w:fill="B6DDE8"/>
            <w:vAlign w:val="center"/>
            <w:hideMark/>
          </w:tcPr>
          <w:p w:rsidR="00D94834" w:rsidRPr="00D94834" w:rsidRDefault="00D94834" w:rsidP="00E17A00">
            <w:pPr>
              <w:spacing w:after="0" w:line="240" w:lineRule="auto"/>
              <w:rPr>
                <w:rFonts w:ascii="Calibri" w:eastAsia="Times New Roman" w:hAnsi="Calibri" w:cs="Calibri"/>
                <w:b/>
                <w:bCs/>
                <w:color w:val="000000"/>
                <w:lang w:eastAsia="en-IE"/>
              </w:rPr>
            </w:pPr>
            <w:r w:rsidRPr="00D94834">
              <w:rPr>
                <w:rFonts w:ascii="Calibri" w:eastAsia="Times New Roman" w:hAnsi="Calibri" w:cs="Calibri"/>
                <w:b/>
                <w:bCs/>
                <w:color w:val="000000"/>
                <w:lang w:eastAsia="en-IE"/>
              </w:rPr>
              <w:t>2014</w:t>
            </w:r>
          </w:p>
        </w:tc>
      </w:tr>
      <w:tr w:rsidR="00D94834" w:rsidRPr="00D94834" w:rsidTr="00E17A00">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N</w:t>
            </w:r>
          </w:p>
        </w:tc>
        <w:tc>
          <w:tcPr>
            <w:tcW w:w="1400" w:type="dxa"/>
            <w:tcBorders>
              <w:top w:val="nil"/>
              <w:left w:val="nil"/>
              <w:bottom w:val="single" w:sz="8" w:space="0" w:color="auto"/>
              <w:right w:val="nil"/>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Valid</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6</w:t>
            </w:r>
          </w:p>
        </w:tc>
        <w:tc>
          <w:tcPr>
            <w:tcW w:w="96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N</w:t>
            </w:r>
          </w:p>
        </w:tc>
        <w:tc>
          <w:tcPr>
            <w:tcW w:w="154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Valid</w:t>
            </w:r>
          </w:p>
        </w:tc>
        <w:tc>
          <w:tcPr>
            <w:tcW w:w="960" w:type="dxa"/>
            <w:tcBorders>
              <w:top w:val="nil"/>
              <w:left w:val="nil"/>
              <w:bottom w:val="single" w:sz="8" w:space="0" w:color="auto"/>
              <w:right w:val="single" w:sz="8" w:space="0" w:color="auto"/>
            </w:tcBorders>
            <w:shd w:val="clear" w:color="auto" w:fill="auto"/>
            <w:vAlign w:val="center"/>
            <w:hideMark/>
          </w:tcPr>
          <w:p w:rsidR="00D94834" w:rsidRPr="00D94834" w:rsidRDefault="00266776" w:rsidP="00E17A00">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2</w:t>
            </w:r>
            <w:r w:rsidR="00CF3DE2">
              <w:rPr>
                <w:rFonts w:ascii="Calibri" w:eastAsia="Times New Roman" w:hAnsi="Calibri" w:cs="Calibri"/>
                <w:color w:val="000000"/>
                <w:lang w:eastAsia="en-IE"/>
              </w:rPr>
              <w:t>6</w:t>
            </w:r>
          </w:p>
        </w:tc>
      </w:tr>
      <w:tr w:rsidR="00D94834" w:rsidRPr="00D94834" w:rsidTr="00266776">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 </w:t>
            </w:r>
          </w:p>
        </w:tc>
        <w:tc>
          <w:tcPr>
            <w:tcW w:w="1400" w:type="dxa"/>
            <w:tcBorders>
              <w:top w:val="nil"/>
              <w:left w:val="nil"/>
              <w:bottom w:val="single" w:sz="8" w:space="0" w:color="auto"/>
              <w:right w:val="nil"/>
            </w:tcBorders>
            <w:shd w:val="clear" w:color="auto" w:fill="auto"/>
            <w:vAlign w:val="center"/>
          </w:tcPr>
          <w:p w:rsidR="00D94834" w:rsidRPr="00D94834" w:rsidRDefault="00D94834" w:rsidP="00E17A00">
            <w:pPr>
              <w:spacing w:after="0" w:line="240" w:lineRule="auto"/>
              <w:rPr>
                <w:rFonts w:ascii="Calibri" w:eastAsia="Times New Roman" w:hAnsi="Calibri" w:cs="Calibri"/>
                <w:color w:val="000000"/>
                <w:lang w:eastAsia="en-IE"/>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p>
        </w:tc>
        <w:tc>
          <w:tcPr>
            <w:tcW w:w="96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p>
        </w:tc>
        <w:tc>
          <w:tcPr>
            <w:tcW w:w="96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p>
        </w:tc>
      </w:tr>
      <w:tr w:rsidR="00D94834" w:rsidRPr="00D94834" w:rsidTr="00E17A00">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b/>
                <w:bCs/>
                <w:color w:val="000000"/>
                <w:lang w:eastAsia="en-IE"/>
              </w:rPr>
            </w:pPr>
            <w:r w:rsidRPr="00D94834">
              <w:rPr>
                <w:rFonts w:ascii="Calibri" w:eastAsia="Times New Roman" w:hAnsi="Calibri" w:cs="Calibri"/>
                <w:b/>
                <w:bCs/>
                <w:color w:val="000000"/>
                <w:lang w:eastAsia="en-IE"/>
              </w:rPr>
              <w:t>Average</w:t>
            </w:r>
          </w:p>
        </w:tc>
        <w:tc>
          <w:tcPr>
            <w:tcW w:w="140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b/>
                <w:bCs/>
                <w:color w:val="000000"/>
                <w:lang w:eastAsia="en-IE"/>
              </w:rPr>
            </w:pPr>
            <w:r w:rsidRPr="00D94834">
              <w:rPr>
                <w:rFonts w:ascii="Calibri" w:eastAsia="Times New Roman" w:hAnsi="Calibri" w:cs="Calibri"/>
                <w:b/>
                <w:bCs/>
                <w:color w:val="000000"/>
                <w:lang w:eastAsia="en-IE"/>
              </w:rPr>
              <w:t>Median</w:t>
            </w:r>
          </w:p>
        </w:tc>
        <w:tc>
          <w:tcPr>
            <w:tcW w:w="156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b/>
                <w:bCs/>
                <w:color w:val="000000"/>
                <w:lang w:eastAsia="en-IE"/>
              </w:rPr>
            </w:pPr>
            <w:r w:rsidRPr="00D94834">
              <w:rPr>
                <w:rFonts w:ascii="Calibri" w:eastAsia="Times New Roman" w:hAnsi="Calibri" w:cs="Calibri"/>
                <w:b/>
                <w:bCs/>
                <w:color w:val="000000"/>
                <w:lang w:eastAsia="en-IE"/>
              </w:rPr>
              <w:t>1.66</w:t>
            </w:r>
          </w:p>
        </w:tc>
        <w:tc>
          <w:tcPr>
            <w:tcW w:w="96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b/>
                <w:bCs/>
                <w:color w:val="000000"/>
                <w:lang w:eastAsia="en-IE"/>
              </w:rPr>
            </w:pPr>
            <w:r w:rsidRPr="00D94834">
              <w:rPr>
                <w:rFonts w:ascii="Calibri" w:eastAsia="Times New Roman" w:hAnsi="Calibri" w:cs="Calibri"/>
                <w:b/>
                <w:bCs/>
                <w:color w:val="000000"/>
                <w:lang w:eastAsia="en-IE"/>
              </w:rPr>
              <w:t>Average</w:t>
            </w:r>
          </w:p>
        </w:tc>
        <w:tc>
          <w:tcPr>
            <w:tcW w:w="154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b/>
                <w:bCs/>
                <w:color w:val="000000"/>
                <w:lang w:eastAsia="en-IE"/>
              </w:rPr>
            </w:pPr>
            <w:r w:rsidRPr="00D94834">
              <w:rPr>
                <w:rFonts w:ascii="Calibri" w:eastAsia="Times New Roman" w:hAnsi="Calibri" w:cs="Calibri"/>
                <w:b/>
                <w:bCs/>
                <w:color w:val="000000"/>
                <w:lang w:eastAsia="en-IE"/>
              </w:rPr>
              <w:t>Median</w:t>
            </w:r>
          </w:p>
        </w:tc>
        <w:tc>
          <w:tcPr>
            <w:tcW w:w="96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b/>
                <w:bCs/>
                <w:color w:val="000000"/>
                <w:lang w:eastAsia="en-IE"/>
              </w:rPr>
            </w:pPr>
            <w:r w:rsidRPr="00D94834">
              <w:rPr>
                <w:rFonts w:ascii="Calibri" w:eastAsia="Times New Roman" w:hAnsi="Calibri" w:cs="Calibri"/>
                <w:b/>
                <w:bCs/>
                <w:color w:val="000000"/>
                <w:lang w:eastAsia="en-IE"/>
              </w:rPr>
              <w:t>5.53</w:t>
            </w:r>
          </w:p>
        </w:tc>
      </w:tr>
      <w:tr w:rsidR="00D94834" w:rsidRPr="00D94834" w:rsidTr="00E17A00">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 </w:t>
            </w:r>
          </w:p>
        </w:tc>
        <w:tc>
          <w:tcPr>
            <w:tcW w:w="140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Mean</w:t>
            </w:r>
          </w:p>
        </w:tc>
        <w:tc>
          <w:tcPr>
            <w:tcW w:w="156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1.8</w:t>
            </w:r>
          </w:p>
        </w:tc>
        <w:tc>
          <w:tcPr>
            <w:tcW w:w="96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Mean</w:t>
            </w:r>
          </w:p>
        </w:tc>
        <w:tc>
          <w:tcPr>
            <w:tcW w:w="96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5.62</w:t>
            </w:r>
          </w:p>
        </w:tc>
      </w:tr>
      <w:tr w:rsidR="00D94834" w:rsidRPr="00D94834" w:rsidTr="00E17A00">
        <w:trPr>
          <w:trHeight w:val="315"/>
        </w:trPr>
        <w:tc>
          <w:tcPr>
            <w:tcW w:w="7860" w:type="dxa"/>
            <w:gridSpan w:val="6"/>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D94834" w:rsidRPr="00D94834" w:rsidRDefault="00D94834" w:rsidP="00E17A00">
            <w:pPr>
              <w:spacing w:after="0" w:line="240" w:lineRule="auto"/>
              <w:rPr>
                <w:rFonts w:ascii="Calibri" w:eastAsia="Times New Roman" w:hAnsi="Calibri" w:cs="Calibri"/>
                <w:b/>
                <w:bCs/>
                <w:color w:val="000000"/>
                <w:lang w:eastAsia="en-IE"/>
              </w:rPr>
            </w:pPr>
            <w:r w:rsidRPr="00D94834">
              <w:rPr>
                <w:rFonts w:ascii="Calibri" w:eastAsia="Times New Roman" w:hAnsi="Calibri" w:cs="Calibri"/>
                <w:b/>
                <w:bCs/>
                <w:color w:val="000000"/>
                <w:lang w:eastAsia="en-IE"/>
              </w:rPr>
              <w:t>Average time to Mobilise Fire Brigade (Non-Fire in Minutes)</w:t>
            </w:r>
          </w:p>
        </w:tc>
      </w:tr>
      <w:tr w:rsidR="00D94834" w:rsidRPr="00D94834" w:rsidTr="00E17A00">
        <w:trPr>
          <w:trHeight w:val="315"/>
        </w:trPr>
        <w:tc>
          <w:tcPr>
            <w:tcW w:w="2840" w:type="dxa"/>
            <w:gridSpan w:val="2"/>
            <w:tcBorders>
              <w:top w:val="single" w:sz="8" w:space="0" w:color="auto"/>
              <w:left w:val="single" w:sz="8" w:space="0" w:color="auto"/>
              <w:bottom w:val="single" w:sz="8" w:space="0" w:color="auto"/>
              <w:right w:val="single" w:sz="8" w:space="0" w:color="000000"/>
            </w:tcBorders>
            <w:shd w:val="clear" w:color="000000" w:fill="B6DDE8"/>
            <w:noWrap/>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Full-Time Station</w:t>
            </w:r>
          </w:p>
        </w:tc>
        <w:tc>
          <w:tcPr>
            <w:tcW w:w="1560" w:type="dxa"/>
            <w:tcBorders>
              <w:top w:val="nil"/>
              <w:left w:val="nil"/>
              <w:bottom w:val="single" w:sz="8" w:space="0" w:color="auto"/>
              <w:right w:val="single" w:sz="8" w:space="0" w:color="auto"/>
            </w:tcBorders>
            <w:shd w:val="clear" w:color="000000" w:fill="B6DDE8"/>
            <w:vAlign w:val="center"/>
            <w:hideMark/>
          </w:tcPr>
          <w:p w:rsidR="00D94834" w:rsidRPr="00D94834" w:rsidRDefault="00D94834" w:rsidP="00E17A00">
            <w:pPr>
              <w:spacing w:after="0" w:line="240" w:lineRule="auto"/>
              <w:rPr>
                <w:rFonts w:ascii="Calibri" w:eastAsia="Times New Roman" w:hAnsi="Calibri" w:cs="Calibri"/>
                <w:b/>
                <w:bCs/>
                <w:color w:val="000000"/>
                <w:lang w:eastAsia="en-IE"/>
              </w:rPr>
            </w:pPr>
            <w:r w:rsidRPr="00D94834">
              <w:rPr>
                <w:rFonts w:ascii="Calibri" w:eastAsia="Times New Roman" w:hAnsi="Calibri" w:cs="Calibri"/>
                <w:b/>
                <w:bCs/>
                <w:color w:val="000000"/>
                <w:lang w:eastAsia="en-IE"/>
              </w:rPr>
              <w:t>2014</w:t>
            </w:r>
          </w:p>
        </w:tc>
        <w:tc>
          <w:tcPr>
            <w:tcW w:w="2500" w:type="dxa"/>
            <w:gridSpan w:val="2"/>
            <w:tcBorders>
              <w:top w:val="single" w:sz="8" w:space="0" w:color="auto"/>
              <w:left w:val="nil"/>
              <w:bottom w:val="single" w:sz="8" w:space="0" w:color="auto"/>
              <w:right w:val="single" w:sz="8" w:space="0" w:color="000000"/>
            </w:tcBorders>
            <w:shd w:val="clear" w:color="000000" w:fill="B6DDE8"/>
            <w:noWrap/>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Part-time Station</w:t>
            </w:r>
          </w:p>
        </w:tc>
        <w:tc>
          <w:tcPr>
            <w:tcW w:w="960" w:type="dxa"/>
            <w:tcBorders>
              <w:top w:val="nil"/>
              <w:left w:val="nil"/>
              <w:bottom w:val="single" w:sz="8" w:space="0" w:color="auto"/>
              <w:right w:val="single" w:sz="8" w:space="0" w:color="auto"/>
            </w:tcBorders>
            <w:shd w:val="clear" w:color="000000" w:fill="B6DDE8"/>
            <w:vAlign w:val="center"/>
            <w:hideMark/>
          </w:tcPr>
          <w:p w:rsidR="00D94834" w:rsidRPr="00D94834" w:rsidRDefault="00D94834" w:rsidP="00E17A00">
            <w:pPr>
              <w:spacing w:after="0" w:line="240" w:lineRule="auto"/>
              <w:rPr>
                <w:rFonts w:ascii="Calibri" w:eastAsia="Times New Roman" w:hAnsi="Calibri" w:cs="Calibri"/>
                <w:b/>
                <w:bCs/>
                <w:color w:val="000000"/>
                <w:lang w:eastAsia="en-IE"/>
              </w:rPr>
            </w:pPr>
            <w:r w:rsidRPr="00D94834">
              <w:rPr>
                <w:rFonts w:ascii="Calibri" w:eastAsia="Times New Roman" w:hAnsi="Calibri" w:cs="Calibri"/>
                <w:b/>
                <w:bCs/>
                <w:color w:val="000000"/>
                <w:lang w:eastAsia="en-IE"/>
              </w:rPr>
              <w:t>2014</w:t>
            </w:r>
          </w:p>
        </w:tc>
      </w:tr>
      <w:tr w:rsidR="00D94834" w:rsidRPr="00D94834" w:rsidTr="00E17A00">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N</w:t>
            </w:r>
          </w:p>
        </w:tc>
        <w:tc>
          <w:tcPr>
            <w:tcW w:w="140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Valid</w:t>
            </w:r>
          </w:p>
        </w:tc>
        <w:tc>
          <w:tcPr>
            <w:tcW w:w="156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6</w:t>
            </w:r>
          </w:p>
        </w:tc>
        <w:tc>
          <w:tcPr>
            <w:tcW w:w="96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N</w:t>
            </w:r>
          </w:p>
        </w:tc>
        <w:tc>
          <w:tcPr>
            <w:tcW w:w="154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Valid</w:t>
            </w:r>
          </w:p>
        </w:tc>
        <w:tc>
          <w:tcPr>
            <w:tcW w:w="96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266776">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2</w:t>
            </w:r>
            <w:r w:rsidR="00CF3DE2">
              <w:rPr>
                <w:rFonts w:ascii="Calibri" w:eastAsia="Times New Roman" w:hAnsi="Calibri" w:cs="Calibri"/>
                <w:color w:val="000000"/>
                <w:lang w:eastAsia="en-IE"/>
              </w:rPr>
              <w:t>6</w:t>
            </w:r>
          </w:p>
        </w:tc>
      </w:tr>
      <w:tr w:rsidR="00D94834" w:rsidRPr="00D94834" w:rsidTr="00E17A00">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 </w:t>
            </w:r>
          </w:p>
        </w:tc>
        <w:tc>
          <w:tcPr>
            <w:tcW w:w="140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p>
        </w:tc>
        <w:tc>
          <w:tcPr>
            <w:tcW w:w="156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p>
        </w:tc>
        <w:tc>
          <w:tcPr>
            <w:tcW w:w="96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p>
        </w:tc>
        <w:tc>
          <w:tcPr>
            <w:tcW w:w="96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p>
        </w:tc>
      </w:tr>
      <w:tr w:rsidR="00D94834" w:rsidRPr="00D94834" w:rsidTr="00E17A00">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b/>
                <w:bCs/>
                <w:color w:val="000000"/>
                <w:lang w:eastAsia="en-IE"/>
              </w:rPr>
            </w:pPr>
            <w:r w:rsidRPr="00D94834">
              <w:rPr>
                <w:rFonts w:ascii="Calibri" w:eastAsia="Times New Roman" w:hAnsi="Calibri" w:cs="Calibri"/>
                <w:b/>
                <w:bCs/>
                <w:color w:val="000000"/>
                <w:lang w:eastAsia="en-IE"/>
              </w:rPr>
              <w:t>Average</w:t>
            </w:r>
          </w:p>
        </w:tc>
        <w:tc>
          <w:tcPr>
            <w:tcW w:w="140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b/>
                <w:bCs/>
                <w:color w:val="000000"/>
                <w:lang w:eastAsia="en-IE"/>
              </w:rPr>
            </w:pPr>
            <w:r w:rsidRPr="00D94834">
              <w:rPr>
                <w:rFonts w:ascii="Calibri" w:eastAsia="Times New Roman" w:hAnsi="Calibri" w:cs="Calibri"/>
                <w:b/>
                <w:bCs/>
                <w:color w:val="000000"/>
                <w:lang w:eastAsia="en-IE"/>
              </w:rPr>
              <w:t>Median</w:t>
            </w:r>
          </w:p>
        </w:tc>
        <w:tc>
          <w:tcPr>
            <w:tcW w:w="156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b/>
                <w:bCs/>
                <w:color w:val="000000"/>
                <w:lang w:eastAsia="en-IE"/>
              </w:rPr>
            </w:pPr>
            <w:r w:rsidRPr="00D94834">
              <w:rPr>
                <w:rFonts w:ascii="Calibri" w:eastAsia="Times New Roman" w:hAnsi="Calibri" w:cs="Calibri"/>
                <w:b/>
                <w:bCs/>
                <w:color w:val="000000"/>
                <w:lang w:eastAsia="en-IE"/>
              </w:rPr>
              <w:t>1.79</w:t>
            </w:r>
          </w:p>
        </w:tc>
        <w:tc>
          <w:tcPr>
            <w:tcW w:w="96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b/>
                <w:bCs/>
                <w:color w:val="000000"/>
                <w:lang w:eastAsia="en-IE"/>
              </w:rPr>
            </w:pPr>
            <w:r w:rsidRPr="00D94834">
              <w:rPr>
                <w:rFonts w:ascii="Calibri" w:eastAsia="Times New Roman" w:hAnsi="Calibri" w:cs="Calibri"/>
                <w:b/>
                <w:bCs/>
                <w:color w:val="000000"/>
                <w:lang w:eastAsia="en-IE"/>
              </w:rPr>
              <w:t>Average</w:t>
            </w:r>
          </w:p>
        </w:tc>
        <w:tc>
          <w:tcPr>
            <w:tcW w:w="154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b/>
                <w:bCs/>
                <w:color w:val="000000"/>
                <w:lang w:eastAsia="en-IE"/>
              </w:rPr>
            </w:pPr>
            <w:r w:rsidRPr="00D94834">
              <w:rPr>
                <w:rFonts w:ascii="Calibri" w:eastAsia="Times New Roman" w:hAnsi="Calibri" w:cs="Calibri"/>
                <w:b/>
                <w:bCs/>
                <w:color w:val="000000"/>
                <w:lang w:eastAsia="en-IE"/>
              </w:rPr>
              <w:t>Median</w:t>
            </w:r>
          </w:p>
        </w:tc>
        <w:tc>
          <w:tcPr>
            <w:tcW w:w="96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b/>
                <w:bCs/>
                <w:color w:val="000000"/>
                <w:lang w:eastAsia="en-IE"/>
              </w:rPr>
            </w:pPr>
            <w:r w:rsidRPr="00D94834">
              <w:rPr>
                <w:rFonts w:ascii="Calibri" w:eastAsia="Times New Roman" w:hAnsi="Calibri" w:cs="Calibri"/>
                <w:b/>
                <w:bCs/>
                <w:color w:val="000000"/>
                <w:lang w:eastAsia="en-IE"/>
              </w:rPr>
              <w:t>5.92</w:t>
            </w:r>
          </w:p>
        </w:tc>
      </w:tr>
      <w:tr w:rsidR="00D94834" w:rsidRPr="00D94834" w:rsidTr="00E17A00">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 </w:t>
            </w:r>
          </w:p>
        </w:tc>
        <w:tc>
          <w:tcPr>
            <w:tcW w:w="140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Mean</w:t>
            </w:r>
          </w:p>
        </w:tc>
        <w:tc>
          <w:tcPr>
            <w:tcW w:w="156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1.81</w:t>
            </w:r>
          </w:p>
        </w:tc>
        <w:tc>
          <w:tcPr>
            <w:tcW w:w="96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 </w:t>
            </w:r>
          </w:p>
        </w:tc>
        <w:tc>
          <w:tcPr>
            <w:tcW w:w="154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Mean</w:t>
            </w:r>
          </w:p>
        </w:tc>
        <w:tc>
          <w:tcPr>
            <w:tcW w:w="960" w:type="dxa"/>
            <w:tcBorders>
              <w:top w:val="nil"/>
              <w:left w:val="nil"/>
              <w:bottom w:val="single" w:sz="8" w:space="0" w:color="auto"/>
              <w:right w:val="single" w:sz="8" w:space="0" w:color="auto"/>
            </w:tcBorders>
            <w:shd w:val="clear" w:color="auto" w:fill="auto"/>
            <w:vAlign w:val="center"/>
            <w:hideMark/>
          </w:tcPr>
          <w:p w:rsidR="00D94834" w:rsidRPr="00D94834" w:rsidRDefault="00D94834" w:rsidP="00E17A00">
            <w:pPr>
              <w:spacing w:after="0" w:line="240" w:lineRule="auto"/>
              <w:rPr>
                <w:rFonts w:ascii="Calibri" w:eastAsia="Times New Roman" w:hAnsi="Calibri" w:cs="Calibri"/>
                <w:color w:val="000000"/>
                <w:lang w:eastAsia="en-IE"/>
              </w:rPr>
            </w:pPr>
            <w:r w:rsidRPr="00D94834">
              <w:rPr>
                <w:rFonts w:ascii="Calibri" w:eastAsia="Times New Roman" w:hAnsi="Calibri" w:cs="Calibri"/>
                <w:color w:val="000000"/>
                <w:lang w:eastAsia="en-IE"/>
              </w:rPr>
              <w:t>5.76</w:t>
            </w:r>
          </w:p>
        </w:tc>
      </w:tr>
    </w:tbl>
    <w:p w:rsidR="00885360" w:rsidRPr="00B97E75" w:rsidRDefault="00885360" w:rsidP="00B904ED">
      <w:pPr>
        <w:spacing w:after="0" w:line="240" w:lineRule="auto"/>
        <w:rPr>
          <w:rFonts w:eastAsia="Times New Roman" w:cstheme="minorHAnsi"/>
          <w:color w:val="000000"/>
          <w:lang w:eastAsia="en-IE"/>
        </w:rPr>
      </w:pPr>
    </w:p>
    <w:p w:rsidR="00885360" w:rsidRDefault="00885360" w:rsidP="00B904ED">
      <w:pPr>
        <w:spacing w:after="0" w:line="240" w:lineRule="auto"/>
        <w:rPr>
          <w:rFonts w:eastAsia="Times New Roman" w:cstheme="minorHAnsi"/>
          <w:color w:val="000000"/>
          <w:lang w:eastAsia="en-IE"/>
        </w:rPr>
      </w:pPr>
    </w:p>
    <w:p w:rsidR="00C221F6" w:rsidRDefault="00C221F6" w:rsidP="00B904ED">
      <w:pPr>
        <w:spacing w:after="0" w:line="240" w:lineRule="auto"/>
        <w:rPr>
          <w:rFonts w:eastAsia="Times New Roman" w:cstheme="minorHAnsi"/>
          <w:color w:val="000000"/>
          <w:lang w:eastAsia="en-IE"/>
        </w:rPr>
      </w:pPr>
    </w:p>
    <w:p w:rsidR="00C221F6" w:rsidRDefault="00C221F6" w:rsidP="00B904ED">
      <w:pPr>
        <w:spacing w:after="0" w:line="240" w:lineRule="auto"/>
        <w:rPr>
          <w:rFonts w:eastAsia="Times New Roman" w:cstheme="minorHAnsi"/>
          <w:color w:val="000000"/>
          <w:lang w:eastAsia="en-IE"/>
        </w:rPr>
      </w:pPr>
    </w:p>
    <w:p w:rsidR="00C221F6" w:rsidRDefault="00C221F6" w:rsidP="00B904ED">
      <w:pPr>
        <w:spacing w:after="0" w:line="240" w:lineRule="auto"/>
        <w:rPr>
          <w:rFonts w:eastAsia="Times New Roman" w:cstheme="minorHAnsi"/>
          <w:color w:val="000000"/>
          <w:lang w:eastAsia="en-IE"/>
        </w:rPr>
      </w:pPr>
    </w:p>
    <w:p w:rsidR="00C221F6" w:rsidRDefault="00C221F6" w:rsidP="00B904ED">
      <w:pPr>
        <w:spacing w:after="0" w:line="240" w:lineRule="auto"/>
        <w:rPr>
          <w:rFonts w:eastAsia="Times New Roman" w:cstheme="minorHAnsi"/>
          <w:color w:val="000000"/>
          <w:lang w:eastAsia="en-IE"/>
        </w:rPr>
      </w:pPr>
    </w:p>
    <w:p w:rsidR="00C221F6" w:rsidRDefault="00C221F6" w:rsidP="00B904ED">
      <w:pPr>
        <w:spacing w:after="0" w:line="240" w:lineRule="auto"/>
        <w:rPr>
          <w:rFonts w:eastAsia="Times New Roman" w:cstheme="minorHAnsi"/>
          <w:color w:val="000000"/>
          <w:lang w:eastAsia="en-IE"/>
        </w:rPr>
      </w:pPr>
    </w:p>
    <w:p w:rsidR="00C221F6" w:rsidRDefault="00C221F6" w:rsidP="00B904ED">
      <w:pPr>
        <w:spacing w:after="0" w:line="240" w:lineRule="auto"/>
        <w:rPr>
          <w:rFonts w:eastAsia="Times New Roman" w:cstheme="minorHAnsi"/>
          <w:color w:val="000000"/>
          <w:lang w:eastAsia="en-IE"/>
        </w:rPr>
      </w:pPr>
    </w:p>
    <w:p w:rsidR="00C221F6" w:rsidRDefault="00C221F6" w:rsidP="00B904ED">
      <w:pPr>
        <w:spacing w:after="0" w:line="240" w:lineRule="auto"/>
        <w:rPr>
          <w:rFonts w:eastAsia="Times New Roman" w:cstheme="minorHAnsi"/>
          <w:color w:val="000000"/>
          <w:lang w:eastAsia="en-IE"/>
        </w:rPr>
      </w:pPr>
    </w:p>
    <w:p w:rsidR="00C221F6" w:rsidRDefault="00C221F6" w:rsidP="00B904ED">
      <w:pPr>
        <w:spacing w:after="0" w:line="240" w:lineRule="auto"/>
        <w:rPr>
          <w:rFonts w:eastAsia="Times New Roman" w:cstheme="minorHAnsi"/>
          <w:color w:val="000000"/>
          <w:lang w:eastAsia="en-IE"/>
        </w:rPr>
      </w:pPr>
    </w:p>
    <w:p w:rsidR="00C221F6" w:rsidRPr="00B97E75" w:rsidRDefault="00C221F6" w:rsidP="00B904ED">
      <w:pPr>
        <w:spacing w:after="0" w:line="240" w:lineRule="auto"/>
        <w:rPr>
          <w:rFonts w:eastAsia="Times New Roman" w:cstheme="minorHAnsi"/>
          <w:color w:val="000000"/>
          <w:lang w:eastAsia="en-IE"/>
        </w:rPr>
      </w:pPr>
    </w:p>
    <w:p w:rsidR="00885360" w:rsidRPr="00B97E75" w:rsidRDefault="00885360" w:rsidP="00B904ED">
      <w:pPr>
        <w:spacing w:after="0" w:line="240" w:lineRule="auto"/>
        <w:rPr>
          <w:rFonts w:eastAsia="Times New Roman" w:cstheme="minorHAnsi"/>
          <w:b/>
          <w:bCs/>
          <w:color w:val="000000"/>
          <w:u w:val="single"/>
          <w:lang w:eastAsia="en-IE"/>
        </w:rPr>
      </w:pPr>
    </w:p>
    <w:p w:rsidR="006644B4" w:rsidRDefault="006644B4" w:rsidP="0005390B">
      <w:pPr>
        <w:rPr>
          <w:rFonts w:eastAsia="Times New Roman" w:cstheme="minorHAnsi"/>
          <w:b/>
          <w:bCs/>
          <w:color w:val="000000"/>
          <w:lang w:eastAsia="en-IE"/>
        </w:rPr>
      </w:pPr>
    </w:p>
    <w:p w:rsidR="00C221F6" w:rsidRDefault="00C221F6" w:rsidP="0005390B">
      <w:pPr>
        <w:rPr>
          <w:rFonts w:eastAsia="Times New Roman" w:cstheme="minorHAnsi"/>
          <w:b/>
          <w:bCs/>
          <w:color w:val="000000"/>
          <w:lang w:eastAsia="en-IE"/>
        </w:rPr>
      </w:pPr>
    </w:p>
    <w:p w:rsidR="00C221F6" w:rsidRDefault="00C221F6" w:rsidP="0005390B">
      <w:pPr>
        <w:rPr>
          <w:rFonts w:eastAsia="Times New Roman" w:cstheme="minorHAnsi"/>
          <w:b/>
          <w:bCs/>
          <w:color w:val="000000"/>
          <w:lang w:eastAsia="en-IE"/>
        </w:rPr>
      </w:pPr>
    </w:p>
    <w:p w:rsidR="00C221F6" w:rsidRPr="00B97E75" w:rsidRDefault="00C221F6" w:rsidP="0005390B">
      <w:pPr>
        <w:rPr>
          <w:rFonts w:eastAsia="Times New Roman" w:cstheme="minorHAnsi"/>
          <w:b/>
          <w:bCs/>
          <w:color w:val="000000"/>
          <w:lang w:eastAsia="en-IE"/>
        </w:rPr>
      </w:pPr>
    </w:p>
    <w:p w:rsidR="00885360" w:rsidRPr="00B97E75" w:rsidRDefault="00885360">
      <w:pPr>
        <w:rPr>
          <w:rFonts w:eastAsia="Times New Roman" w:cstheme="minorHAnsi"/>
          <w:b/>
          <w:bCs/>
          <w:color w:val="000000"/>
          <w:lang w:eastAsia="en-IE"/>
        </w:rPr>
      </w:pPr>
      <w:r w:rsidRPr="00B97E75">
        <w:rPr>
          <w:rFonts w:eastAsia="Times New Roman" w:cstheme="minorHAnsi"/>
          <w:b/>
          <w:bCs/>
          <w:color w:val="000000"/>
          <w:lang w:eastAsia="en-IE"/>
        </w:rPr>
        <w:br w:type="page"/>
      </w:r>
    </w:p>
    <w:p w:rsidR="0005390B" w:rsidRPr="003E001D" w:rsidRDefault="0005390B" w:rsidP="004270B6">
      <w:pPr>
        <w:pStyle w:val="PITableHeading"/>
        <w:rPr>
          <w:rFonts w:asciiTheme="minorHAnsi" w:hAnsiTheme="minorHAnsi" w:cstheme="minorHAnsi"/>
          <w:b w:val="0"/>
          <w:sz w:val="22"/>
          <w:szCs w:val="22"/>
        </w:rPr>
      </w:pPr>
      <w:r w:rsidRPr="00B97E75">
        <w:rPr>
          <w:rFonts w:asciiTheme="minorHAnsi" w:hAnsiTheme="minorHAnsi" w:cstheme="minorHAnsi"/>
          <w:sz w:val="22"/>
          <w:szCs w:val="22"/>
        </w:rPr>
        <w:lastRenderedPageBreak/>
        <w:t>Table 1</w:t>
      </w:r>
      <w:r w:rsidR="00B70292">
        <w:rPr>
          <w:rFonts w:asciiTheme="minorHAnsi" w:hAnsiTheme="minorHAnsi" w:cstheme="minorHAnsi"/>
          <w:sz w:val="22"/>
          <w:szCs w:val="22"/>
        </w:rPr>
        <w:t>8</w:t>
      </w:r>
      <w:r w:rsidRPr="00B97E75">
        <w:rPr>
          <w:rFonts w:asciiTheme="minorHAnsi" w:hAnsiTheme="minorHAnsi" w:cstheme="minorHAnsi"/>
          <w:sz w:val="22"/>
          <w:szCs w:val="22"/>
        </w:rPr>
        <w:t xml:space="preserve">: </w:t>
      </w:r>
      <w:r w:rsidR="00B0335E" w:rsidRPr="003E001D">
        <w:rPr>
          <w:rFonts w:asciiTheme="minorHAnsi" w:hAnsiTheme="minorHAnsi" w:cstheme="minorHAnsi"/>
          <w:b w:val="0"/>
          <w:sz w:val="22"/>
          <w:szCs w:val="22"/>
        </w:rPr>
        <w:t>Mobilisation Times</w:t>
      </w:r>
      <w:r w:rsidR="00CF4574" w:rsidRPr="003E001D">
        <w:rPr>
          <w:rFonts w:asciiTheme="minorHAnsi" w:hAnsiTheme="minorHAnsi" w:cstheme="minorHAnsi"/>
          <w:b w:val="0"/>
          <w:sz w:val="22"/>
          <w:szCs w:val="22"/>
        </w:rPr>
        <w:t xml:space="preserve"> </w:t>
      </w:r>
      <w:r w:rsidR="00B0335E" w:rsidRPr="003E001D">
        <w:rPr>
          <w:rFonts w:asciiTheme="minorHAnsi" w:hAnsiTheme="minorHAnsi" w:cstheme="minorHAnsi"/>
          <w:b w:val="0"/>
          <w:sz w:val="22"/>
          <w:szCs w:val="22"/>
        </w:rPr>
        <w:t xml:space="preserve">(%) Attendances at Scenes </w:t>
      </w:r>
      <w:r w:rsidR="00CF4574" w:rsidRPr="003E001D">
        <w:rPr>
          <w:rFonts w:asciiTheme="minorHAnsi" w:hAnsiTheme="minorHAnsi" w:cstheme="minorHAnsi"/>
          <w:b w:val="0"/>
          <w:sz w:val="22"/>
          <w:szCs w:val="22"/>
        </w:rPr>
        <w:t>of Fire &amp; n</w:t>
      </w:r>
      <w:r w:rsidR="005A24A7" w:rsidRPr="003E001D">
        <w:rPr>
          <w:rFonts w:asciiTheme="minorHAnsi" w:hAnsiTheme="minorHAnsi" w:cstheme="minorHAnsi"/>
          <w:b w:val="0"/>
          <w:sz w:val="22"/>
          <w:szCs w:val="22"/>
        </w:rPr>
        <w:t>on-</w:t>
      </w:r>
      <w:r w:rsidR="00CF4574" w:rsidRPr="003E001D">
        <w:rPr>
          <w:rFonts w:asciiTheme="minorHAnsi" w:hAnsiTheme="minorHAnsi" w:cstheme="minorHAnsi"/>
          <w:b w:val="0"/>
          <w:sz w:val="22"/>
          <w:szCs w:val="22"/>
        </w:rPr>
        <w:t>F</w:t>
      </w:r>
      <w:r w:rsidR="005A24A7" w:rsidRPr="003E001D">
        <w:rPr>
          <w:rFonts w:asciiTheme="minorHAnsi" w:hAnsiTheme="minorHAnsi" w:cstheme="minorHAnsi"/>
          <w:b w:val="0"/>
          <w:sz w:val="22"/>
          <w:szCs w:val="22"/>
        </w:rPr>
        <w:t>ire Cases</w:t>
      </w:r>
    </w:p>
    <w:tbl>
      <w:tblPr>
        <w:tblStyle w:val="LightGrid-Accent5"/>
        <w:tblW w:w="10040" w:type="dxa"/>
        <w:tblLayout w:type="fixed"/>
        <w:tblLook w:val="04A0" w:firstRow="1" w:lastRow="0" w:firstColumn="1" w:lastColumn="0" w:noHBand="0" w:noVBand="1"/>
      </w:tblPr>
      <w:tblGrid>
        <w:gridCol w:w="2336"/>
        <w:gridCol w:w="1284"/>
        <w:gridCol w:w="1284"/>
        <w:gridCol w:w="1284"/>
        <w:gridCol w:w="1284"/>
        <w:gridCol w:w="1284"/>
        <w:gridCol w:w="1284"/>
      </w:tblGrid>
      <w:tr w:rsidR="00B0335E" w:rsidRPr="003803E8" w:rsidTr="00771880">
        <w:trPr>
          <w:cnfStyle w:val="100000000000" w:firstRow="1" w:lastRow="0" w:firstColumn="0" w:lastColumn="0" w:oddVBand="0" w:evenVBand="0" w:oddHBand="0"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336" w:type="dxa"/>
            <w:noWrap/>
            <w:vAlign w:val="center"/>
            <w:hideMark/>
          </w:tcPr>
          <w:p w:rsidR="00B0335E" w:rsidRPr="003803E8" w:rsidRDefault="00D36D20" w:rsidP="00771880">
            <w:pPr>
              <w:rPr>
                <w:rFonts w:eastAsia="Times New Roman" w:cstheme="minorHAnsi"/>
                <w:b w:val="0"/>
                <w:bCs w:val="0"/>
                <w:color w:val="000000"/>
                <w:sz w:val="20"/>
                <w:szCs w:val="20"/>
                <w:lang w:eastAsia="en-IE"/>
              </w:rPr>
            </w:pPr>
            <w:r w:rsidRPr="003803E8">
              <w:rPr>
                <w:rFonts w:asciiTheme="minorHAnsi" w:eastAsia="Times New Roman" w:hAnsiTheme="minorHAnsi" w:cstheme="minorHAnsi"/>
                <w:color w:val="000000"/>
                <w:sz w:val="20"/>
                <w:szCs w:val="20"/>
                <w:lang w:eastAsia="en-IE"/>
              </w:rPr>
              <w:t>Authority</w:t>
            </w:r>
          </w:p>
          <w:p w:rsidR="00B0335E" w:rsidRPr="003803E8" w:rsidRDefault="00B0335E" w:rsidP="00771880">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 </w:t>
            </w:r>
          </w:p>
        </w:tc>
        <w:tc>
          <w:tcPr>
            <w:tcW w:w="1284" w:type="dxa"/>
            <w:vAlign w:val="center"/>
            <w:hideMark/>
          </w:tcPr>
          <w:p w:rsidR="00B0335E" w:rsidRPr="003803E8" w:rsidRDefault="00B0335E"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en-IE"/>
              </w:rPr>
            </w:pPr>
            <w:r w:rsidRPr="003803E8">
              <w:rPr>
                <w:rFonts w:asciiTheme="minorHAnsi" w:eastAsia="Times New Roman" w:hAnsiTheme="minorHAnsi" w:cstheme="minorHAnsi"/>
                <w:color w:val="000000"/>
                <w:sz w:val="20"/>
                <w:szCs w:val="20"/>
                <w:lang w:eastAsia="en-IE"/>
              </w:rPr>
              <w:t>Percentage of Fire Cases within 10 Minutes</w:t>
            </w:r>
          </w:p>
        </w:tc>
        <w:tc>
          <w:tcPr>
            <w:tcW w:w="1284" w:type="dxa"/>
            <w:vAlign w:val="center"/>
            <w:hideMark/>
          </w:tcPr>
          <w:p w:rsidR="00B0335E" w:rsidRPr="003803E8" w:rsidRDefault="00B0335E"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en-IE"/>
              </w:rPr>
            </w:pPr>
            <w:r w:rsidRPr="003803E8">
              <w:rPr>
                <w:rFonts w:asciiTheme="minorHAnsi" w:eastAsia="Times New Roman" w:hAnsiTheme="minorHAnsi" w:cstheme="minorHAnsi"/>
                <w:color w:val="000000"/>
                <w:sz w:val="20"/>
                <w:szCs w:val="20"/>
                <w:lang w:eastAsia="en-IE"/>
              </w:rPr>
              <w:t xml:space="preserve">Percentage of Fire Cases </w:t>
            </w:r>
            <w:r w:rsidR="00521A16" w:rsidRPr="003803E8">
              <w:rPr>
                <w:rFonts w:asciiTheme="minorHAnsi" w:eastAsia="Times New Roman" w:hAnsiTheme="minorHAnsi" w:cstheme="minorHAnsi"/>
                <w:color w:val="000000"/>
                <w:sz w:val="20"/>
                <w:szCs w:val="20"/>
                <w:lang w:eastAsia="en-IE"/>
              </w:rPr>
              <w:t>between 10 and 20 Minutes</w:t>
            </w:r>
          </w:p>
        </w:tc>
        <w:tc>
          <w:tcPr>
            <w:tcW w:w="1284" w:type="dxa"/>
            <w:vAlign w:val="center"/>
            <w:hideMark/>
          </w:tcPr>
          <w:p w:rsidR="00B0335E" w:rsidRPr="003803E8" w:rsidRDefault="00B0335E"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en-IE"/>
              </w:rPr>
            </w:pPr>
            <w:r w:rsidRPr="003803E8">
              <w:rPr>
                <w:rFonts w:asciiTheme="minorHAnsi" w:eastAsia="Times New Roman" w:hAnsiTheme="minorHAnsi" w:cstheme="minorHAnsi"/>
                <w:color w:val="000000"/>
                <w:sz w:val="20"/>
                <w:szCs w:val="20"/>
                <w:lang w:eastAsia="en-IE"/>
              </w:rPr>
              <w:t>Percentage of Fire Cases after 20 Minutes</w:t>
            </w:r>
          </w:p>
        </w:tc>
        <w:tc>
          <w:tcPr>
            <w:tcW w:w="1284" w:type="dxa"/>
            <w:vAlign w:val="center"/>
            <w:hideMark/>
          </w:tcPr>
          <w:p w:rsidR="00B0335E" w:rsidRPr="003803E8" w:rsidRDefault="00B0335E"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en-IE"/>
              </w:rPr>
            </w:pPr>
            <w:r w:rsidRPr="003803E8">
              <w:rPr>
                <w:rFonts w:asciiTheme="minorHAnsi" w:eastAsia="Times New Roman" w:hAnsiTheme="minorHAnsi" w:cstheme="minorHAnsi"/>
                <w:color w:val="000000"/>
                <w:sz w:val="20"/>
                <w:szCs w:val="20"/>
                <w:lang w:eastAsia="en-IE"/>
              </w:rPr>
              <w:t>Percentage of Non-Fire Cases within 10 Minutes</w:t>
            </w:r>
          </w:p>
        </w:tc>
        <w:tc>
          <w:tcPr>
            <w:tcW w:w="1284" w:type="dxa"/>
            <w:vAlign w:val="center"/>
            <w:hideMark/>
          </w:tcPr>
          <w:p w:rsidR="00B0335E" w:rsidRPr="003803E8" w:rsidRDefault="00B0335E"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en-IE"/>
              </w:rPr>
            </w:pPr>
            <w:r w:rsidRPr="003803E8">
              <w:rPr>
                <w:rFonts w:asciiTheme="minorHAnsi" w:eastAsia="Times New Roman" w:hAnsiTheme="minorHAnsi" w:cstheme="minorHAnsi"/>
                <w:color w:val="000000"/>
                <w:sz w:val="20"/>
                <w:szCs w:val="20"/>
                <w:lang w:eastAsia="en-IE"/>
              </w:rPr>
              <w:t xml:space="preserve">Percentage of Non-Fire Cases </w:t>
            </w:r>
            <w:r w:rsidR="00521A16" w:rsidRPr="003803E8">
              <w:rPr>
                <w:rFonts w:asciiTheme="minorHAnsi" w:eastAsia="Times New Roman" w:hAnsiTheme="minorHAnsi" w:cstheme="minorHAnsi"/>
                <w:color w:val="000000"/>
                <w:sz w:val="20"/>
                <w:szCs w:val="20"/>
                <w:lang w:eastAsia="en-IE"/>
              </w:rPr>
              <w:t>between 10 and 20 Minutes</w:t>
            </w:r>
          </w:p>
        </w:tc>
        <w:tc>
          <w:tcPr>
            <w:tcW w:w="1284" w:type="dxa"/>
            <w:vAlign w:val="center"/>
            <w:hideMark/>
          </w:tcPr>
          <w:p w:rsidR="00B0335E" w:rsidRPr="003803E8" w:rsidRDefault="00B0335E"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en-IE"/>
              </w:rPr>
            </w:pPr>
            <w:r w:rsidRPr="003803E8">
              <w:rPr>
                <w:rFonts w:asciiTheme="minorHAnsi" w:eastAsia="Times New Roman" w:hAnsiTheme="minorHAnsi" w:cstheme="minorHAnsi"/>
                <w:color w:val="000000"/>
                <w:sz w:val="20"/>
                <w:szCs w:val="20"/>
                <w:lang w:eastAsia="en-IE"/>
              </w:rPr>
              <w:t>Percentage of Non-Fire Cases after 20 Minutes</w:t>
            </w:r>
          </w:p>
        </w:tc>
      </w:tr>
      <w:tr w:rsidR="002D315B" w:rsidRPr="003803E8" w:rsidTr="0010610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 </w:t>
            </w:r>
          </w:p>
        </w:tc>
        <w:tc>
          <w:tcPr>
            <w:tcW w:w="1284" w:type="dxa"/>
            <w:hideMark/>
          </w:tcPr>
          <w:p w:rsidR="002D315B" w:rsidRPr="003803E8" w:rsidRDefault="002D315B" w:rsidP="002D315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 </w:t>
            </w:r>
          </w:p>
        </w:tc>
        <w:tc>
          <w:tcPr>
            <w:tcW w:w="1284" w:type="dxa"/>
            <w:hideMark/>
          </w:tcPr>
          <w:p w:rsidR="002D315B" w:rsidRPr="003803E8" w:rsidRDefault="002D315B" w:rsidP="002D315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 </w:t>
            </w:r>
          </w:p>
        </w:tc>
        <w:tc>
          <w:tcPr>
            <w:tcW w:w="1284" w:type="dxa"/>
            <w:noWrap/>
            <w:hideMark/>
          </w:tcPr>
          <w:p w:rsidR="002D315B" w:rsidRPr="003803E8" w:rsidRDefault="002D315B" w:rsidP="002D315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 </w:t>
            </w:r>
          </w:p>
        </w:tc>
        <w:tc>
          <w:tcPr>
            <w:tcW w:w="1284" w:type="dxa"/>
            <w:hideMark/>
          </w:tcPr>
          <w:p w:rsidR="002D315B" w:rsidRPr="003803E8" w:rsidRDefault="002D315B" w:rsidP="002D315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 </w:t>
            </w:r>
          </w:p>
        </w:tc>
        <w:tc>
          <w:tcPr>
            <w:tcW w:w="1284" w:type="dxa"/>
            <w:noWrap/>
            <w:hideMark/>
          </w:tcPr>
          <w:p w:rsidR="002D315B" w:rsidRPr="003803E8" w:rsidRDefault="002D315B" w:rsidP="002D315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 </w:t>
            </w:r>
          </w:p>
        </w:tc>
        <w:tc>
          <w:tcPr>
            <w:tcW w:w="1284" w:type="dxa"/>
            <w:noWrap/>
            <w:hideMark/>
          </w:tcPr>
          <w:p w:rsidR="002D315B" w:rsidRPr="003803E8" w:rsidRDefault="002D315B" w:rsidP="002D315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p>
        </w:tc>
      </w:tr>
      <w:tr w:rsidR="002D315B" w:rsidRPr="003803E8" w:rsidTr="0010610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Carlow County</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44.91</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44.53</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10.57</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34.21</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52.63</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13.16</w:t>
            </w:r>
          </w:p>
        </w:tc>
      </w:tr>
      <w:tr w:rsidR="002D315B" w:rsidRPr="003803E8" w:rsidTr="0010610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Cavan County</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32.54</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50.3</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17.16</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36.02</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40.76</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23.22</w:t>
            </w:r>
          </w:p>
        </w:tc>
      </w:tr>
      <w:tr w:rsidR="002D315B" w:rsidRPr="003803E8" w:rsidTr="0010610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Clare County</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44.7</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33.11</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22.19</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28.47</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51.04</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20.49</w:t>
            </w:r>
          </w:p>
        </w:tc>
      </w:tr>
      <w:tr w:rsidR="002D315B" w:rsidRPr="003803E8" w:rsidTr="0010610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Cork City</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89.42</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9.36</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1.22</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86.6</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11.86</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1.55</w:t>
            </w:r>
          </w:p>
        </w:tc>
      </w:tr>
      <w:tr w:rsidR="002D315B" w:rsidRPr="003803E8" w:rsidTr="0010610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Cork County</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32.77</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44.92</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22.32</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32.93</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51.92</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15.16</w:t>
            </w:r>
          </w:p>
        </w:tc>
      </w:tr>
      <w:tr w:rsidR="002D315B" w:rsidRPr="003803E8" w:rsidTr="0010610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Donegal County</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30.7</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53.24</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16.07</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36.23</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54.34</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9.43</w:t>
            </w:r>
          </w:p>
        </w:tc>
      </w:tr>
      <w:tr w:rsidR="002D315B" w:rsidRPr="003803E8" w:rsidTr="0010610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Dublin City</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77.92</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19.85</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2.23</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75.84</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20.01</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4.15</w:t>
            </w:r>
          </w:p>
        </w:tc>
      </w:tr>
      <w:tr w:rsidR="002D315B" w:rsidRPr="003803E8" w:rsidTr="0010610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 xml:space="preserve">Dun Laoghaire </w:t>
            </w:r>
            <w:proofErr w:type="spellStart"/>
            <w:r w:rsidRPr="003803E8">
              <w:rPr>
                <w:rFonts w:asciiTheme="minorHAnsi" w:eastAsia="Times New Roman" w:hAnsiTheme="minorHAnsi" w:cstheme="minorHAnsi"/>
                <w:color w:val="000000"/>
                <w:sz w:val="20"/>
                <w:szCs w:val="20"/>
                <w:lang w:eastAsia="en-IE"/>
              </w:rPr>
              <w:t>Rathdown</w:t>
            </w:r>
            <w:proofErr w:type="spellEnd"/>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N/A</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N/A</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N/A</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N/A</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N/A</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N/A</w:t>
            </w:r>
          </w:p>
        </w:tc>
      </w:tr>
      <w:tr w:rsidR="002D315B" w:rsidRPr="003803E8" w:rsidTr="0010610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proofErr w:type="spellStart"/>
            <w:r w:rsidRPr="003803E8">
              <w:rPr>
                <w:rFonts w:asciiTheme="minorHAnsi" w:eastAsia="Times New Roman" w:hAnsiTheme="minorHAnsi" w:cstheme="minorHAnsi"/>
                <w:color w:val="000000"/>
                <w:sz w:val="20"/>
                <w:szCs w:val="20"/>
                <w:lang w:eastAsia="en-IE"/>
              </w:rPr>
              <w:t>Fingal</w:t>
            </w:r>
            <w:proofErr w:type="spellEnd"/>
            <w:r w:rsidRPr="003803E8">
              <w:rPr>
                <w:rFonts w:asciiTheme="minorHAnsi" w:eastAsia="Times New Roman" w:hAnsiTheme="minorHAnsi" w:cstheme="minorHAnsi"/>
                <w:color w:val="000000"/>
                <w:sz w:val="20"/>
                <w:szCs w:val="20"/>
                <w:lang w:eastAsia="en-IE"/>
              </w:rPr>
              <w:t xml:space="preserve"> County</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N/A</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N/A</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N/A</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N/A</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N/A</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N/A</w:t>
            </w:r>
          </w:p>
        </w:tc>
      </w:tr>
      <w:tr w:rsidR="002D315B" w:rsidRPr="003803E8" w:rsidTr="0010610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Galway City</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N/A</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N/A</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N/A</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N/A</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N/A</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N/A</w:t>
            </w:r>
          </w:p>
        </w:tc>
      </w:tr>
      <w:tr w:rsidR="002D315B" w:rsidRPr="003803E8" w:rsidTr="0010610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Galway County</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44.35</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28.56</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27.09</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56.26</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29.22</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14.52</w:t>
            </w:r>
          </w:p>
        </w:tc>
      </w:tr>
      <w:tr w:rsidR="002D315B" w:rsidRPr="003803E8" w:rsidTr="0010610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Kerry County</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31.6</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50.56</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17.84</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31.94</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51.33</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16.73</w:t>
            </w:r>
          </w:p>
        </w:tc>
      </w:tr>
      <w:tr w:rsidR="002D315B" w:rsidRPr="003803E8" w:rsidTr="0010610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Kildare County</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23.55</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65.16</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11.29</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26.03</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63.17</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10.79</w:t>
            </w:r>
          </w:p>
        </w:tc>
      </w:tr>
      <w:tr w:rsidR="002D315B" w:rsidRPr="003803E8" w:rsidTr="0010610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Kilkenny County</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23.6</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56.4</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20</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21.5</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51.4</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27.1</w:t>
            </w:r>
          </w:p>
        </w:tc>
      </w:tr>
      <w:tr w:rsidR="002D315B" w:rsidRPr="003803E8" w:rsidTr="0010610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Laois County</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38.14</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51.69</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10.17</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30.41</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56.68</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12.9</w:t>
            </w:r>
          </w:p>
        </w:tc>
      </w:tr>
      <w:tr w:rsidR="002D315B" w:rsidRPr="003803E8" w:rsidTr="0010610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Leitrim County</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46.94</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46.94</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vertAlign w:val="superscript"/>
                <w:lang w:eastAsia="en-IE"/>
              </w:rPr>
            </w:pPr>
            <w:r w:rsidRPr="003803E8">
              <w:rPr>
                <w:rFonts w:eastAsia="Times New Roman" w:cstheme="minorHAnsi"/>
                <w:color w:val="000000"/>
                <w:sz w:val="20"/>
                <w:szCs w:val="20"/>
                <w:lang w:eastAsia="en-IE"/>
              </w:rPr>
              <w:t>6.12</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50</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36.51</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vertAlign w:val="superscript"/>
                <w:lang w:eastAsia="en-IE"/>
              </w:rPr>
            </w:pPr>
            <w:r w:rsidRPr="003803E8">
              <w:rPr>
                <w:rFonts w:eastAsia="Times New Roman" w:cstheme="minorHAnsi"/>
                <w:color w:val="000000"/>
                <w:sz w:val="20"/>
                <w:szCs w:val="20"/>
                <w:lang w:eastAsia="en-IE"/>
              </w:rPr>
              <w:t>13.49</w:t>
            </w:r>
            <w:r w:rsidR="0059278E">
              <w:rPr>
                <w:rFonts w:eastAsia="Times New Roman" w:cstheme="minorHAnsi"/>
                <w:color w:val="000000"/>
                <w:sz w:val="20"/>
                <w:szCs w:val="20"/>
                <w:vertAlign w:val="superscript"/>
                <w:lang w:eastAsia="en-IE"/>
              </w:rPr>
              <w:t>a</w:t>
            </w:r>
          </w:p>
        </w:tc>
      </w:tr>
      <w:tr w:rsidR="002D315B" w:rsidRPr="003803E8" w:rsidTr="0010610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Limerick City &amp; County</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73.12</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19.64</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7.24</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58.75</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30.67</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10.58</w:t>
            </w:r>
          </w:p>
        </w:tc>
      </w:tr>
      <w:tr w:rsidR="002D315B" w:rsidRPr="003803E8" w:rsidTr="0010610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Longford County</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46.94</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46.94</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6.12</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38.27</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51.85</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9.88</w:t>
            </w:r>
          </w:p>
        </w:tc>
      </w:tr>
      <w:tr w:rsidR="002D315B" w:rsidRPr="003803E8" w:rsidTr="0010610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Louth County</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70.99</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25.38</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3.63</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58.53</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35.48</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5.99</w:t>
            </w:r>
          </w:p>
        </w:tc>
      </w:tr>
      <w:tr w:rsidR="002D315B" w:rsidRPr="003803E8" w:rsidTr="0010610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Mayo County</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30.76</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44.43</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24.81</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38.49</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53.56</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7.95</w:t>
            </w:r>
          </w:p>
        </w:tc>
      </w:tr>
      <w:tr w:rsidR="002D315B" w:rsidRPr="003803E8" w:rsidTr="0010610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Meath County</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38.92</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48.89</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12.18</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22.54</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59.68</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17.78</w:t>
            </w:r>
          </w:p>
        </w:tc>
      </w:tr>
      <w:tr w:rsidR="002D315B" w:rsidRPr="003803E8" w:rsidTr="0010610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Monaghan County</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33.69</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57.22</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9.09</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15.2</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72</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12.8</w:t>
            </w:r>
          </w:p>
        </w:tc>
      </w:tr>
      <w:tr w:rsidR="002D315B" w:rsidRPr="003803E8" w:rsidTr="0010610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Offaly County</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56.61</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36.56</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6.83</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42.71</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50</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7.29</w:t>
            </w:r>
          </w:p>
        </w:tc>
      </w:tr>
      <w:tr w:rsidR="002D315B" w:rsidRPr="003803E8" w:rsidTr="0010610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Roscommon County</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33.33</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54.94</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11.73</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36.54</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51.92</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11.54</w:t>
            </w:r>
          </w:p>
        </w:tc>
      </w:tr>
      <w:tr w:rsidR="002D315B" w:rsidRPr="003803E8" w:rsidTr="0010610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Sligo County</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48.65</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38.57</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12.78</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35.37</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54.88</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9.76</w:t>
            </w:r>
          </w:p>
        </w:tc>
      </w:tr>
      <w:tr w:rsidR="002D315B" w:rsidRPr="003803E8" w:rsidTr="0010610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South Dublin County</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N/A</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N/A</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N/A</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N/A</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N/A</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N/A</w:t>
            </w:r>
          </w:p>
        </w:tc>
      </w:tr>
      <w:tr w:rsidR="002D315B" w:rsidRPr="003803E8" w:rsidTr="0010610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Tipperary County</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45.64</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43.29</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11.07</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27.22</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53.87</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18.91</w:t>
            </w:r>
          </w:p>
        </w:tc>
      </w:tr>
      <w:tr w:rsidR="002D315B" w:rsidRPr="003803E8" w:rsidTr="0010610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Waterford City &amp; County</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68.67</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25.17</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6.17</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58.42</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30.36</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11.22</w:t>
            </w:r>
          </w:p>
        </w:tc>
      </w:tr>
      <w:tr w:rsidR="002D315B" w:rsidRPr="003803E8" w:rsidTr="0010610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Westmeath County</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31.73</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57.99</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10.28</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18.75</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50</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31.25</w:t>
            </w:r>
          </w:p>
        </w:tc>
      </w:tr>
      <w:tr w:rsidR="002D315B" w:rsidRPr="003803E8" w:rsidTr="0010610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Wexford County</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36.16</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40.75</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23.09</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16</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50</w:t>
            </w:r>
          </w:p>
        </w:tc>
        <w:tc>
          <w:tcPr>
            <w:tcW w:w="1284" w:type="dxa"/>
            <w:hideMark/>
          </w:tcPr>
          <w:p w:rsidR="002D315B" w:rsidRPr="003803E8" w:rsidRDefault="002D315B" w:rsidP="002D315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34</w:t>
            </w:r>
          </w:p>
        </w:tc>
      </w:tr>
      <w:tr w:rsidR="002D315B" w:rsidRPr="003803E8" w:rsidTr="0010610F">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36" w:type="dxa"/>
            <w:noWrap/>
            <w:hideMark/>
          </w:tcPr>
          <w:p w:rsidR="002D315B" w:rsidRPr="003803E8" w:rsidRDefault="002D315B" w:rsidP="002D315B">
            <w:pPr>
              <w:rPr>
                <w:rFonts w:asciiTheme="minorHAnsi" w:eastAsia="Times New Roman" w:hAnsiTheme="minorHAnsi" w:cstheme="minorHAnsi"/>
                <w:color w:val="000000"/>
                <w:sz w:val="20"/>
                <w:szCs w:val="20"/>
                <w:lang w:eastAsia="en-IE"/>
              </w:rPr>
            </w:pPr>
            <w:r w:rsidRPr="003803E8">
              <w:rPr>
                <w:rFonts w:asciiTheme="minorHAnsi" w:eastAsia="Times New Roman" w:hAnsiTheme="minorHAnsi" w:cstheme="minorHAnsi"/>
                <w:color w:val="000000"/>
                <w:sz w:val="20"/>
                <w:szCs w:val="20"/>
                <w:lang w:eastAsia="en-IE"/>
              </w:rPr>
              <w:t>Wicklow County</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39.08</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50.85</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10.07</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25.71</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61.14</w:t>
            </w:r>
          </w:p>
        </w:tc>
        <w:tc>
          <w:tcPr>
            <w:tcW w:w="1284" w:type="dxa"/>
            <w:hideMark/>
          </w:tcPr>
          <w:p w:rsidR="002D315B" w:rsidRPr="003803E8" w:rsidRDefault="002D315B" w:rsidP="002D315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3803E8">
              <w:rPr>
                <w:rFonts w:eastAsia="Times New Roman" w:cstheme="minorHAnsi"/>
                <w:color w:val="000000"/>
                <w:sz w:val="20"/>
                <w:szCs w:val="20"/>
                <w:lang w:eastAsia="en-IE"/>
              </w:rPr>
              <w:t>13.14</w:t>
            </w:r>
          </w:p>
        </w:tc>
      </w:tr>
    </w:tbl>
    <w:p w:rsidR="003803E8" w:rsidRDefault="003803E8" w:rsidP="009660A3">
      <w:pPr>
        <w:spacing w:after="0" w:line="240" w:lineRule="auto"/>
        <w:jc w:val="both"/>
        <w:rPr>
          <w:rFonts w:eastAsia="Times New Roman" w:cstheme="minorHAnsi"/>
          <w:bCs/>
          <w:color w:val="000000"/>
          <w:sz w:val="18"/>
          <w:szCs w:val="18"/>
          <w:vertAlign w:val="superscript"/>
          <w:lang w:eastAsia="en-IE"/>
        </w:rPr>
      </w:pPr>
    </w:p>
    <w:p w:rsidR="009660A3" w:rsidRPr="009660A3" w:rsidRDefault="009660A3" w:rsidP="009660A3">
      <w:pPr>
        <w:spacing w:after="0" w:line="240" w:lineRule="auto"/>
        <w:jc w:val="both"/>
        <w:rPr>
          <w:rFonts w:eastAsia="Times New Roman" w:cstheme="minorHAnsi"/>
          <w:bCs/>
          <w:color w:val="000000"/>
          <w:sz w:val="18"/>
          <w:szCs w:val="18"/>
          <w:lang w:eastAsia="en-IE"/>
        </w:rPr>
      </w:pPr>
    </w:p>
    <w:tbl>
      <w:tblPr>
        <w:tblW w:w="5964" w:type="dxa"/>
        <w:tblLook w:val="04A0" w:firstRow="1" w:lastRow="0" w:firstColumn="1" w:lastColumn="0" w:noHBand="0" w:noVBand="1"/>
      </w:tblPr>
      <w:tblGrid>
        <w:gridCol w:w="967"/>
        <w:gridCol w:w="3721"/>
        <w:gridCol w:w="1276"/>
      </w:tblGrid>
      <w:tr w:rsidR="00442353" w:rsidRPr="00B97E75" w:rsidTr="00E17A00">
        <w:trPr>
          <w:trHeight w:val="315"/>
        </w:trPr>
        <w:tc>
          <w:tcPr>
            <w:tcW w:w="596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42353" w:rsidRPr="00B97E75" w:rsidRDefault="00442353"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Fire &amp; Non-fire Cases Mobil</w:t>
            </w:r>
            <w:r w:rsidR="00B0335E">
              <w:rPr>
                <w:rFonts w:eastAsia="Times New Roman" w:cstheme="minorHAnsi"/>
                <w:b/>
                <w:bCs/>
                <w:color w:val="000000"/>
                <w:lang w:eastAsia="en-IE"/>
              </w:rPr>
              <w:t>is</w:t>
            </w:r>
            <w:r w:rsidRPr="00B97E75">
              <w:rPr>
                <w:rFonts w:eastAsia="Times New Roman" w:cstheme="minorHAnsi"/>
                <w:b/>
                <w:bCs/>
                <w:color w:val="000000"/>
                <w:lang w:eastAsia="en-IE"/>
              </w:rPr>
              <w:t>ation Times (%)</w:t>
            </w:r>
          </w:p>
        </w:tc>
      </w:tr>
      <w:tr w:rsidR="00442353" w:rsidRPr="00B97E75" w:rsidTr="00E17A00">
        <w:trPr>
          <w:trHeight w:val="315"/>
        </w:trPr>
        <w:tc>
          <w:tcPr>
            <w:tcW w:w="4688"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442353" w:rsidRPr="00B97E75" w:rsidRDefault="00B0335E" w:rsidP="00E17A00">
            <w:pPr>
              <w:spacing w:after="0" w:line="240" w:lineRule="auto"/>
              <w:rPr>
                <w:rFonts w:eastAsia="Times New Roman" w:cstheme="minorHAnsi"/>
                <w:color w:val="000000"/>
                <w:lang w:eastAsia="en-IE"/>
              </w:rPr>
            </w:pPr>
            <w:r>
              <w:rPr>
                <w:rFonts w:eastAsia="Times New Roman" w:cstheme="minorHAnsi"/>
                <w:color w:val="000000"/>
                <w:lang w:eastAsia="en-IE"/>
              </w:rPr>
              <w:t>Percentage</w:t>
            </w:r>
            <w:r w:rsidR="00442353" w:rsidRPr="00B97E75">
              <w:rPr>
                <w:rFonts w:eastAsia="Times New Roman" w:cstheme="minorHAnsi"/>
                <w:color w:val="000000"/>
                <w:lang w:eastAsia="en-IE"/>
              </w:rPr>
              <w:t xml:space="preserve"> of Fire Cases within 10 Minutes</w:t>
            </w:r>
          </w:p>
        </w:tc>
        <w:tc>
          <w:tcPr>
            <w:tcW w:w="1276" w:type="dxa"/>
            <w:tcBorders>
              <w:top w:val="nil"/>
              <w:left w:val="nil"/>
              <w:bottom w:val="single" w:sz="8" w:space="0" w:color="auto"/>
              <w:right w:val="single" w:sz="8" w:space="0" w:color="auto"/>
            </w:tcBorders>
            <w:shd w:val="clear" w:color="auto" w:fill="B6DDE8" w:themeFill="accent5" w:themeFillTint="66"/>
            <w:vAlign w:val="center"/>
            <w:hideMark/>
          </w:tcPr>
          <w:p w:rsidR="00442353" w:rsidRPr="00B97E75" w:rsidRDefault="00442353"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2014</w:t>
            </w:r>
          </w:p>
        </w:tc>
      </w:tr>
      <w:tr w:rsidR="00442353"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3721" w:type="dxa"/>
            <w:tcBorders>
              <w:top w:val="nil"/>
              <w:left w:val="nil"/>
              <w:bottom w:val="single" w:sz="8" w:space="0" w:color="auto"/>
              <w:right w:val="nil"/>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27</w:t>
            </w:r>
          </w:p>
        </w:tc>
      </w:tr>
      <w:tr w:rsidR="00442353"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3721" w:type="dxa"/>
            <w:tcBorders>
              <w:top w:val="nil"/>
              <w:left w:val="nil"/>
              <w:bottom w:val="single" w:sz="8" w:space="0" w:color="auto"/>
              <w:right w:val="nil"/>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4</w:t>
            </w:r>
          </w:p>
        </w:tc>
      </w:tr>
      <w:tr w:rsidR="00442353"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3721" w:type="dxa"/>
            <w:tcBorders>
              <w:top w:val="nil"/>
              <w:left w:val="nil"/>
              <w:bottom w:val="single" w:sz="8" w:space="0" w:color="auto"/>
              <w:right w:val="nil"/>
            </w:tcBorders>
            <w:shd w:val="clear" w:color="auto" w:fill="auto"/>
            <w:vAlign w:val="center"/>
            <w:hideMark/>
          </w:tcPr>
          <w:p w:rsidR="00442353" w:rsidRPr="00B97E75" w:rsidRDefault="00442353"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39.08</w:t>
            </w:r>
          </w:p>
        </w:tc>
      </w:tr>
      <w:tr w:rsidR="00442353"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3721" w:type="dxa"/>
            <w:tcBorders>
              <w:top w:val="nil"/>
              <w:left w:val="nil"/>
              <w:bottom w:val="single" w:sz="8" w:space="0" w:color="auto"/>
              <w:right w:val="nil"/>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45.02</w:t>
            </w:r>
          </w:p>
        </w:tc>
      </w:tr>
      <w:tr w:rsidR="00442353" w:rsidRPr="00B97E75" w:rsidTr="00E17A00">
        <w:trPr>
          <w:trHeight w:val="315"/>
        </w:trPr>
        <w:tc>
          <w:tcPr>
            <w:tcW w:w="4688" w:type="dxa"/>
            <w:gridSpan w:val="2"/>
            <w:tcBorders>
              <w:top w:val="single" w:sz="8" w:space="0" w:color="auto"/>
              <w:left w:val="single" w:sz="8" w:space="0" w:color="auto"/>
              <w:bottom w:val="single" w:sz="8" w:space="0" w:color="auto"/>
              <w:right w:val="nil"/>
            </w:tcBorders>
            <w:shd w:val="clear" w:color="auto" w:fill="B6DDE8" w:themeFill="accent5" w:themeFillTint="66"/>
            <w:vAlign w:val="center"/>
            <w:hideMark/>
          </w:tcPr>
          <w:p w:rsidR="00442353" w:rsidRPr="00B97E75" w:rsidRDefault="00B0335E" w:rsidP="00E17A00">
            <w:pPr>
              <w:spacing w:after="0" w:line="240" w:lineRule="auto"/>
              <w:rPr>
                <w:rFonts w:eastAsia="Times New Roman" w:cstheme="minorHAnsi"/>
                <w:color w:val="000000"/>
                <w:lang w:eastAsia="en-IE"/>
              </w:rPr>
            </w:pPr>
            <w:r>
              <w:rPr>
                <w:rFonts w:eastAsia="Times New Roman" w:cstheme="minorHAnsi"/>
                <w:color w:val="000000"/>
                <w:lang w:eastAsia="en-IE"/>
              </w:rPr>
              <w:t>Percentage</w:t>
            </w:r>
            <w:r w:rsidR="00442353" w:rsidRPr="00B97E75">
              <w:rPr>
                <w:rFonts w:eastAsia="Times New Roman" w:cstheme="minorHAnsi"/>
                <w:color w:val="000000"/>
                <w:lang w:eastAsia="en-IE"/>
              </w:rPr>
              <w:t xml:space="preserve"> of Fire Cases </w:t>
            </w:r>
            <w:r w:rsidR="0059278E">
              <w:rPr>
                <w:rFonts w:eastAsia="Times New Roman" w:cstheme="minorHAnsi"/>
                <w:color w:val="000000"/>
                <w:lang w:eastAsia="en-IE"/>
              </w:rPr>
              <w:t>between</w:t>
            </w:r>
            <w:r w:rsidR="00442353" w:rsidRPr="00B97E75">
              <w:rPr>
                <w:rFonts w:eastAsia="Times New Roman" w:cstheme="minorHAnsi"/>
                <w:color w:val="000000"/>
                <w:lang w:eastAsia="en-IE"/>
              </w:rPr>
              <w:t xml:space="preserve"> 10 </w:t>
            </w:r>
            <w:r w:rsidR="0059278E">
              <w:rPr>
                <w:rFonts w:eastAsia="Times New Roman" w:cstheme="minorHAnsi"/>
                <w:color w:val="000000"/>
                <w:lang w:eastAsia="en-IE"/>
              </w:rPr>
              <w:t>and</w:t>
            </w:r>
            <w:r w:rsidR="00442353" w:rsidRPr="00B97E75">
              <w:rPr>
                <w:rFonts w:eastAsia="Times New Roman" w:cstheme="minorHAnsi"/>
                <w:color w:val="000000"/>
                <w:lang w:eastAsia="en-IE"/>
              </w:rPr>
              <w:t xml:space="preserve"> 20</w:t>
            </w:r>
            <w:r>
              <w:rPr>
                <w:rFonts w:eastAsia="Times New Roman" w:cstheme="minorHAnsi"/>
                <w:color w:val="000000"/>
                <w:lang w:eastAsia="en-IE"/>
              </w:rPr>
              <w:t xml:space="preserve"> Minutes</w:t>
            </w:r>
          </w:p>
        </w:tc>
        <w:tc>
          <w:tcPr>
            <w:tcW w:w="1276" w:type="dxa"/>
            <w:tcBorders>
              <w:top w:val="nil"/>
              <w:left w:val="single" w:sz="8" w:space="0" w:color="auto"/>
              <w:bottom w:val="single" w:sz="8" w:space="0" w:color="auto"/>
              <w:right w:val="single" w:sz="8" w:space="0" w:color="auto"/>
            </w:tcBorders>
            <w:shd w:val="clear" w:color="auto" w:fill="B6DDE8" w:themeFill="accent5" w:themeFillTint="66"/>
            <w:vAlign w:val="center"/>
            <w:hideMark/>
          </w:tcPr>
          <w:p w:rsidR="00442353" w:rsidRPr="00B97E75" w:rsidRDefault="00442353"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2014</w:t>
            </w:r>
          </w:p>
        </w:tc>
      </w:tr>
      <w:tr w:rsidR="00442353"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3721" w:type="dxa"/>
            <w:tcBorders>
              <w:top w:val="nil"/>
              <w:left w:val="nil"/>
              <w:bottom w:val="single" w:sz="8" w:space="0" w:color="auto"/>
              <w:right w:val="nil"/>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27</w:t>
            </w:r>
          </w:p>
        </w:tc>
      </w:tr>
      <w:tr w:rsidR="00442353"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3721" w:type="dxa"/>
            <w:tcBorders>
              <w:top w:val="nil"/>
              <w:left w:val="nil"/>
              <w:bottom w:val="single" w:sz="8" w:space="0" w:color="auto"/>
              <w:right w:val="nil"/>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4</w:t>
            </w:r>
          </w:p>
        </w:tc>
      </w:tr>
      <w:tr w:rsidR="00442353"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3721"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276"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44.91</w:t>
            </w:r>
          </w:p>
        </w:tc>
      </w:tr>
      <w:tr w:rsidR="00442353"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3721"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276"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42.42</w:t>
            </w:r>
          </w:p>
        </w:tc>
      </w:tr>
      <w:tr w:rsidR="00442353" w:rsidRPr="00B97E75" w:rsidTr="00E17A00">
        <w:trPr>
          <w:trHeight w:val="315"/>
        </w:trPr>
        <w:tc>
          <w:tcPr>
            <w:tcW w:w="4688"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442353" w:rsidRPr="00B97E75" w:rsidRDefault="00B0335E" w:rsidP="00E17A00">
            <w:pPr>
              <w:spacing w:after="0" w:line="240" w:lineRule="auto"/>
              <w:rPr>
                <w:rFonts w:eastAsia="Times New Roman" w:cstheme="minorHAnsi"/>
                <w:color w:val="000000"/>
                <w:lang w:eastAsia="en-IE"/>
              </w:rPr>
            </w:pPr>
            <w:r>
              <w:rPr>
                <w:rFonts w:eastAsia="Times New Roman" w:cstheme="minorHAnsi"/>
                <w:color w:val="000000"/>
                <w:lang w:eastAsia="en-IE"/>
              </w:rPr>
              <w:t>Percentage</w:t>
            </w:r>
            <w:r w:rsidR="00442353" w:rsidRPr="00B97E75">
              <w:rPr>
                <w:rFonts w:eastAsia="Times New Roman" w:cstheme="minorHAnsi"/>
                <w:color w:val="000000"/>
                <w:lang w:eastAsia="en-IE"/>
              </w:rPr>
              <w:t xml:space="preserve"> of Fire Cases after 20 Minutes</w:t>
            </w:r>
          </w:p>
        </w:tc>
        <w:tc>
          <w:tcPr>
            <w:tcW w:w="1276" w:type="dxa"/>
            <w:tcBorders>
              <w:top w:val="nil"/>
              <w:left w:val="nil"/>
              <w:bottom w:val="single" w:sz="8" w:space="0" w:color="auto"/>
              <w:right w:val="single" w:sz="8" w:space="0" w:color="auto"/>
            </w:tcBorders>
            <w:shd w:val="clear" w:color="auto" w:fill="B6DDE8" w:themeFill="accent5" w:themeFillTint="66"/>
            <w:vAlign w:val="center"/>
            <w:hideMark/>
          </w:tcPr>
          <w:p w:rsidR="00442353" w:rsidRPr="00B97E75" w:rsidRDefault="00442353"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2014</w:t>
            </w:r>
          </w:p>
        </w:tc>
      </w:tr>
      <w:tr w:rsidR="00442353"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3721"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276"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27</w:t>
            </w:r>
          </w:p>
        </w:tc>
      </w:tr>
      <w:tr w:rsidR="00442353"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3721"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276"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4</w:t>
            </w:r>
          </w:p>
        </w:tc>
      </w:tr>
      <w:tr w:rsidR="00442353"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3721"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276"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11.07</w:t>
            </w:r>
          </w:p>
        </w:tc>
      </w:tr>
      <w:tr w:rsidR="00442353"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3721"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276"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12.57</w:t>
            </w:r>
          </w:p>
        </w:tc>
      </w:tr>
      <w:tr w:rsidR="00442353" w:rsidRPr="00B97E75" w:rsidTr="00E17A00">
        <w:trPr>
          <w:trHeight w:val="315"/>
        </w:trPr>
        <w:tc>
          <w:tcPr>
            <w:tcW w:w="4688"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442353" w:rsidRPr="00B97E75" w:rsidRDefault="00B0335E" w:rsidP="00E17A00">
            <w:pPr>
              <w:spacing w:after="0" w:line="240" w:lineRule="auto"/>
              <w:rPr>
                <w:rFonts w:eastAsia="Times New Roman" w:cstheme="minorHAnsi"/>
                <w:color w:val="000000"/>
                <w:lang w:eastAsia="en-IE"/>
              </w:rPr>
            </w:pPr>
            <w:r>
              <w:rPr>
                <w:rFonts w:eastAsia="Times New Roman" w:cstheme="minorHAnsi"/>
                <w:color w:val="000000"/>
                <w:lang w:eastAsia="en-IE"/>
              </w:rPr>
              <w:t>Percentage</w:t>
            </w:r>
            <w:r w:rsidR="00442353" w:rsidRPr="00B97E75">
              <w:rPr>
                <w:rFonts w:eastAsia="Times New Roman" w:cstheme="minorHAnsi"/>
                <w:color w:val="000000"/>
                <w:lang w:eastAsia="en-IE"/>
              </w:rPr>
              <w:t xml:space="preserve"> of Non-Fire Cases within 10 Minutes</w:t>
            </w:r>
          </w:p>
        </w:tc>
        <w:tc>
          <w:tcPr>
            <w:tcW w:w="1276" w:type="dxa"/>
            <w:tcBorders>
              <w:top w:val="nil"/>
              <w:left w:val="nil"/>
              <w:bottom w:val="single" w:sz="8" w:space="0" w:color="auto"/>
              <w:right w:val="single" w:sz="8" w:space="0" w:color="auto"/>
            </w:tcBorders>
            <w:shd w:val="clear" w:color="auto" w:fill="B6DDE8" w:themeFill="accent5" w:themeFillTint="66"/>
            <w:vAlign w:val="center"/>
            <w:hideMark/>
          </w:tcPr>
          <w:p w:rsidR="00442353" w:rsidRPr="00B97E75" w:rsidRDefault="00442353"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2014</w:t>
            </w:r>
          </w:p>
        </w:tc>
      </w:tr>
      <w:tr w:rsidR="00442353"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3721"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276"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27</w:t>
            </w:r>
          </w:p>
        </w:tc>
      </w:tr>
      <w:tr w:rsidR="00442353"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3721"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276"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4</w:t>
            </w:r>
          </w:p>
        </w:tc>
      </w:tr>
      <w:tr w:rsidR="00442353"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3721"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276"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35.37</w:t>
            </w:r>
          </w:p>
        </w:tc>
      </w:tr>
      <w:tr w:rsidR="00442353"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3721"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276"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38.48</w:t>
            </w:r>
          </w:p>
        </w:tc>
      </w:tr>
      <w:tr w:rsidR="00442353" w:rsidRPr="00B97E75" w:rsidTr="00E17A00">
        <w:trPr>
          <w:trHeight w:val="315"/>
        </w:trPr>
        <w:tc>
          <w:tcPr>
            <w:tcW w:w="4688"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442353" w:rsidRPr="00B97E75" w:rsidRDefault="00B0335E" w:rsidP="00E17A00">
            <w:pPr>
              <w:spacing w:after="0" w:line="240" w:lineRule="auto"/>
              <w:rPr>
                <w:rFonts w:eastAsia="Times New Roman" w:cstheme="minorHAnsi"/>
                <w:color w:val="000000"/>
                <w:lang w:eastAsia="en-IE"/>
              </w:rPr>
            </w:pPr>
            <w:r>
              <w:rPr>
                <w:rFonts w:eastAsia="Times New Roman" w:cstheme="minorHAnsi"/>
                <w:color w:val="000000"/>
                <w:lang w:eastAsia="en-IE"/>
              </w:rPr>
              <w:t>Percentage</w:t>
            </w:r>
            <w:r w:rsidR="00442353" w:rsidRPr="00B97E75">
              <w:rPr>
                <w:rFonts w:eastAsia="Times New Roman" w:cstheme="minorHAnsi"/>
                <w:color w:val="000000"/>
                <w:lang w:eastAsia="en-IE"/>
              </w:rPr>
              <w:t xml:space="preserve"> of Non-Fire Cases </w:t>
            </w:r>
            <w:r w:rsidR="0059278E">
              <w:rPr>
                <w:rFonts w:eastAsia="Times New Roman" w:cstheme="minorHAnsi"/>
                <w:color w:val="000000"/>
                <w:lang w:eastAsia="en-IE"/>
              </w:rPr>
              <w:t xml:space="preserve">between 10 and </w:t>
            </w:r>
            <w:r w:rsidR="00442353" w:rsidRPr="00B97E75">
              <w:rPr>
                <w:rFonts w:eastAsia="Times New Roman" w:cstheme="minorHAnsi"/>
                <w:color w:val="000000"/>
                <w:lang w:eastAsia="en-IE"/>
              </w:rPr>
              <w:t>20</w:t>
            </w:r>
            <w:r w:rsidR="0059278E">
              <w:rPr>
                <w:rFonts w:eastAsia="Times New Roman" w:cstheme="minorHAnsi"/>
                <w:color w:val="000000"/>
                <w:lang w:eastAsia="en-IE"/>
              </w:rPr>
              <w:t xml:space="preserve"> Minutes</w:t>
            </w:r>
          </w:p>
        </w:tc>
        <w:tc>
          <w:tcPr>
            <w:tcW w:w="1276" w:type="dxa"/>
            <w:tcBorders>
              <w:top w:val="nil"/>
              <w:left w:val="nil"/>
              <w:bottom w:val="single" w:sz="8" w:space="0" w:color="auto"/>
              <w:right w:val="single" w:sz="8" w:space="0" w:color="auto"/>
            </w:tcBorders>
            <w:shd w:val="clear" w:color="auto" w:fill="B6DDE8" w:themeFill="accent5" w:themeFillTint="66"/>
            <w:vAlign w:val="center"/>
            <w:hideMark/>
          </w:tcPr>
          <w:p w:rsidR="00442353" w:rsidRPr="00B97E75" w:rsidRDefault="00442353"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2014</w:t>
            </w:r>
          </w:p>
        </w:tc>
      </w:tr>
      <w:tr w:rsidR="00442353"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3721"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276"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27</w:t>
            </w:r>
          </w:p>
        </w:tc>
      </w:tr>
      <w:tr w:rsidR="00442353"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3721"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276"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4</w:t>
            </w:r>
          </w:p>
        </w:tc>
      </w:tr>
      <w:tr w:rsidR="00442353"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3721"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276"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51.40</w:t>
            </w:r>
          </w:p>
        </w:tc>
      </w:tr>
      <w:tr w:rsidR="00442353"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3721"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276"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47.27</w:t>
            </w:r>
          </w:p>
        </w:tc>
      </w:tr>
      <w:tr w:rsidR="00442353" w:rsidRPr="00B97E75" w:rsidTr="00E17A00">
        <w:trPr>
          <w:trHeight w:val="315"/>
        </w:trPr>
        <w:tc>
          <w:tcPr>
            <w:tcW w:w="4688"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442353" w:rsidRPr="00B97E75" w:rsidRDefault="0059278E" w:rsidP="00E17A00">
            <w:pPr>
              <w:spacing w:after="0" w:line="240" w:lineRule="auto"/>
              <w:rPr>
                <w:rFonts w:eastAsia="Times New Roman" w:cstheme="minorHAnsi"/>
                <w:color w:val="000000"/>
                <w:lang w:eastAsia="en-IE"/>
              </w:rPr>
            </w:pPr>
            <w:r>
              <w:rPr>
                <w:rFonts w:eastAsia="Times New Roman" w:cstheme="minorHAnsi"/>
                <w:color w:val="000000"/>
                <w:lang w:eastAsia="en-IE"/>
              </w:rPr>
              <w:t>Percentage</w:t>
            </w:r>
            <w:r w:rsidR="00442353" w:rsidRPr="00B97E75">
              <w:rPr>
                <w:rFonts w:eastAsia="Times New Roman" w:cstheme="minorHAnsi"/>
                <w:color w:val="000000"/>
                <w:lang w:eastAsia="en-IE"/>
              </w:rPr>
              <w:t xml:space="preserve"> of Non-Fire Cases after 20 Minutes</w:t>
            </w:r>
          </w:p>
        </w:tc>
        <w:tc>
          <w:tcPr>
            <w:tcW w:w="1276" w:type="dxa"/>
            <w:tcBorders>
              <w:top w:val="nil"/>
              <w:left w:val="nil"/>
              <w:bottom w:val="single" w:sz="8" w:space="0" w:color="auto"/>
              <w:right w:val="single" w:sz="8" w:space="0" w:color="auto"/>
            </w:tcBorders>
            <w:shd w:val="clear" w:color="auto" w:fill="B6DDE8" w:themeFill="accent5" w:themeFillTint="66"/>
            <w:vAlign w:val="center"/>
            <w:hideMark/>
          </w:tcPr>
          <w:p w:rsidR="00442353" w:rsidRPr="00B97E75" w:rsidRDefault="00442353"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2014</w:t>
            </w:r>
          </w:p>
        </w:tc>
      </w:tr>
      <w:tr w:rsidR="00442353"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3721"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276"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27</w:t>
            </w:r>
          </w:p>
        </w:tc>
      </w:tr>
      <w:tr w:rsidR="00442353"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3721"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276"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4</w:t>
            </w:r>
          </w:p>
        </w:tc>
      </w:tr>
      <w:tr w:rsidR="00442353"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3721"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276"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12.90</w:t>
            </w:r>
          </w:p>
        </w:tc>
      </w:tr>
      <w:tr w:rsidR="00442353" w:rsidRPr="00B97E75" w:rsidTr="00E17A00">
        <w:trPr>
          <w:trHeight w:val="315"/>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3721"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276" w:type="dxa"/>
            <w:tcBorders>
              <w:top w:val="nil"/>
              <w:left w:val="nil"/>
              <w:bottom w:val="single" w:sz="8" w:space="0" w:color="auto"/>
              <w:right w:val="single" w:sz="8" w:space="0" w:color="auto"/>
            </w:tcBorders>
            <w:shd w:val="clear" w:color="auto" w:fill="auto"/>
            <w:vAlign w:val="center"/>
            <w:hideMark/>
          </w:tcPr>
          <w:p w:rsidR="00442353" w:rsidRPr="00B97E75" w:rsidRDefault="00442353"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14.25</w:t>
            </w:r>
          </w:p>
        </w:tc>
      </w:tr>
    </w:tbl>
    <w:p w:rsidR="00442353" w:rsidRPr="00B97E75" w:rsidRDefault="00442353" w:rsidP="0005390B">
      <w:pPr>
        <w:rPr>
          <w:rFonts w:eastAsia="Times New Roman" w:cstheme="minorHAnsi"/>
          <w:b/>
          <w:bCs/>
          <w:color w:val="000000"/>
          <w:lang w:eastAsia="en-IE"/>
        </w:rPr>
      </w:pPr>
    </w:p>
    <w:p w:rsidR="0005390B" w:rsidRPr="00B97E75" w:rsidRDefault="0005390B" w:rsidP="00E80676">
      <w:pPr>
        <w:spacing w:after="0" w:line="240" w:lineRule="auto"/>
        <w:rPr>
          <w:rFonts w:eastAsia="Times New Roman" w:cstheme="minorHAnsi"/>
          <w:b/>
          <w:bCs/>
          <w:color w:val="000000"/>
          <w:lang w:eastAsia="en-IE"/>
        </w:rPr>
      </w:pPr>
    </w:p>
    <w:p w:rsidR="002D315B" w:rsidRPr="00B97E75" w:rsidRDefault="002D315B" w:rsidP="00E80676">
      <w:pPr>
        <w:spacing w:after="0" w:line="240" w:lineRule="auto"/>
        <w:rPr>
          <w:rFonts w:eastAsia="Times New Roman" w:cstheme="minorHAnsi"/>
          <w:b/>
          <w:bCs/>
          <w:color w:val="000000"/>
          <w:lang w:eastAsia="en-IE"/>
        </w:rPr>
      </w:pPr>
    </w:p>
    <w:p w:rsidR="009E4429" w:rsidRDefault="009E4429" w:rsidP="00E80676">
      <w:pPr>
        <w:spacing w:after="0" w:line="240" w:lineRule="auto"/>
        <w:rPr>
          <w:rFonts w:eastAsia="Times New Roman" w:cstheme="minorHAnsi"/>
          <w:b/>
          <w:bCs/>
          <w:color w:val="000000"/>
          <w:lang w:eastAsia="en-IE"/>
        </w:rPr>
      </w:pPr>
    </w:p>
    <w:p w:rsidR="0059278E" w:rsidRDefault="0059278E" w:rsidP="00E80676">
      <w:pPr>
        <w:spacing w:after="0" w:line="240" w:lineRule="auto"/>
        <w:rPr>
          <w:rFonts w:eastAsia="Times New Roman" w:cstheme="minorHAnsi"/>
          <w:b/>
          <w:bCs/>
          <w:color w:val="000000"/>
          <w:lang w:eastAsia="en-IE"/>
        </w:rPr>
      </w:pPr>
    </w:p>
    <w:p w:rsidR="00431F6E" w:rsidRDefault="00431F6E" w:rsidP="00E80676">
      <w:pPr>
        <w:spacing w:after="0" w:line="240" w:lineRule="auto"/>
        <w:rPr>
          <w:rFonts w:eastAsia="Times New Roman" w:cstheme="minorHAnsi"/>
          <w:b/>
          <w:bCs/>
          <w:color w:val="000000"/>
          <w:lang w:eastAsia="en-IE"/>
        </w:rPr>
      </w:pPr>
    </w:p>
    <w:p w:rsidR="009660A3" w:rsidRDefault="009660A3" w:rsidP="00E80676">
      <w:pPr>
        <w:spacing w:after="0" w:line="240" w:lineRule="auto"/>
        <w:rPr>
          <w:rFonts w:eastAsia="Times New Roman" w:cstheme="minorHAnsi"/>
          <w:b/>
          <w:bCs/>
          <w:color w:val="000000"/>
          <w:lang w:eastAsia="en-IE"/>
        </w:rPr>
      </w:pPr>
    </w:p>
    <w:p w:rsidR="00EC46DC" w:rsidRPr="00B97E75" w:rsidRDefault="00EC46DC" w:rsidP="00E80676">
      <w:pPr>
        <w:spacing w:after="0" w:line="240" w:lineRule="auto"/>
        <w:rPr>
          <w:rFonts w:eastAsia="Times New Roman" w:cstheme="minorHAnsi"/>
          <w:b/>
          <w:bCs/>
          <w:color w:val="000000"/>
          <w:lang w:eastAsia="en-IE"/>
        </w:rPr>
      </w:pPr>
    </w:p>
    <w:p w:rsidR="009E4429" w:rsidRPr="00B97E75" w:rsidRDefault="009E4429" w:rsidP="00E80676">
      <w:pPr>
        <w:spacing w:after="0" w:line="240" w:lineRule="auto"/>
        <w:rPr>
          <w:rFonts w:eastAsia="Times New Roman" w:cstheme="minorHAnsi"/>
          <w:b/>
          <w:bCs/>
          <w:color w:val="000000"/>
          <w:lang w:eastAsia="en-IE"/>
        </w:rPr>
      </w:pPr>
    </w:p>
    <w:tbl>
      <w:tblPr>
        <w:tblW w:w="7731" w:type="dxa"/>
        <w:tblLook w:val="04A0" w:firstRow="1" w:lastRow="0" w:firstColumn="1" w:lastColumn="0" w:noHBand="0" w:noVBand="1"/>
      </w:tblPr>
      <w:tblGrid>
        <w:gridCol w:w="2137"/>
        <w:gridCol w:w="1134"/>
        <w:gridCol w:w="992"/>
        <w:gridCol w:w="1134"/>
        <w:gridCol w:w="1276"/>
        <w:gridCol w:w="1058"/>
      </w:tblGrid>
      <w:tr w:rsidR="00B0335E" w:rsidRPr="00B97E75" w:rsidTr="00E17A00">
        <w:trPr>
          <w:trHeight w:val="315"/>
        </w:trPr>
        <w:tc>
          <w:tcPr>
            <w:tcW w:w="7731"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0335E" w:rsidRPr="00B97E75" w:rsidRDefault="00B0335E" w:rsidP="00E17A00">
            <w:pPr>
              <w:spacing w:after="0" w:line="240" w:lineRule="auto"/>
              <w:rPr>
                <w:rFonts w:eastAsia="Times New Roman" w:cstheme="minorHAnsi"/>
                <w:color w:val="000000"/>
                <w:lang w:eastAsia="en-IE"/>
              </w:rPr>
            </w:pPr>
            <w:r w:rsidRPr="00B97E75">
              <w:rPr>
                <w:rFonts w:eastAsia="Times New Roman" w:cstheme="minorHAnsi"/>
                <w:b/>
                <w:bCs/>
                <w:color w:val="000000"/>
                <w:lang w:eastAsia="en-IE"/>
              </w:rPr>
              <w:lastRenderedPageBreak/>
              <w:t>Summary of Statistics 2010-2014 Based on Mean (average)</w:t>
            </w:r>
          </w:p>
        </w:tc>
      </w:tr>
      <w:tr w:rsidR="009E4429" w:rsidRPr="00B97E75" w:rsidTr="00E17A00">
        <w:trPr>
          <w:trHeight w:val="255"/>
        </w:trPr>
        <w:tc>
          <w:tcPr>
            <w:tcW w:w="2137" w:type="dxa"/>
            <w:tcBorders>
              <w:top w:val="nil"/>
              <w:left w:val="single" w:sz="8" w:space="0" w:color="auto"/>
              <w:bottom w:val="single" w:sz="8" w:space="0" w:color="auto"/>
              <w:right w:val="single" w:sz="4" w:space="0" w:color="auto"/>
            </w:tcBorders>
            <w:shd w:val="clear" w:color="auto" w:fill="B6DDE8" w:themeFill="accent5" w:themeFillTint="66"/>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134" w:type="dxa"/>
            <w:tcBorders>
              <w:top w:val="nil"/>
              <w:left w:val="nil"/>
              <w:bottom w:val="single" w:sz="8" w:space="0" w:color="auto"/>
              <w:right w:val="single" w:sz="4" w:space="0" w:color="auto"/>
            </w:tcBorders>
            <w:shd w:val="clear" w:color="auto" w:fill="B6DDE8" w:themeFill="accent5" w:themeFillTint="66"/>
            <w:noWrap/>
            <w:vAlign w:val="center"/>
            <w:hideMark/>
          </w:tcPr>
          <w:p w:rsidR="009E4429" w:rsidRPr="00B97E75" w:rsidRDefault="009E4429"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2010</w:t>
            </w:r>
          </w:p>
        </w:tc>
        <w:tc>
          <w:tcPr>
            <w:tcW w:w="992" w:type="dxa"/>
            <w:tcBorders>
              <w:top w:val="nil"/>
              <w:left w:val="nil"/>
              <w:bottom w:val="single" w:sz="8" w:space="0" w:color="auto"/>
              <w:right w:val="single" w:sz="4" w:space="0" w:color="auto"/>
            </w:tcBorders>
            <w:shd w:val="clear" w:color="auto" w:fill="B6DDE8" w:themeFill="accent5" w:themeFillTint="66"/>
            <w:noWrap/>
            <w:vAlign w:val="center"/>
            <w:hideMark/>
          </w:tcPr>
          <w:p w:rsidR="009E4429" w:rsidRPr="00B97E75" w:rsidRDefault="009E4429"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2011</w:t>
            </w:r>
          </w:p>
        </w:tc>
        <w:tc>
          <w:tcPr>
            <w:tcW w:w="1134" w:type="dxa"/>
            <w:tcBorders>
              <w:top w:val="single" w:sz="8" w:space="0" w:color="auto"/>
              <w:left w:val="nil"/>
              <w:bottom w:val="single" w:sz="8" w:space="0" w:color="auto"/>
              <w:right w:val="single" w:sz="4" w:space="0" w:color="auto"/>
            </w:tcBorders>
            <w:shd w:val="clear" w:color="auto" w:fill="B6DDE8" w:themeFill="accent5" w:themeFillTint="66"/>
            <w:noWrap/>
            <w:vAlign w:val="center"/>
            <w:hideMark/>
          </w:tcPr>
          <w:p w:rsidR="009E4429" w:rsidRPr="00B97E75" w:rsidRDefault="009E4429"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2012</w:t>
            </w:r>
          </w:p>
        </w:tc>
        <w:tc>
          <w:tcPr>
            <w:tcW w:w="1276" w:type="dxa"/>
            <w:tcBorders>
              <w:top w:val="single" w:sz="4" w:space="0" w:color="auto"/>
              <w:left w:val="nil"/>
              <w:bottom w:val="single" w:sz="8" w:space="0" w:color="auto"/>
              <w:right w:val="single" w:sz="4" w:space="0" w:color="auto"/>
            </w:tcBorders>
            <w:shd w:val="clear" w:color="auto" w:fill="B6DDE8" w:themeFill="accent5" w:themeFillTint="66"/>
            <w:noWrap/>
            <w:vAlign w:val="center"/>
            <w:hideMark/>
          </w:tcPr>
          <w:p w:rsidR="009E4429" w:rsidRPr="00B97E75" w:rsidRDefault="009E4429"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2013</w:t>
            </w:r>
          </w:p>
        </w:tc>
        <w:tc>
          <w:tcPr>
            <w:tcW w:w="1058" w:type="dxa"/>
            <w:tcBorders>
              <w:top w:val="single" w:sz="8" w:space="0" w:color="auto"/>
              <w:left w:val="nil"/>
              <w:bottom w:val="single" w:sz="8" w:space="0" w:color="auto"/>
              <w:right w:val="single" w:sz="4" w:space="0" w:color="auto"/>
            </w:tcBorders>
            <w:shd w:val="clear" w:color="auto" w:fill="B6DDE8" w:themeFill="accent5" w:themeFillTint="66"/>
            <w:noWrap/>
            <w:vAlign w:val="center"/>
            <w:hideMark/>
          </w:tcPr>
          <w:p w:rsidR="009E4429" w:rsidRPr="00B97E75" w:rsidRDefault="009E4429"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2014</w:t>
            </w:r>
          </w:p>
        </w:tc>
      </w:tr>
      <w:tr w:rsidR="009E4429" w:rsidRPr="00B97E75" w:rsidTr="00E17A00">
        <w:trPr>
          <w:trHeight w:val="360"/>
        </w:trPr>
        <w:tc>
          <w:tcPr>
            <w:tcW w:w="2137" w:type="dxa"/>
            <w:tcBorders>
              <w:top w:val="nil"/>
              <w:left w:val="single" w:sz="8" w:space="0" w:color="auto"/>
              <w:bottom w:val="single" w:sz="4" w:space="0" w:color="auto"/>
              <w:right w:val="single" w:sz="8" w:space="0" w:color="auto"/>
            </w:tcBorders>
            <w:shd w:val="clear" w:color="auto" w:fill="auto"/>
            <w:vAlign w:val="center"/>
            <w:hideMark/>
          </w:tcPr>
          <w:p w:rsidR="009E4429" w:rsidRPr="00B97E75" w:rsidRDefault="009E4429"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 of Fire Cases within 10 Minutes</w:t>
            </w:r>
          </w:p>
        </w:tc>
        <w:tc>
          <w:tcPr>
            <w:tcW w:w="1134" w:type="dxa"/>
            <w:tcBorders>
              <w:top w:val="nil"/>
              <w:left w:val="nil"/>
              <w:bottom w:val="single" w:sz="4" w:space="0" w:color="auto"/>
              <w:right w:val="single" w:sz="4"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44.97</w:t>
            </w:r>
          </w:p>
        </w:tc>
        <w:tc>
          <w:tcPr>
            <w:tcW w:w="992" w:type="dxa"/>
            <w:tcBorders>
              <w:top w:val="nil"/>
              <w:left w:val="nil"/>
              <w:bottom w:val="single" w:sz="4" w:space="0" w:color="auto"/>
              <w:right w:val="single" w:sz="4"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45.96</w:t>
            </w:r>
          </w:p>
        </w:tc>
        <w:tc>
          <w:tcPr>
            <w:tcW w:w="1134" w:type="dxa"/>
            <w:tcBorders>
              <w:top w:val="nil"/>
              <w:left w:val="nil"/>
              <w:bottom w:val="single" w:sz="4" w:space="0" w:color="auto"/>
              <w:right w:val="single" w:sz="4"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45.51</w:t>
            </w:r>
          </w:p>
        </w:tc>
        <w:tc>
          <w:tcPr>
            <w:tcW w:w="1276" w:type="dxa"/>
            <w:tcBorders>
              <w:top w:val="nil"/>
              <w:left w:val="nil"/>
              <w:bottom w:val="single" w:sz="4" w:space="0" w:color="auto"/>
              <w:right w:val="single" w:sz="4"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44.08</w:t>
            </w:r>
          </w:p>
        </w:tc>
        <w:tc>
          <w:tcPr>
            <w:tcW w:w="1058" w:type="dxa"/>
            <w:tcBorders>
              <w:top w:val="nil"/>
              <w:left w:val="nil"/>
              <w:bottom w:val="single" w:sz="4" w:space="0" w:color="auto"/>
              <w:right w:val="single" w:sz="8"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45.02</w:t>
            </w:r>
          </w:p>
        </w:tc>
      </w:tr>
      <w:tr w:rsidR="009E4429" w:rsidRPr="00B97E75" w:rsidTr="00E17A00">
        <w:trPr>
          <w:trHeight w:val="547"/>
        </w:trPr>
        <w:tc>
          <w:tcPr>
            <w:tcW w:w="2137" w:type="dxa"/>
            <w:tcBorders>
              <w:top w:val="nil"/>
              <w:left w:val="single" w:sz="8" w:space="0" w:color="auto"/>
              <w:bottom w:val="single" w:sz="4" w:space="0" w:color="auto"/>
              <w:right w:val="single" w:sz="8" w:space="0" w:color="auto"/>
            </w:tcBorders>
            <w:shd w:val="clear" w:color="auto" w:fill="auto"/>
            <w:vAlign w:val="center"/>
            <w:hideMark/>
          </w:tcPr>
          <w:p w:rsidR="009E4429" w:rsidRPr="00B97E75" w:rsidRDefault="009E4429"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 xml:space="preserve">% of Fire Cases </w:t>
            </w:r>
            <w:r w:rsidR="0059278E">
              <w:rPr>
                <w:rFonts w:eastAsia="Times New Roman" w:cstheme="minorHAnsi"/>
                <w:b/>
                <w:bCs/>
                <w:color w:val="000000"/>
                <w:lang w:eastAsia="en-IE"/>
              </w:rPr>
              <w:t>between</w:t>
            </w:r>
            <w:r w:rsidRPr="00B97E75">
              <w:rPr>
                <w:rFonts w:eastAsia="Times New Roman" w:cstheme="minorHAnsi"/>
                <w:b/>
                <w:bCs/>
                <w:color w:val="000000"/>
                <w:lang w:eastAsia="en-IE"/>
              </w:rPr>
              <w:t xml:space="preserve"> 10 </w:t>
            </w:r>
            <w:r w:rsidR="0059278E">
              <w:rPr>
                <w:rFonts w:eastAsia="Times New Roman" w:cstheme="minorHAnsi"/>
                <w:b/>
                <w:bCs/>
                <w:color w:val="000000"/>
                <w:lang w:eastAsia="en-IE"/>
              </w:rPr>
              <w:t>and</w:t>
            </w:r>
            <w:r w:rsidRPr="00B97E75">
              <w:rPr>
                <w:rFonts w:eastAsia="Times New Roman" w:cstheme="minorHAnsi"/>
                <w:b/>
                <w:bCs/>
                <w:color w:val="000000"/>
                <w:lang w:eastAsia="en-IE"/>
              </w:rPr>
              <w:t xml:space="preserve"> 20 Minutes</w:t>
            </w:r>
          </w:p>
        </w:tc>
        <w:tc>
          <w:tcPr>
            <w:tcW w:w="1134" w:type="dxa"/>
            <w:tcBorders>
              <w:top w:val="nil"/>
              <w:left w:val="nil"/>
              <w:bottom w:val="single" w:sz="4" w:space="0" w:color="auto"/>
              <w:right w:val="single" w:sz="4"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39.30</w:t>
            </w:r>
          </w:p>
        </w:tc>
        <w:tc>
          <w:tcPr>
            <w:tcW w:w="992" w:type="dxa"/>
            <w:tcBorders>
              <w:top w:val="nil"/>
              <w:left w:val="nil"/>
              <w:bottom w:val="single" w:sz="4" w:space="0" w:color="auto"/>
              <w:right w:val="single" w:sz="4"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40.09</w:t>
            </w:r>
          </w:p>
        </w:tc>
        <w:tc>
          <w:tcPr>
            <w:tcW w:w="1134" w:type="dxa"/>
            <w:tcBorders>
              <w:top w:val="nil"/>
              <w:left w:val="nil"/>
              <w:bottom w:val="single" w:sz="4" w:space="0" w:color="auto"/>
              <w:right w:val="single" w:sz="4"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42.72</w:t>
            </w:r>
          </w:p>
        </w:tc>
        <w:tc>
          <w:tcPr>
            <w:tcW w:w="1276" w:type="dxa"/>
            <w:tcBorders>
              <w:top w:val="nil"/>
              <w:left w:val="nil"/>
              <w:bottom w:val="single" w:sz="4" w:space="0" w:color="auto"/>
              <w:right w:val="single" w:sz="4"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42.36</w:t>
            </w:r>
          </w:p>
        </w:tc>
        <w:tc>
          <w:tcPr>
            <w:tcW w:w="1058" w:type="dxa"/>
            <w:tcBorders>
              <w:top w:val="nil"/>
              <w:left w:val="nil"/>
              <w:bottom w:val="single" w:sz="4" w:space="0" w:color="auto"/>
              <w:right w:val="single" w:sz="8"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42.42</w:t>
            </w:r>
          </w:p>
        </w:tc>
      </w:tr>
      <w:tr w:rsidR="009E4429" w:rsidRPr="00B97E75" w:rsidTr="00E17A00">
        <w:trPr>
          <w:trHeight w:val="420"/>
        </w:trPr>
        <w:tc>
          <w:tcPr>
            <w:tcW w:w="2137" w:type="dxa"/>
            <w:tcBorders>
              <w:top w:val="nil"/>
              <w:left w:val="single" w:sz="8" w:space="0" w:color="auto"/>
              <w:bottom w:val="single" w:sz="4" w:space="0" w:color="auto"/>
              <w:right w:val="single" w:sz="8" w:space="0" w:color="auto"/>
            </w:tcBorders>
            <w:shd w:val="clear" w:color="auto" w:fill="auto"/>
            <w:vAlign w:val="center"/>
            <w:hideMark/>
          </w:tcPr>
          <w:p w:rsidR="009E4429" w:rsidRPr="00B97E75" w:rsidRDefault="009E4429"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 of Fire Cases after 20 Minutes</w:t>
            </w:r>
          </w:p>
        </w:tc>
        <w:tc>
          <w:tcPr>
            <w:tcW w:w="1134" w:type="dxa"/>
            <w:tcBorders>
              <w:top w:val="nil"/>
              <w:left w:val="nil"/>
              <w:bottom w:val="single" w:sz="4" w:space="0" w:color="auto"/>
              <w:right w:val="single" w:sz="4"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15.70</w:t>
            </w:r>
          </w:p>
        </w:tc>
        <w:tc>
          <w:tcPr>
            <w:tcW w:w="992" w:type="dxa"/>
            <w:tcBorders>
              <w:top w:val="nil"/>
              <w:left w:val="nil"/>
              <w:bottom w:val="single" w:sz="4" w:space="0" w:color="auto"/>
              <w:right w:val="single" w:sz="4"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13.93</w:t>
            </w:r>
          </w:p>
        </w:tc>
        <w:tc>
          <w:tcPr>
            <w:tcW w:w="1134" w:type="dxa"/>
            <w:tcBorders>
              <w:top w:val="nil"/>
              <w:left w:val="nil"/>
              <w:bottom w:val="single" w:sz="4" w:space="0" w:color="auto"/>
              <w:right w:val="single" w:sz="4"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11.77</w:t>
            </w:r>
          </w:p>
        </w:tc>
        <w:tc>
          <w:tcPr>
            <w:tcW w:w="1276" w:type="dxa"/>
            <w:tcBorders>
              <w:top w:val="nil"/>
              <w:left w:val="nil"/>
              <w:bottom w:val="single" w:sz="4" w:space="0" w:color="auto"/>
              <w:right w:val="single" w:sz="4"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13.49</w:t>
            </w:r>
          </w:p>
        </w:tc>
        <w:tc>
          <w:tcPr>
            <w:tcW w:w="1058" w:type="dxa"/>
            <w:tcBorders>
              <w:top w:val="nil"/>
              <w:left w:val="nil"/>
              <w:bottom w:val="single" w:sz="4" w:space="0" w:color="auto"/>
              <w:right w:val="single" w:sz="8"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12.57</w:t>
            </w:r>
          </w:p>
        </w:tc>
      </w:tr>
      <w:tr w:rsidR="009E4429" w:rsidRPr="00B97E75" w:rsidTr="00E17A00">
        <w:trPr>
          <w:trHeight w:val="390"/>
        </w:trPr>
        <w:tc>
          <w:tcPr>
            <w:tcW w:w="2137" w:type="dxa"/>
            <w:tcBorders>
              <w:top w:val="nil"/>
              <w:left w:val="single" w:sz="8" w:space="0" w:color="auto"/>
              <w:bottom w:val="single" w:sz="4" w:space="0" w:color="auto"/>
              <w:right w:val="single" w:sz="8" w:space="0" w:color="auto"/>
            </w:tcBorders>
            <w:shd w:val="clear" w:color="auto" w:fill="auto"/>
            <w:vAlign w:val="center"/>
            <w:hideMark/>
          </w:tcPr>
          <w:p w:rsidR="009E4429" w:rsidRPr="00B97E75" w:rsidRDefault="009E4429"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 of Non-fire Cases within 10 Minutes</w:t>
            </w:r>
          </w:p>
        </w:tc>
        <w:tc>
          <w:tcPr>
            <w:tcW w:w="1134" w:type="dxa"/>
            <w:tcBorders>
              <w:top w:val="nil"/>
              <w:left w:val="nil"/>
              <w:bottom w:val="single" w:sz="4" w:space="0" w:color="auto"/>
              <w:right w:val="single" w:sz="4"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40.60</w:t>
            </w:r>
          </w:p>
        </w:tc>
        <w:tc>
          <w:tcPr>
            <w:tcW w:w="992" w:type="dxa"/>
            <w:tcBorders>
              <w:top w:val="nil"/>
              <w:left w:val="nil"/>
              <w:bottom w:val="single" w:sz="4" w:space="0" w:color="auto"/>
              <w:right w:val="single" w:sz="4"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39.70</w:t>
            </w:r>
          </w:p>
        </w:tc>
        <w:tc>
          <w:tcPr>
            <w:tcW w:w="1134" w:type="dxa"/>
            <w:tcBorders>
              <w:top w:val="nil"/>
              <w:left w:val="nil"/>
              <w:bottom w:val="single" w:sz="4" w:space="0" w:color="auto"/>
              <w:right w:val="single" w:sz="4"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39.30</w:t>
            </w:r>
          </w:p>
        </w:tc>
        <w:tc>
          <w:tcPr>
            <w:tcW w:w="1276" w:type="dxa"/>
            <w:tcBorders>
              <w:top w:val="nil"/>
              <w:left w:val="nil"/>
              <w:bottom w:val="single" w:sz="4" w:space="0" w:color="auto"/>
              <w:right w:val="single" w:sz="4"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37.45</w:t>
            </w:r>
          </w:p>
        </w:tc>
        <w:tc>
          <w:tcPr>
            <w:tcW w:w="1058" w:type="dxa"/>
            <w:tcBorders>
              <w:top w:val="nil"/>
              <w:left w:val="nil"/>
              <w:bottom w:val="single" w:sz="4" w:space="0" w:color="auto"/>
              <w:right w:val="single" w:sz="8"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38.48</w:t>
            </w:r>
          </w:p>
        </w:tc>
      </w:tr>
      <w:tr w:rsidR="009E4429" w:rsidRPr="00B97E75" w:rsidTr="00E17A00">
        <w:trPr>
          <w:trHeight w:val="345"/>
        </w:trPr>
        <w:tc>
          <w:tcPr>
            <w:tcW w:w="2137" w:type="dxa"/>
            <w:tcBorders>
              <w:top w:val="nil"/>
              <w:left w:val="single" w:sz="8" w:space="0" w:color="auto"/>
              <w:bottom w:val="single" w:sz="4" w:space="0" w:color="auto"/>
              <w:right w:val="single" w:sz="8" w:space="0" w:color="auto"/>
            </w:tcBorders>
            <w:shd w:val="clear" w:color="auto" w:fill="auto"/>
            <w:vAlign w:val="center"/>
            <w:hideMark/>
          </w:tcPr>
          <w:p w:rsidR="009E4429" w:rsidRPr="00B97E75" w:rsidRDefault="009E4429"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 xml:space="preserve">% of Non-fire Cases </w:t>
            </w:r>
            <w:r w:rsidR="0059278E">
              <w:rPr>
                <w:rFonts w:eastAsia="Times New Roman" w:cstheme="minorHAnsi"/>
                <w:b/>
                <w:bCs/>
                <w:color w:val="000000"/>
                <w:lang w:eastAsia="en-IE"/>
              </w:rPr>
              <w:t>between</w:t>
            </w:r>
            <w:r w:rsidRPr="00B97E75">
              <w:rPr>
                <w:rFonts w:eastAsia="Times New Roman" w:cstheme="minorHAnsi"/>
                <w:b/>
                <w:bCs/>
                <w:color w:val="000000"/>
                <w:lang w:eastAsia="en-IE"/>
              </w:rPr>
              <w:t xml:space="preserve"> 10 </w:t>
            </w:r>
            <w:r w:rsidR="0059278E">
              <w:rPr>
                <w:rFonts w:eastAsia="Times New Roman" w:cstheme="minorHAnsi"/>
                <w:b/>
                <w:bCs/>
                <w:color w:val="000000"/>
                <w:lang w:eastAsia="en-IE"/>
              </w:rPr>
              <w:t>and</w:t>
            </w:r>
            <w:r w:rsidRPr="00B97E75">
              <w:rPr>
                <w:rFonts w:eastAsia="Times New Roman" w:cstheme="minorHAnsi"/>
                <w:b/>
                <w:bCs/>
                <w:color w:val="000000"/>
                <w:lang w:eastAsia="en-IE"/>
              </w:rPr>
              <w:t xml:space="preserve"> 20 Minutes</w:t>
            </w:r>
          </w:p>
        </w:tc>
        <w:tc>
          <w:tcPr>
            <w:tcW w:w="1134" w:type="dxa"/>
            <w:tcBorders>
              <w:top w:val="nil"/>
              <w:left w:val="nil"/>
              <w:bottom w:val="single" w:sz="4" w:space="0" w:color="auto"/>
              <w:right w:val="single" w:sz="4"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45.70</w:t>
            </w:r>
          </w:p>
        </w:tc>
        <w:tc>
          <w:tcPr>
            <w:tcW w:w="992" w:type="dxa"/>
            <w:tcBorders>
              <w:top w:val="nil"/>
              <w:left w:val="nil"/>
              <w:bottom w:val="single" w:sz="4" w:space="0" w:color="auto"/>
              <w:right w:val="single" w:sz="4"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46.50</w:t>
            </w:r>
          </w:p>
        </w:tc>
        <w:tc>
          <w:tcPr>
            <w:tcW w:w="1134" w:type="dxa"/>
            <w:tcBorders>
              <w:top w:val="nil"/>
              <w:left w:val="nil"/>
              <w:bottom w:val="single" w:sz="4" w:space="0" w:color="auto"/>
              <w:right w:val="single" w:sz="4"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47.40</w:t>
            </w:r>
          </w:p>
        </w:tc>
        <w:tc>
          <w:tcPr>
            <w:tcW w:w="1276" w:type="dxa"/>
            <w:tcBorders>
              <w:top w:val="nil"/>
              <w:left w:val="nil"/>
              <w:bottom w:val="single" w:sz="4" w:space="0" w:color="auto"/>
              <w:right w:val="single" w:sz="4"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47.38</w:t>
            </w:r>
          </w:p>
        </w:tc>
        <w:tc>
          <w:tcPr>
            <w:tcW w:w="1058" w:type="dxa"/>
            <w:tcBorders>
              <w:top w:val="nil"/>
              <w:left w:val="nil"/>
              <w:bottom w:val="single" w:sz="4" w:space="0" w:color="auto"/>
              <w:right w:val="single" w:sz="8"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47.27</w:t>
            </w:r>
          </w:p>
        </w:tc>
      </w:tr>
      <w:tr w:rsidR="009E4429" w:rsidRPr="00B97E75" w:rsidTr="00E17A00">
        <w:trPr>
          <w:trHeight w:val="315"/>
        </w:trPr>
        <w:tc>
          <w:tcPr>
            <w:tcW w:w="2137" w:type="dxa"/>
            <w:tcBorders>
              <w:top w:val="nil"/>
              <w:left w:val="single" w:sz="8" w:space="0" w:color="auto"/>
              <w:bottom w:val="single" w:sz="8" w:space="0" w:color="auto"/>
              <w:right w:val="single" w:sz="8" w:space="0" w:color="auto"/>
            </w:tcBorders>
            <w:shd w:val="clear" w:color="auto" w:fill="auto"/>
            <w:vAlign w:val="center"/>
            <w:hideMark/>
          </w:tcPr>
          <w:p w:rsidR="009E4429" w:rsidRPr="00B97E75" w:rsidRDefault="009E4429"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 of Non-fire Cases after 20 Minutes</w:t>
            </w:r>
          </w:p>
        </w:tc>
        <w:tc>
          <w:tcPr>
            <w:tcW w:w="1134" w:type="dxa"/>
            <w:tcBorders>
              <w:top w:val="nil"/>
              <w:left w:val="nil"/>
              <w:bottom w:val="single" w:sz="8" w:space="0" w:color="auto"/>
              <w:right w:val="single" w:sz="4"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13.70</w:t>
            </w:r>
          </w:p>
        </w:tc>
        <w:tc>
          <w:tcPr>
            <w:tcW w:w="992" w:type="dxa"/>
            <w:tcBorders>
              <w:top w:val="nil"/>
              <w:left w:val="nil"/>
              <w:bottom w:val="single" w:sz="8" w:space="0" w:color="auto"/>
              <w:right w:val="single" w:sz="4"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13.80</w:t>
            </w:r>
          </w:p>
        </w:tc>
        <w:tc>
          <w:tcPr>
            <w:tcW w:w="1134" w:type="dxa"/>
            <w:tcBorders>
              <w:top w:val="nil"/>
              <w:left w:val="nil"/>
              <w:bottom w:val="single" w:sz="8" w:space="0" w:color="auto"/>
              <w:right w:val="single" w:sz="4"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13.20</w:t>
            </w:r>
          </w:p>
        </w:tc>
        <w:tc>
          <w:tcPr>
            <w:tcW w:w="1276" w:type="dxa"/>
            <w:tcBorders>
              <w:top w:val="nil"/>
              <w:left w:val="nil"/>
              <w:bottom w:val="single" w:sz="8" w:space="0" w:color="auto"/>
              <w:right w:val="single" w:sz="4"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15.37</w:t>
            </w:r>
          </w:p>
        </w:tc>
        <w:tc>
          <w:tcPr>
            <w:tcW w:w="1058" w:type="dxa"/>
            <w:tcBorders>
              <w:top w:val="nil"/>
              <w:left w:val="nil"/>
              <w:bottom w:val="single" w:sz="8" w:space="0" w:color="auto"/>
              <w:right w:val="single" w:sz="8" w:space="0" w:color="auto"/>
            </w:tcBorders>
            <w:shd w:val="clear" w:color="auto" w:fill="auto"/>
            <w:noWrap/>
            <w:vAlign w:val="center"/>
            <w:hideMark/>
          </w:tcPr>
          <w:p w:rsidR="009E4429" w:rsidRPr="00B97E75" w:rsidRDefault="009E4429"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14.25</w:t>
            </w:r>
          </w:p>
        </w:tc>
      </w:tr>
    </w:tbl>
    <w:p w:rsidR="002D315B" w:rsidRPr="00B97E75" w:rsidRDefault="002D315B" w:rsidP="00E80676">
      <w:pPr>
        <w:spacing w:after="0" w:line="240" w:lineRule="auto"/>
        <w:rPr>
          <w:rFonts w:eastAsia="Times New Roman" w:cstheme="minorHAnsi"/>
          <w:b/>
          <w:bCs/>
          <w:color w:val="000000"/>
          <w:lang w:eastAsia="en-IE"/>
        </w:rPr>
      </w:pPr>
    </w:p>
    <w:p w:rsidR="002D315B" w:rsidRPr="00B97E75" w:rsidRDefault="002D315B" w:rsidP="00E80676">
      <w:pPr>
        <w:spacing w:after="0" w:line="240" w:lineRule="auto"/>
        <w:rPr>
          <w:rFonts w:eastAsia="Times New Roman" w:cstheme="minorHAnsi"/>
          <w:b/>
          <w:bCs/>
          <w:color w:val="000000"/>
          <w:lang w:eastAsia="en-IE"/>
        </w:rPr>
      </w:pPr>
    </w:p>
    <w:p w:rsidR="002D315B" w:rsidRPr="00B97E75" w:rsidRDefault="002D315B" w:rsidP="00E80676">
      <w:pPr>
        <w:spacing w:after="0" w:line="240" w:lineRule="auto"/>
        <w:rPr>
          <w:rFonts w:eastAsia="Times New Roman" w:cstheme="minorHAnsi"/>
          <w:b/>
          <w:bCs/>
          <w:color w:val="000000"/>
          <w:lang w:eastAsia="en-IE"/>
        </w:rPr>
      </w:pPr>
    </w:p>
    <w:p w:rsidR="002D315B" w:rsidRPr="00B97E75" w:rsidRDefault="002D315B" w:rsidP="00E80676">
      <w:pPr>
        <w:spacing w:after="0" w:line="240" w:lineRule="auto"/>
        <w:rPr>
          <w:rFonts w:eastAsia="Times New Roman" w:cstheme="minorHAnsi"/>
          <w:b/>
          <w:bCs/>
          <w:color w:val="000000"/>
          <w:lang w:eastAsia="en-IE"/>
        </w:rPr>
      </w:pPr>
    </w:p>
    <w:p w:rsidR="0005390B" w:rsidRPr="00B97E75" w:rsidRDefault="0005390B" w:rsidP="00E80676">
      <w:pPr>
        <w:spacing w:after="0" w:line="240" w:lineRule="auto"/>
        <w:rPr>
          <w:rFonts w:eastAsia="Times New Roman" w:cstheme="minorHAnsi"/>
          <w:b/>
          <w:bCs/>
          <w:color w:val="000000"/>
          <w:lang w:eastAsia="en-IE"/>
        </w:rPr>
      </w:pPr>
    </w:p>
    <w:p w:rsidR="002D315B" w:rsidRPr="00B97E75" w:rsidRDefault="002D315B" w:rsidP="00E80676">
      <w:pPr>
        <w:spacing w:after="0" w:line="240" w:lineRule="auto"/>
        <w:rPr>
          <w:rFonts w:eastAsia="Times New Roman" w:cstheme="minorHAnsi"/>
          <w:b/>
          <w:bCs/>
          <w:color w:val="000000"/>
          <w:lang w:eastAsia="en-IE"/>
        </w:rPr>
      </w:pPr>
    </w:p>
    <w:p w:rsidR="002D315B" w:rsidRPr="00B97E75" w:rsidRDefault="002D315B" w:rsidP="00E80676">
      <w:pPr>
        <w:spacing w:after="0" w:line="240" w:lineRule="auto"/>
        <w:rPr>
          <w:rFonts w:eastAsia="Times New Roman" w:cstheme="minorHAnsi"/>
          <w:b/>
          <w:bCs/>
          <w:color w:val="000000"/>
          <w:lang w:eastAsia="en-IE"/>
        </w:rPr>
      </w:pPr>
    </w:p>
    <w:p w:rsidR="00485CB6" w:rsidRPr="00B97E75" w:rsidRDefault="00485CB6" w:rsidP="00E80676">
      <w:pPr>
        <w:spacing w:after="0" w:line="240" w:lineRule="auto"/>
        <w:rPr>
          <w:rFonts w:eastAsia="Times New Roman" w:cstheme="minorHAnsi"/>
          <w:b/>
          <w:bCs/>
          <w:color w:val="000000"/>
          <w:lang w:eastAsia="en-IE"/>
        </w:rPr>
      </w:pPr>
    </w:p>
    <w:p w:rsidR="00485CB6" w:rsidRPr="00B97E75" w:rsidRDefault="00485CB6" w:rsidP="00E80676">
      <w:pPr>
        <w:spacing w:after="0" w:line="240" w:lineRule="auto"/>
        <w:rPr>
          <w:rFonts w:eastAsia="Times New Roman" w:cstheme="minorHAnsi"/>
          <w:b/>
          <w:bCs/>
          <w:color w:val="000000"/>
          <w:lang w:eastAsia="en-IE"/>
        </w:rPr>
      </w:pPr>
    </w:p>
    <w:p w:rsidR="006644B4" w:rsidRPr="00B97E75" w:rsidRDefault="006644B4" w:rsidP="00E80676">
      <w:pPr>
        <w:spacing w:after="0" w:line="240" w:lineRule="auto"/>
        <w:rPr>
          <w:rFonts w:eastAsia="Times New Roman" w:cstheme="minorHAnsi"/>
          <w:b/>
          <w:bCs/>
          <w:color w:val="000000"/>
          <w:lang w:eastAsia="en-IE"/>
        </w:rPr>
      </w:pPr>
    </w:p>
    <w:p w:rsidR="00C85E74" w:rsidRPr="00B97E75" w:rsidRDefault="00C85E74">
      <w:pPr>
        <w:rPr>
          <w:rFonts w:eastAsia="Times New Roman" w:cstheme="minorHAnsi"/>
          <w:b/>
          <w:bCs/>
          <w:color w:val="000000"/>
          <w:lang w:eastAsia="en-IE"/>
        </w:rPr>
      </w:pPr>
      <w:r w:rsidRPr="00B97E75">
        <w:rPr>
          <w:rFonts w:eastAsia="Times New Roman" w:cstheme="minorHAnsi"/>
          <w:b/>
          <w:bCs/>
          <w:color w:val="000000"/>
          <w:lang w:eastAsia="en-IE"/>
        </w:rPr>
        <w:br w:type="page"/>
      </w:r>
    </w:p>
    <w:p w:rsidR="002D315B" w:rsidRPr="009C70A3" w:rsidRDefault="00B70292" w:rsidP="009C70A3">
      <w:pPr>
        <w:pStyle w:val="PISectionHeading"/>
      </w:pPr>
      <w:bookmarkStart w:id="7" w:name="_Toc436926483"/>
      <w:r w:rsidRPr="009C70A3">
        <w:lastRenderedPageBreak/>
        <w:t xml:space="preserve">Section </w:t>
      </w:r>
      <w:r w:rsidR="007C12D5">
        <w:t>7</w:t>
      </w:r>
      <w:r w:rsidR="00485CB6" w:rsidRPr="009C70A3">
        <w:t>: Library</w:t>
      </w:r>
      <w:bookmarkEnd w:id="7"/>
    </w:p>
    <w:p w:rsidR="002D315B" w:rsidRPr="00B97E75" w:rsidRDefault="00485CB6" w:rsidP="00791DD3">
      <w:pPr>
        <w:pStyle w:val="PITableHeading"/>
        <w:rPr>
          <w:rFonts w:asciiTheme="minorHAnsi" w:hAnsiTheme="minorHAnsi" w:cstheme="minorHAnsi"/>
          <w:sz w:val="22"/>
          <w:szCs w:val="22"/>
        </w:rPr>
      </w:pPr>
      <w:r w:rsidRPr="00B97E75">
        <w:rPr>
          <w:rFonts w:asciiTheme="minorHAnsi" w:hAnsiTheme="minorHAnsi" w:cstheme="minorHAnsi"/>
          <w:sz w:val="22"/>
          <w:szCs w:val="22"/>
        </w:rPr>
        <w:t>Table</w:t>
      </w:r>
      <w:r w:rsidR="00B0335E">
        <w:rPr>
          <w:rFonts w:asciiTheme="minorHAnsi" w:hAnsiTheme="minorHAnsi" w:cstheme="minorHAnsi"/>
          <w:sz w:val="22"/>
          <w:szCs w:val="22"/>
        </w:rPr>
        <w:t xml:space="preserve"> 1</w:t>
      </w:r>
      <w:r w:rsidR="00B70292">
        <w:rPr>
          <w:rFonts w:asciiTheme="minorHAnsi" w:hAnsiTheme="minorHAnsi" w:cstheme="minorHAnsi"/>
          <w:sz w:val="22"/>
          <w:szCs w:val="22"/>
        </w:rPr>
        <w:t>9</w:t>
      </w:r>
      <w:r w:rsidR="00B0335E">
        <w:rPr>
          <w:rFonts w:asciiTheme="minorHAnsi" w:hAnsiTheme="minorHAnsi" w:cstheme="minorHAnsi"/>
          <w:sz w:val="22"/>
          <w:szCs w:val="22"/>
        </w:rPr>
        <w:t xml:space="preserve">: </w:t>
      </w:r>
      <w:r w:rsidR="00B0335E" w:rsidRPr="003E001D">
        <w:rPr>
          <w:rFonts w:asciiTheme="minorHAnsi" w:hAnsiTheme="minorHAnsi" w:cstheme="minorHAnsi"/>
          <w:b w:val="0"/>
          <w:sz w:val="22"/>
          <w:szCs w:val="22"/>
        </w:rPr>
        <w:t>Library</w:t>
      </w:r>
      <w:r w:rsidR="00B0335E">
        <w:rPr>
          <w:rFonts w:asciiTheme="minorHAnsi" w:hAnsiTheme="minorHAnsi" w:cstheme="minorHAnsi"/>
          <w:sz w:val="22"/>
          <w:szCs w:val="22"/>
        </w:rPr>
        <w:t xml:space="preserve"> </w:t>
      </w:r>
      <w:r w:rsidR="00B0335E" w:rsidRPr="003E001D">
        <w:rPr>
          <w:rFonts w:asciiTheme="minorHAnsi" w:hAnsiTheme="minorHAnsi" w:cstheme="minorHAnsi"/>
          <w:b w:val="0"/>
          <w:sz w:val="22"/>
          <w:szCs w:val="22"/>
        </w:rPr>
        <w:t>Visits;</w:t>
      </w:r>
      <w:r w:rsidRPr="003E001D">
        <w:rPr>
          <w:rFonts w:asciiTheme="minorHAnsi" w:hAnsiTheme="minorHAnsi" w:cstheme="minorHAnsi"/>
          <w:b w:val="0"/>
          <w:sz w:val="22"/>
          <w:szCs w:val="22"/>
        </w:rPr>
        <w:t xml:space="preserve"> Cost of Operating a Library Service</w:t>
      </w:r>
    </w:p>
    <w:p w:rsidR="00485CB6" w:rsidRPr="00B97E75" w:rsidRDefault="00485CB6" w:rsidP="00E80676">
      <w:pPr>
        <w:spacing w:after="0" w:line="240" w:lineRule="auto"/>
        <w:rPr>
          <w:rFonts w:eastAsia="Times New Roman" w:cstheme="minorHAnsi"/>
          <w:b/>
          <w:color w:val="000000"/>
          <w:lang w:eastAsia="en-IE"/>
        </w:rPr>
      </w:pPr>
    </w:p>
    <w:tbl>
      <w:tblPr>
        <w:tblStyle w:val="LightGrid-Accent5"/>
        <w:tblW w:w="7240" w:type="dxa"/>
        <w:tblLook w:val="04A0" w:firstRow="1" w:lastRow="0" w:firstColumn="1" w:lastColumn="0" w:noHBand="0" w:noVBand="1"/>
      </w:tblPr>
      <w:tblGrid>
        <w:gridCol w:w="3129"/>
        <w:gridCol w:w="2055"/>
        <w:gridCol w:w="2056"/>
      </w:tblGrid>
      <w:tr w:rsidR="00485CB6" w:rsidRPr="005C4524" w:rsidTr="00771880">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129" w:type="dxa"/>
            <w:noWrap/>
            <w:vAlign w:val="center"/>
            <w:hideMark/>
          </w:tcPr>
          <w:p w:rsidR="00485CB6" w:rsidRPr="005C4524" w:rsidRDefault="00D36D20" w:rsidP="00771880">
            <w:pPr>
              <w:rPr>
                <w:rFonts w:asciiTheme="minorHAnsi" w:eastAsia="Times New Roman" w:hAnsiTheme="minorHAnsi" w:cstheme="minorHAnsi"/>
                <w:color w:val="000000"/>
                <w:lang w:eastAsia="en-IE"/>
              </w:rPr>
            </w:pPr>
            <w:r w:rsidRPr="00D36D20">
              <w:rPr>
                <w:rFonts w:asciiTheme="minorHAnsi" w:eastAsia="Times New Roman" w:hAnsiTheme="minorHAnsi" w:cstheme="minorHAnsi"/>
                <w:color w:val="000000"/>
                <w:lang w:eastAsia="en-IE"/>
              </w:rPr>
              <w:t>Authority</w:t>
            </w:r>
          </w:p>
        </w:tc>
        <w:tc>
          <w:tcPr>
            <w:tcW w:w="2055" w:type="dxa"/>
            <w:vAlign w:val="center"/>
            <w:hideMark/>
          </w:tcPr>
          <w:p w:rsidR="00485CB6" w:rsidRPr="005C4524" w:rsidRDefault="00485CB6"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eastAsia="en-IE"/>
              </w:rPr>
            </w:pPr>
            <w:r w:rsidRPr="005C4524">
              <w:rPr>
                <w:rFonts w:asciiTheme="minorHAnsi" w:eastAsia="Times New Roman" w:hAnsiTheme="minorHAnsi" w:cstheme="minorHAnsi"/>
                <w:color w:val="000000"/>
                <w:lang w:eastAsia="en-IE"/>
              </w:rPr>
              <w:t>Visits per 1</w:t>
            </w:r>
            <w:r w:rsidR="00791DD3" w:rsidRPr="005C4524">
              <w:rPr>
                <w:rFonts w:asciiTheme="minorHAnsi" w:eastAsia="Times New Roman" w:hAnsiTheme="minorHAnsi" w:cstheme="minorHAnsi"/>
                <w:color w:val="000000"/>
                <w:lang w:eastAsia="en-IE"/>
              </w:rPr>
              <w:t>,</w:t>
            </w:r>
            <w:r w:rsidRPr="005C4524">
              <w:rPr>
                <w:rFonts w:asciiTheme="minorHAnsi" w:eastAsia="Times New Roman" w:hAnsiTheme="minorHAnsi" w:cstheme="minorHAnsi"/>
                <w:color w:val="000000"/>
                <w:lang w:eastAsia="en-IE"/>
              </w:rPr>
              <w:t>000 Population</w:t>
            </w:r>
          </w:p>
        </w:tc>
        <w:tc>
          <w:tcPr>
            <w:tcW w:w="2056" w:type="dxa"/>
            <w:vAlign w:val="center"/>
            <w:hideMark/>
          </w:tcPr>
          <w:p w:rsidR="00485CB6" w:rsidRPr="000D5F92" w:rsidRDefault="00485CB6" w:rsidP="0077188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en-IE"/>
              </w:rPr>
            </w:pPr>
            <w:r w:rsidRPr="005C4524">
              <w:rPr>
                <w:rFonts w:asciiTheme="minorHAnsi" w:eastAsia="Times New Roman" w:hAnsiTheme="minorHAnsi" w:cstheme="minorHAnsi"/>
                <w:color w:val="000000"/>
                <w:lang w:eastAsia="en-IE"/>
              </w:rPr>
              <w:t>Cost per 1</w:t>
            </w:r>
            <w:r w:rsidR="00791DD3" w:rsidRPr="005C4524">
              <w:rPr>
                <w:rFonts w:asciiTheme="minorHAnsi" w:eastAsia="Times New Roman" w:hAnsiTheme="minorHAnsi" w:cstheme="minorHAnsi"/>
                <w:color w:val="000000"/>
                <w:lang w:eastAsia="en-IE"/>
              </w:rPr>
              <w:t>,</w:t>
            </w:r>
            <w:r w:rsidRPr="005C4524">
              <w:rPr>
                <w:rFonts w:asciiTheme="minorHAnsi" w:eastAsia="Times New Roman" w:hAnsiTheme="minorHAnsi" w:cstheme="minorHAnsi"/>
                <w:color w:val="000000"/>
                <w:lang w:eastAsia="en-IE"/>
              </w:rPr>
              <w:t>000 Population</w:t>
            </w:r>
            <w:r w:rsidR="000D5F92">
              <w:rPr>
                <w:rFonts w:asciiTheme="minorHAnsi" w:eastAsia="Times New Roman" w:hAnsiTheme="minorHAnsi" w:cstheme="minorHAnsi"/>
                <w:color w:val="000000"/>
                <w:lang w:eastAsia="en-IE"/>
              </w:rPr>
              <w:t xml:space="preserve"> </w:t>
            </w:r>
            <w:r w:rsidR="0083189A">
              <w:rPr>
                <w:rFonts w:asciiTheme="minorHAnsi" w:eastAsia="Times New Roman" w:hAnsiTheme="minorHAnsi" w:cstheme="minorHAnsi"/>
                <w:color w:val="000000"/>
                <w:lang w:eastAsia="en-IE"/>
              </w:rPr>
              <w:t>(</w:t>
            </w:r>
            <w:r w:rsidR="000D5F92">
              <w:rPr>
                <w:rFonts w:ascii="Times New Roman" w:eastAsia="Times New Roman" w:hAnsi="Times New Roman" w:cs="Times New Roman"/>
                <w:color w:val="000000"/>
                <w:lang w:eastAsia="en-IE"/>
              </w:rPr>
              <w:t>€</w:t>
            </w:r>
            <w:r w:rsidR="0083189A">
              <w:rPr>
                <w:rFonts w:ascii="Times New Roman" w:eastAsia="Times New Roman" w:hAnsi="Times New Roman" w:cs="Times New Roman"/>
                <w:color w:val="000000"/>
                <w:lang w:eastAsia="en-IE"/>
              </w:rPr>
              <w:t>)</w:t>
            </w:r>
          </w:p>
        </w:tc>
      </w:tr>
      <w:tr w:rsidR="00485CB6"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 </w:t>
            </w:r>
          </w:p>
        </w:tc>
        <w:tc>
          <w:tcPr>
            <w:tcW w:w="2055" w:type="dxa"/>
            <w:hideMark/>
          </w:tcPr>
          <w:p w:rsidR="00485CB6" w:rsidRPr="005C4524" w:rsidRDefault="00485CB6" w:rsidP="00485C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2056" w:type="dxa"/>
            <w:hideMark/>
          </w:tcPr>
          <w:p w:rsidR="00485CB6" w:rsidRPr="005C4524" w:rsidRDefault="00485CB6" w:rsidP="00485C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r>
      <w:tr w:rsidR="00485CB6"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Carlow County</w:t>
            </w:r>
          </w:p>
        </w:tc>
        <w:tc>
          <w:tcPr>
            <w:tcW w:w="2055" w:type="dxa"/>
            <w:hideMark/>
          </w:tcPr>
          <w:p w:rsidR="00485CB6" w:rsidRPr="005C4524" w:rsidRDefault="00485CB6" w:rsidP="00485CB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3279.57</w:t>
            </w:r>
          </w:p>
        </w:tc>
        <w:tc>
          <w:tcPr>
            <w:tcW w:w="2056" w:type="dxa"/>
            <w:hideMark/>
          </w:tcPr>
          <w:p w:rsidR="00485CB6" w:rsidRPr="005C4524" w:rsidRDefault="00485CB6"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27,182.01</w:t>
            </w:r>
          </w:p>
        </w:tc>
      </w:tr>
      <w:tr w:rsidR="00485CB6"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Cavan County</w:t>
            </w:r>
          </w:p>
        </w:tc>
        <w:tc>
          <w:tcPr>
            <w:tcW w:w="2055" w:type="dxa"/>
            <w:hideMark/>
          </w:tcPr>
          <w:p w:rsidR="00485CB6" w:rsidRPr="005C4524" w:rsidRDefault="00485CB6" w:rsidP="00485C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3298.03</w:t>
            </w:r>
          </w:p>
        </w:tc>
        <w:tc>
          <w:tcPr>
            <w:tcW w:w="2056" w:type="dxa"/>
            <w:hideMark/>
          </w:tcPr>
          <w:p w:rsidR="00485CB6" w:rsidRPr="005C4524" w:rsidRDefault="00485CB6"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24,271.05</w:t>
            </w:r>
          </w:p>
        </w:tc>
      </w:tr>
      <w:tr w:rsidR="00485CB6"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Clare County</w:t>
            </w:r>
          </w:p>
        </w:tc>
        <w:tc>
          <w:tcPr>
            <w:tcW w:w="2055" w:type="dxa"/>
            <w:hideMark/>
          </w:tcPr>
          <w:p w:rsidR="00485CB6" w:rsidRPr="005C4524" w:rsidRDefault="00485CB6" w:rsidP="00485CB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3932.3</w:t>
            </w:r>
          </w:p>
        </w:tc>
        <w:tc>
          <w:tcPr>
            <w:tcW w:w="2056" w:type="dxa"/>
            <w:hideMark/>
          </w:tcPr>
          <w:p w:rsidR="00485CB6" w:rsidRPr="005C4524" w:rsidRDefault="00485CB6"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35,067.39</w:t>
            </w:r>
          </w:p>
        </w:tc>
      </w:tr>
      <w:tr w:rsidR="00485CB6"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Cork City</w:t>
            </w:r>
          </w:p>
        </w:tc>
        <w:tc>
          <w:tcPr>
            <w:tcW w:w="2055" w:type="dxa"/>
            <w:hideMark/>
          </w:tcPr>
          <w:p w:rsidR="00485CB6" w:rsidRPr="005C4524" w:rsidRDefault="00485CB6" w:rsidP="00485C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6214.88</w:t>
            </w:r>
          </w:p>
        </w:tc>
        <w:tc>
          <w:tcPr>
            <w:tcW w:w="2056" w:type="dxa"/>
            <w:hideMark/>
          </w:tcPr>
          <w:p w:rsidR="00485CB6" w:rsidRPr="005C4524" w:rsidRDefault="00485CB6"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60,158.82</w:t>
            </w:r>
          </w:p>
        </w:tc>
      </w:tr>
      <w:tr w:rsidR="00485CB6"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Cork County</w:t>
            </w:r>
          </w:p>
        </w:tc>
        <w:tc>
          <w:tcPr>
            <w:tcW w:w="2055" w:type="dxa"/>
            <w:hideMark/>
          </w:tcPr>
          <w:p w:rsidR="00485CB6" w:rsidRPr="005C4524" w:rsidRDefault="00485CB6" w:rsidP="00485CB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4031.25</w:t>
            </w:r>
          </w:p>
        </w:tc>
        <w:tc>
          <w:tcPr>
            <w:tcW w:w="2056" w:type="dxa"/>
            <w:hideMark/>
          </w:tcPr>
          <w:p w:rsidR="00485CB6" w:rsidRPr="005C4524" w:rsidRDefault="00485CB6"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25,929.34</w:t>
            </w:r>
          </w:p>
        </w:tc>
      </w:tr>
      <w:tr w:rsidR="00485CB6"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Donegal County</w:t>
            </w:r>
          </w:p>
        </w:tc>
        <w:tc>
          <w:tcPr>
            <w:tcW w:w="2055" w:type="dxa"/>
            <w:hideMark/>
          </w:tcPr>
          <w:p w:rsidR="00485CB6" w:rsidRPr="005C4524" w:rsidRDefault="00485CB6" w:rsidP="00485C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2109.94</w:t>
            </w:r>
          </w:p>
        </w:tc>
        <w:tc>
          <w:tcPr>
            <w:tcW w:w="2056" w:type="dxa"/>
            <w:hideMark/>
          </w:tcPr>
          <w:p w:rsidR="00485CB6" w:rsidRPr="005C4524" w:rsidRDefault="00485CB6"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21,825.38</w:t>
            </w:r>
          </w:p>
        </w:tc>
      </w:tr>
      <w:tr w:rsidR="00485CB6"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Dublin City</w:t>
            </w:r>
          </w:p>
        </w:tc>
        <w:tc>
          <w:tcPr>
            <w:tcW w:w="2055" w:type="dxa"/>
            <w:hideMark/>
          </w:tcPr>
          <w:p w:rsidR="00485CB6" w:rsidRPr="005C4524" w:rsidRDefault="00485CB6" w:rsidP="00485CB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5232.44</w:t>
            </w:r>
          </w:p>
        </w:tc>
        <w:tc>
          <w:tcPr>
            <w:tcW w:w="2056" w:type="dxa"/>
            <w:hideMark/>
          </w:tcPr>
          <w:p w:rsidR="00485CB6" w:rsidRPr="005C4524" w:rsidRDefault="00485CB6"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42,781.59</w:t>
            </w:r>
          </w:p>
        </w:tc>
      </w:tr>
      <w:tr w:rsidR="00485CB6"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 xml:space="preserve">Dun Laoghaire </w:t>
            </w:r>
            <w:proofErr w:type="spellStart"/>
            <w:r w:rsidRPr="005C4524">
              <w:rPr>
                <w:rFonts w:asciiTheme="minorHAnsi" w:eastAsia="Times New Roman" w:hAnsiTheme="minorHAnsi" w:cstheme="minorHAnsi"/>
                <w:color w:val="000000"/>
                <w:lang w:eastAsia="en-IE"/>
              </w:rPr>
              <w:t>Rathdown</w:t>
            </w:r>
            <w:proofErr w:type="spellEnd"/>
          </w:p>
        </w:tc>
        <w:tc>
          <w:tcPr>
            <w:tcW w:w="2055" w:type="dxa"/>
            <w:hideMark/>
          </w:tcPr>
          <w:p w:rsidR="00485CB6" w:rsidRPr="005C4524" w:rsidRDefault="00485CB6" w:rsidP="00485C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2821.32</w:t>
            </w:r>
            <w:r w:rsidR="00431F6E" w:rsidRPr="005C4524">
              <w:rPr>
                <w:rFonts w:eastAsia="Times New Roman" w:cstheme="minorHAnsi"/>
                <w:color w:val="000000"/>
                <w:vertAlign w:val="superscript"/>
                <w:lang w:eastAsia="en-IE"/>
              </w:rPr>
              <w:t>a</w:t>
            </w:r>
          </w:p>
        </w:tc>
        <w:tc>
          <w:tcPr>
            <w:tcW w:w="2056" w:type="dxa"/>
            <w:hideMark/>
          </w:tcPr>
          <w:p w:rsidR="00485CB6" w:rsidRPr="005C4524" w:rsidRDefault="00485CB6"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33,020.61</w:t>
            </w:r>
          </w:p>
        </w:tc>
      </w:tr>
      <w:tr w:rsidR="00485CB6"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proofErr w:type="spellStart"/>
            <w:r w:rsidRPr="005C4524">
              <w:rPr>
                <w:rFonts w:asciiTheme="minorHAnsi" w:eastAsia="Times New Roman" w:hAnsiTheme="minorHAnsi" w:cstheme="minorHAnsi"/>
                <w:color w:val="000000"/>
                <w:lang w:eastAsia="en-IE"/>
              </w:rPr>
              <w:t>Fingal</w:t>
            </w:r>
            <w:proofErr w:type="spellEnd"/>
            <w:r w:rsidRPr="005C4524">
              <w:rPr>
                <w:rFonts w:asciiTheme="minorHAnsi" w:eastAsia="Times New Roman" w:hAnsiTheme="minorHAnsi" w:cstheme="minorHAnsi"/>
                <w:color w:val="000000"/>
                <w:lang w:eastAsia="en-IE"/>
              </w:rPr>
              <w:t xml:space="preserve"> County</w:t>
            </w:r>
          </w:p>
        </w:tc>
        <w:tc>
          <w:tcPr>
            <w:tcW w:w="2055" w:type="dxa"/>
            <w:hideMark/>
          </w:tcPr>
          <w:p w:rsidR="00485CB6" w:rsidRPr="005C4524" w:rsidRDefault="00485CB6" w:rsidP="00485CB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4391.57</w:t>
            </w:r>
          </w:p>
        </w:tc>
        <w:tc>
          <w:tcPr>
            <w:tcW w:w="2056" w:type="dxa"/>
            <w:hideMark/>
          </w:tcPr>
          <w:p w:rsidR="00485CB6" w:rsidRPr="005C4524" w:rsidRDefault="00485CB6"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44,424.50</w:t>
            </w:r>
          </w:p>
        </w:tc>
      </w:tr>
      <w:tr w:rsidR="00485CB6"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Galway City</w:t>
            </w:r>
          </w:p>
        </w:tc>
        <w:tc>
          <w:tcPr>
            <w:tcW w:w="2055" w:type="dxa"/>
            <w:hideMark/>
          </w:tcPr>
          <w:p w:rsidR="00485CB6" w:rsidRPr="005C4524" w:rsidRDefault="00485CB6" w:rsidP="00485C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2056" w:type="dxa"/>
            <w:hideMark/>
          </w:tcPr>
          <w:p w:rsidR="00485CB6" w:rsidRPr="005C4524" w:rsidRDefault="00485CB6"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r>
      <w:tr w:rsidR="00485CB6"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Galway County</w:t>
            </w:r>
          </w:p>
        </w:tc>
        <w:tc>
          <w:tcPr>
            <w:tcW w:w="2055" w:type="dxa"/>
            <w:hideMark/>
          </w:tcPr>
          <w:p w:rsidR="00485CB6" w:rsidRPr="005C4524" w:rsidRDefault="00485CB6" w:rsidP="00485CB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2719.54</w:t>
            </w:r>
          </w:p>
        </w:tc>
        <w:tc>
          <w:tcPr>
            <w:tcW w:w="2056" w:type="dxa"/>
            <w:hideMark/>
          </w:tcPr>
          <w:p w:rsidR="00485CB6" w:rsidRPr="005C4524" w:rsidRDefault="00485CB6"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18,911.90</w:t>
            </w:r>
          </w:p>
        </w:tc>
      </w:tr>
      <w:tr w:rsidR="00485CB6"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Kerry County</w:t>
            </w:r>
          </w:p>
        </w:tc>
        <w:tc>
          <w:tcPr>
            <w:tcW w:w="2055" w:type="dxa"/>
            <w:hideMark/>
          </w:tcPr>
          <w:p w:rsidR="00485CB6" w:rsidRPr="005C4524" w:rsidRDefault="00485CB6" w:rsidP="00485C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3622.63</w:t>
            </w:r>
          </w:p>
        </w:tc>
        <w:tc>
          <w:tcPr>
            <w:tcW w:w="2056" w:type="dxa"/>
            <w:hideMark/>
          </w:tcPr>
          <w:p w:rsidR="00485CB6" w:rsidRPr="005C4524" w:rsidRDefault="00485CB6"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25,475.24</w:t>
            </w:r>
          </w:p>
        </w:tc>
      </w:tr>
      <w:tr w:rsidR="00485CB6"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Kildare County</w:t>
            </w:r>
          </w:p>
        </w:tc>
        <w:tc>
          <w:tcPr>
            <w:tcW w:w="2055" w:type="dxa"/>
            <w:hideMark/>
          </w:tcPr>
          <w:p w:rsidR="00485CB6" w:rsidRPr="005C4524" w:rsidRDefault="00485CB6" w:rsidP="00485CB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3542.36</w:t>
            </w:r>
          </w:p>
        </w:tc>
        <w:tc>
          <w:tcPr>
            <w:tcW w:w="2056" w:type="dxa"/>
            <w:hideMark/>
          </w:tcPr>
          <w:p w:rsidR="00485CB6" w:rsidRPr="005C4524" w:rsidRDefault="00485CB6"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28,056.57</w:t>
            </w:r>
          </w:p>
        </w:tc>
      </w:tr>
      <w:tr w:rsidR="00485CB6"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Kilkenny County</w:t>
            </w:r>
          </w:p>
        </w:tc>
        <w:tc>
          <w:tcPr>
            <w:tcW w:w="2055" w:type="dxa"/>
            <w:hideMark/>
          </w:tcPr>
          <w:p w:rsidR="00485CB6" w:rsidRPr="005C4524" w:rsidRDefault="00485CB6" w:rsidP="00485C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3298.61</w:t>
            </w:r>
          </w:p>
        </w:tc>
        <w:tc>
          <w:tcPr>
            <w:tcW w:w="2056" w:type="dxa"/>
            <w:hideMark/>
          </w:tcPr>
          <w:p w:rsidR="00485CB6" w:rsidRPr="005C4524" w:rsidRDefault="00485CB6"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26,610.06</w:t>
            </w:r>
          </w:p>
        </w:tc>
      </w:tr>
      <w:tr w:rsidR="00485CB6"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Laois County</w:t>
            </w:r>
          </w:p>
        </w:tc>
        <w:tc>
          <w:tcPr>
            <w:tcW w:w="2055" w:type="dxa"/>
            <w:hideMark/>
          </w:tcPr>
          <w:p w:rsidR="00485CB6" w:rsidRPr="005C4524" w:rsidRDefault="00485CB6" w:rsidP="00485CB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3652.6</w:t>
            </w:r>
          </w:p>
        </w:tc>
        <w:tc>
          <w:tcPr>
            <w:tcW w:w="2056" w:type="dxa"/>
            <w:hideMark/>
          </w:tcPr>
          <w:p w:rsidR="00485CB6" w:rsidRPr="005C4524" w:rsidRDefault="00485CB6"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23,952.52</w:t>
            </w:r>
          </w:p>
        </w:tc>
      </w:tr>
      <w:tr w:rsidR="00485CB6"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Leitrim County</w:t>
            </w:r>
          </w:p>
        </w:tc>
        <w:tc>
          <w:tcPr>
            <w:tcW w:w="2055" w:type="dxa"/>
            <w:hideMark/>
          </w:tcPr>
          <w:p w:rsidR="00485CB6" w:rsidRPr="005C4524" w:rsidRDefault="00485CB6" w:rsidP="00485C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6206.37</w:t>
            </w:r>
            <w:r w:rsidR="00B413B1">
              <w:rPr>
                <w:rFonts w:eastAsia="Times New Roman" w:cstheme="minorHAnsi"/>
                <w:color w:val="000000"/>
                <w:vertAlign w:val="superscript"/>
                <w:lang w:eastAsia="en-IE"/>
              </w:rPr>
              <w:t>b</w:t>
            </w:r>
          </w:p>
        </w:tc>
        <w:tc>
          <w:tcPr>
            <w:tcW w:w="2056" w:type="dxa"/>
            <w:hideMark/>
          </w:tcPr>
          <w:p w:rsidR="00485CB6" w:rsidRPr="005C4524" w:rsidRDefault="00485CB6"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43,113.59</w:t>
            </w:r>
          </w:p>
        </w:tc>
      </w:tr>
      <w:tr w:rsidR="00485CB6"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Limerick City &amp; County</w:t>
            </w:r>
          </w:p>
        </w:tc>
        <w:tc>
          <w:tcPr>
            <w:tcW w:w="2055" w:type="dxa"/>
            <w:hideMark/>
          </w:tcPr>
          <w:p w:rsidR="00485CB6" w:rsidRPr="005C4524" w:rsidRDefault="00485CB6" w:rsidP="00485CB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3552.1</w:t>
            </w:r>
          </w:p>
        </w:tc>
        <w:tc>
          <w:tcPr>
            <w:tcW w:w="2056" w:type="dxa"/>
            <w:hideMark/>
          </w:tcPr>
          <w:p w:rsidR="00485CB6" w:rsidRPr="005C4524" w:rsidRDefault="00485CB6"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26,995.42</w:t>
            </w:r>
          </w:p>
        </w:tc>
      </w:tr>
      <w:tr w:rsidR="00485CB6"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Longford County</w:t>
            </w:r>
          </w:p>
        </w:tc>
        <w:tc>
          <w:tcPr>
            <w:tcW w:w="2055" w:type="dxa"/>
            <w:hideMark/>
          </w:tcPr>
          <w:p w:rsidR="00485CB6" w:rsidRPr="005C4524" w:rsidRDefault="00485CB6" w:rsidP="00485C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4565.38</w:t>
            </w:r>
          </w:p>
        </w:tc>
        <w:tc>
          <w:tcPr>
            <w:tcW w:w="2056" w:type="dxa"/>
            <w:hideMark/>
          </w:tcPr>
          <w:p w:rsidR="00485CB6" w:rsidRPr="005C4524" w:rsidRDefault="00485CB6"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41,100.13</w:t>
            </w:r>
          </w:p>
        </w:tc>
      </w:tr>
      <w:tr w:rsidR="00485CB6"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Louth County</w:t>
            </w:r>
          </w:p>
        </w:tc>
        <w:tc>
          <w:tcPr>
            <w:tcW w:w="2055" w:type="dxa"/>
            <w:hideMark/>
          </w:tcPr>
          <w:p w:rsidR="00485CB6" w:rsidRPr="005C4524" w:rsidRDefault="00485CB6" w:rsidP="00485CB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2363.77</w:t>
            </w:r>
          </w:p>
        </w:tc>
        <w:tc>
          <w:tcPr>
            <w:tcW w:w="2056" w:type="dxa"/>
            <w:hideMark/>
          </w:tcPr>
          <w:p w:rsidR="00485CB6" w:rsidRPr="005C4524" w:rsidRDefault="00485CB6"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23,344.87</w:t>
            </w:r>
          </w:p>
        </w:tc>
      </w:tr>
      <w:tr w:rsidR="00485CB6"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Mayo County</w:t>
            </w:r>
          </w:p>
        </w:tc>
        <w:tc>
          <w:tcPr>
            <w:tcW w:w="2055" w:type="dxa"/>
            <w:hideMark/>
          </w:tcPr>
          <w:p w:rsidR="00485CB6" w:rsidRPr="005C4524" w:rsidRDefault="00485CB6" w:rsidP="00485C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2430.38</w:t>
            </w:r>
          </w:p>
        </w:tc>
        <w:tc>
          <w:tcPr>
            <w:tcW w:w="2056" w:type="dxa"/>
            <w:hideMark/>
          </w:tcPr>
          <w:p w:rsidR="00485CB6" w:rsidRPr="005C4524" w:rsidRDefault="00485CB6"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17,299.71</w:t>
            </w:r>
          </w:p>
        </w:tc>
      </w:tr>
      <w:tr w:rsidR="00485CB6"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Meath County</w:t>
            </w:r>
          </w:p>
        </w:tc>
        <w:tc>
          <w:tcPr>
            <w:tcW w:w="2055" w:type="dxa"/>
            <w:hideMark/>
          </w:tcPr>
          <w:p w:rsidR="00485CB6" w:rsidRPr="005C4524" w:rsidRDefault="00485CB6" w:rsidP="00485CB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3673.58</w:t>
            </w:r>
          </w:p>
        </w:tc>
        <w:tc>
          <w:tcPr>
            <w:tcW w:w="2056" w:type="dxa"/>
            <w:hideMark/>
          </w:tcPr>
          <w:p w:rsidR="00485CB6" w:rsidRPr="005C4524" w:rsidRDefault="00485CB6"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19,177.93</w:t>
            </w:r>
          </w:p>
        </w:tc>
      </w:tr>
      <w:tr w:rsidR="00485CB6"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Monaghan County</w:t>
            </w:r>
          </w:p>
        </w:tc>
        <w:tc>
          <w:tcPr>
            <w:tcW w:w="2055" w:type="dxa"/>
            <w:hideMark/>
          </w:tcPr>
          <w:p w:rsidR="00485CB6" w:rsidRPr="005C4524" w:rsidRDefault="00485CB6" w:rsidP="00485C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4829.26</w:t>
            </w:r>
          </w:p>
        </w:tc>
        <w:tc>
          <w:tcPr>
            <w:tcW w:w="2056" w:type="dxa"/>
            <w:hideMark/>
          </w:tcPr>
          <w:p w:rsidR="00485CB6" w:rsidRPr="005C4524" w:rsidRDefault="00485CB6"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34,615.74</w:t>
            </w:r>
          </w:p>
        </w:tc>
      </w:tr>
      <w:tr w:rsidR="00485CB6"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Offaly County</w:t>
            </w:r>
          </w:p>
        </w:tc>
        <w:tc>
          <w:tcPr>
            <w:tcW w:w="2055" w:type="dxa"/>
            <w:hideMark/>
          </w:tcPr>
          <w:p w:rsidR="00485CB6" w:rsidRPr="005C4524" w:rsidRDefault="00485CB6" w:rsidP="00485CB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3357.04</w:t>
            </w:r>
          </w:p>
        </w:tc>
        <w:tc>
          <w:tcPr>
            <w:tcW w:w="2056" w:type="dxa"/>
            <w:hideMark/>
          </w:tcPr>
          <w:p w:rsidR="00485CB6" w:rsidRPr="005C4524" w:rsidRDefault="00485CB6"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27,660.63</w:t>
            </w:r>
          </w:p>
        </w:tc>
      </w:tr>
      <w:tr w:rsidR="00485CB6"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Roscommon County</w:t>
            </w:r>
          </w:p>
        </w:tc>
        <w:tc>
          <w:tcPr>
            <w:tcW w:w="2055" w:type="dxa"/>
            <w:hideMark/>
          </w:tcPr>
          <w:p w:rsidR="00485CB6" w:rsidRPr="005C4524" w:rsidRDefault="00485CB6" w:rsidP="00485C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3304.46</w:t>
            </w:r>
          </w:p>
        </w:tc>
        <w:tc>
          <w:tcPr>
            <w:tcW w:w="2056" w:type="dxa"/>
            <w:hideMark/>
          </w:tcPr>
          <w:p w:rsidR="00485CB6" w:rsidRPr="005C4524" w:rsidRDefault="00485CB6"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22,086.68</w:t>
            </w:r>
          </w:p>
        </w:tc>
      </w:tr>
      <w:tr w:rsidR="00485CB6"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Sligo County</w:t>
            </w:r>
          </w:p>
        </w:tc>
        <w:tc>
          <w:tcPr>
            <w:tcW w:w="2055" w:type="dxa"/>
            <w:hideMark/>
          </w:tcPr>
          <w:p w:rsidR="00485CB6" w:rsidRPr="005C4524" w:rsidRDefault="00485CB6" w:rsidP="00485CB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2327.47</w:t>
            </w:r>
          </w:p>
        </w:tc>
        <w:tc>
          <w:tcPr>
            <w:tcW w:w="2056" w:type="dxa"/>
            <w:hideMark/>
          </w:tcPr>
          <w:p w:rsidR="00485CB6" w:rsidRPr="005C4524" w:rsidRDefault="00485CB6"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31,317.89</w:t>
            </w:r>
          </w:p>
        </w:tc>
      </w:tr>
      <w:tr w:rsidR="00485CB6"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South Dublin County</w:t>
            </w:r>
          </w:p>
        </w:tc>
        <w:tc>
          <w:tcPr>
            <w:tcW w:w="2055" w:type="dxa"/>
            <w:hideMark/>
          </w:tcPr>
          <w:p w:rsidR="00485CB6" w:rsidRPr="005C4524" w:rsidRDefault="00485CB6" w:rsidP="00485C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4572.69</w:t>
            </w:r>
          </w:p>
        </w:tc>
        <w:tc>
          <w:tcPr>
            <w:tcW w:w="2056" w:type="dxa"/>
            <w:hideMark/>
          </w:tcPr>
          <w:p w:rsidR="00485CB6" w:rsidRPr="005C4524" w:rsidRDefault="00485CB6"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34,162.72</w:t>
            </w:r>
          </w:p>
        </w:tc>
      </w:tr>
      <w:tr w:rsidR="00485CB6"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Tipperary County</w:t>
            </w:r>
          </w:p>
        </w:tc>
        <w:tc>
          <w:tcPr>
            <w:tcW w:w="2055" w:type="dxa"/>
            <w:hideMark/>
          </w:tcPr>
          <w:p w:rsidR="00485CB6" w:rsidRPr="005C4524" w:rsidRDefault="00485CB6" w:rsidP="00485CB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3779.43</w:t>
            </w:r>
          </w:p>
        </w:tc>
        <w:tc>
          <w:tcPr>
            <w:tcW w:w="2056" w:type="dxa"/>
            <w:hideMark/>
          </w:tcPr>
          <w:p w:rsidR="00485CB6" w:rsidRPr="005C4524" w:rsidRDefault="00485CB6"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18,721.64</w:t>
            </w:r>
          </w:p>
        </w:tc>
      </w:tr>
      <w:tr w:rsidR="00485CB6"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Waterford City &amp; County</w:t>
            </w:r>
          </w:p>
        </w:tc>
        <w:tc>
          <w:tcPr>
            <w:tcW w:w="2055" w:type="dxa"/>
            <w:hideMark/>
          </w:tcPr>
          <w:p w:rsidR="00485CB6" w:rsidRPr="005C4524" w:rsidRDefault="00485CB6" w:rsidP="00485C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4396.45</w:t>
            </w:r>
          </w:p>
        </w:tc>
        <w:tc>
          <w:tcPr>
            <w:tcW w:w="2056" w:type="dxa"/>
            <w:hideMark/>
          </w:tcPr>
          <w:p w:rsidR="00485CB6" w:rsidRPr="005C4524" w:rsidRDefault="00485CB6"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35,629.67</w:t>
            </w:r>
          </w:p>
        </w:tc>
      </w:tr>
      <w:tr w:rsidR="00485CB6"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Westmeath County</w:t>
            </w:r>
          </w:p>
        </w:tc>
        <w:tc>
          <w:tcPr>
            <w:tcW w:w="2055" w:type="dxa"/>
            <w:hideMark/>
          </w:tcPr>
          <w:p w:rsidR="00485CB6" w:rsidRPr="005C4524" w:rsidRDefault="00485CB6" w:rsidP="00485CB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3603.94</w:t>
            </w:r>
          </w:p>
        </w:tc>
        <w:tc>
          <w:tcPr>
            <w:tcW w:w="2056" w:type="dxa"/>
            <w:hideMark/>
          </w:tcPr>
          <w:p w:rsidR="00485CB6" w:rsidRPr="005C4524" w:rsidRDefault="00485CB6"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27,892.26</w:t>
            </w:r>
          </w:p>
        </w:tc>
      </w:tr>
      <w:tr w:rsidR="00485CB6" w:rsidRPr="005C4524" w:rsidTr="001061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Wexford County</w:t>
            </w:r>
          </w:p>
        </w:tc>
        <w:tc>
          <w:tcPr>
            <w:tcW w:w="2055" w:type="dxa"/>
            <w:hideMark/>
          </w:tcPr>
          <w:p w:rsidR="00485CB6" w:rsidRPr="005C4524" w:rsidRDefault="00485CB6" w:rsidP="00485C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4833.82</w:t>
            </w:r>
          </w:p>
        </w:tc>
        <w:tc>
          <w:tcPr>
            <w:tcW w:w="2056" w:type="dxa"/>
            <w:hideMark/>
          </w:tcPr>
          <w:p w:rsidR="00485CB6" w:rsidRPr="005C4524" w:rsidRDefault="00485CB6"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26,453.27</w:t>
            </w:r>
          </w:p>
        </w:tc>
      </w:tr>
      <w:tr w:rsidR="00485CB6" w:rsidRPr="005C4524" w:rsidTr="0010610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9" w:type="dxa"/>
            <w:noWrap/>
            <w:hideMark/>
          </w:tcPr>
          <w:p w:rsidR="00485CB6" w:rsidRPr="005C4524" w:rsidRDefault="00485CB6" w:rsidP="00485CB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Wicklow County</w:t>
            </w:r>
          </w:p>
        </w:tc>
        <w:tc>
          <w:tcPr>
            <w:tcW w:w="2055" w:type="dxa"/>
            <w:hideMark/>
          </w:tcPr>
          <w:p w:rsidR="00485CB6" w:rsidRPr="005C4524" w:rsidRDefault="00485CB6" w:rsidP="00485CB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3283.23</w:t>
            </w:r>
          </w:p>
        </w:tc>
        <w:tc>
          <w:tcPr>
            <w:tcW w:w="2056" w:type="dxa"/>
            <w:hideMark/>
          </w:tcPr>
          <w:p w:rsidR="00485CB6" w:rsidRPr="005C4524" w:rsidRDefault="00485CB6"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20,787.80</w:t>
            </w:r>
          </w:p>
        </w:tc>
      </w:tr>
    </w:tbl>
    <w:p w:rsidR="00485CB6" w:rsidRDefault="00485CB6" w:rsidP="00E80676">
      <w:pPr>
        <w:spacing w:after="0" w:line="240" w:lineRule="auto"/>
        <w:rPr>
          <w:rFonts w:eastAsia="Times New Roman" w:cstheme="minorHAnsi"/>
          <w:b/>
          <w:bCs/>
          <w:color w:val="000000"/>
          <w:lang w:eastAsia="en-IE"/>
        </w:rPr>
      </w:pPr>
    </w:p>
    <w:p w:rsidR="00431F6E" w:rsidRDefault="00431F6E" w:rsidP="002B153D">
      <w:pPr>
        <w:spacing w:after="0" w:line="240" w:lineRule="auto"/>
        <w:rPr>
          <w:rFonts w:eastAsia="Times New Roman" w:cstheme="minorHAnsi"/>
          <w:b/>
          <w:bCs/>
          <w:color w:val="000000"/>
          <w:lang w:eastAsia="en-IE"/>
        </w:rPr>
      </w:pPr>
    </w:p>
    <w:p w:rsidR="00431F6E" w:rsidRPr="009660A3" w:rsidRDefault="00431F6E" w:rsidP="002B153D">
      <w:pPr>
        <w:spacing w:after="0" w:line="240" w:lineRule="auto"/>
        <w:jc w:val="both"/>
        <w:rPr>
          <w:rFonts w:eastAsia="Times New Roman" w:cstheme="minorHAnsi"/>
          <w:bCs/>
          <w:color w:val="000000"/>
          <w:sz w:val="18"/>
          <w:szCs w:val="18"/>
          <w:lang w:eastAsia="en-IE"/>
        </w:rPr>
      </w:pPr>
      <w:proofErr w:type="gramStart"/>
      <w:r w:rsidRPr="009660A3">
        <w:rPr>
          <w:rFonts w:eastAsia="Times New Roman" w:cstheme="minorHAnsi"/>
          <w:bCs/>
          <w:color w:val="000000"/>
          <w:sz w:val="18"/>
          <w:szCs w:val="18"/>
          <w:vertAlign w:val="superscript"/>
          <w:lang w:eastAsia="en-IE"/>
        </w:rPr>
        <w:t>a</w:t>
      </w:r>
      <w:proofErr w:type="gramEnd"/>
      <w:r w:rsidRPr="009660A3">
        <w:rPr>
          <w:rFonts w:eastAsia="Times New Roman" w:cstheme="minorHAnsi"/>
          <w:bCs/>
          <w:color w:val="000000"/>
          <w:sz w:val="18"/>
          <w:szCs w:val="18"/>
          <w:vertAlign w:val="superscript"/>
          <w:lang w:eastAsia="en-IE"/>
        </w:rPr>
        <w:t xml:space="preserve"> </w:t>
      </w:r>
      <w:r w:rsidRPr="009660A3">
        <w:rPr>
          <w:rFonts w:eastAsia="Times New Roman" w:cstheme="minorHAnsi"/>
          <w:bCs/>
          <w:color w:val="000000"/>
          <w:sz w:val="18"/>
          <w:szCs w:val="18"/>
          <w:u w:val="single"/>
          <w:lang w:eastAsia="en-IE"/>
        </w:rPr>
        <w:t>DLR:</w:t>
      </w:r>
      <w:r w:rsidRPr="009660A3">
        <w:rPr>
          <w:rFonts w:eastAsia="Times New Roman" w:cstheme="minorHAnsi"/>
          <w:bCs/>
          <w:color w:val="000000"/>
          <w:sz w:val="18"/>
          <w:szCs w:val="18"/>
          <w:lang w:eastAsia="en-IE"/>
        </w:rPr>
        <w:t xml:space="preserve"> Blackrock Library reopened 16/06/14; footfall multiplied by 34 weeks only. Dun Laoghaire Library closed 12/9/14; no co</w:t>
      </w:r>
      <w:r w:rsidR="00CF3DE2">
        <w:rPr>
          <w:rFonts w:eastAsia="Times New Roman" w:cstheme="minorHAnsi"/>
          <w:bCs/>
          <w:color w:val="000000"/>
          <w:sz w:val="18"/>
          <w:szCs w:val="18"/>
          <w:lang w:eastAsia="en-IE"/>
        </w:rPr>
        <w:t>unt included in 2014 returns</w:t>
      </w:r>
      <w:r w:rsidRPr="009660A3">
        <w:rPr>
          <w:rFonts w:eastAsia="Times New Roman" w:cstheme="minorHAnsi"/>
          <w:bCs/>
          <w:color w:val="000000"/>
          <w:sz w:val="18"/>
          <w:szCs w:val="18"/>
          <w:lang w:eastAsia="en-IE"/>
        </w:rPr>
        <w:t>.</w:t>
      </w:r>
    </w:p>
    <w:p w:rsidR="00431F6E" w:rsidRPr="009660A3" w:rsidRDefault="00B413B1" w:rsidP="002B153D">
      <w:pPr>
        <w:spacing w:after="0" w:line="240" w:lineRule="auto"/>
        <w:jc w:val="both"/>
        <w:rPr>
          <w:rFonts w:eastAsia="Times New Roman" w:cstheme="minorHAnsi"/>
          <w:bCs/>
          <w:color w:val="000000"/>
          <w:sz w:val="18"/>
          <w:szCs w:val="18"/>
          <w:lang w:eastAsia="en-IE"/>
        </w:rPr>
      </w:pPr>
      <w:proofErr w:type="gramStart"/>
      <w:r>
        <w:rPr>
          <w:rFonts w:eastAsia="Times New Roman" w:cstheme="minorHAnsi"/>
          <w:bCs/>
          <w:color w:val="000000"/>
          <w:sz w:val="18"/>
          <w:szCs w:val="18"/>
          <w:vertAlign w:val="superscript"/>
          <w:lang w:eastAsia="en-IE"/>
        </w:rPr>
        <w:t>b</w:t>
      </w:r>
      <w:proofErr w:type="gramEnd"/>
      <w:r w:rsidR="00431F6E" w:rsidRPr="009660A3">
        <w:rPr>
          <w:rFonts w:eastAsia="Times New Roman" w:cstheme="minorHAnsi"/>
          <w:bCs/>
          <w:color w:val="000000"/>
          <w:sz w:val="18"/>
          <w:szCs w:val="18"/>
          <w:vertAlign w:val="superscript"/>
          <w:lang w:eastAsia="en-IE"/>
        </w:rPr>
        <w:t xml:space="preserve"> </w:t>
      </w:r>
      <w:r w:rsidR="00431F6E" w:rsidRPr="009660A3">
        <w:rPr>
          <w:rFonts w:eastAsia="Times New Roman" w:cstheme="minorHAnsi"/>
          <w:bCs/>
          <w:color w:val="000000"/>
          <w:sz w:val="18"/>
          <w:szCs w:val="18"/>
          <w:u w:val="single"/>
          <w:lang w:eastAsia="en-IE"/>
        </w:rPr>
        <w:t>Leitrim:</w:t>
      </w:r>
      <w:r w:rsidR="00431F6E" w:rsidRPr="009660A3">
        <w:rPr>
          <w:rFonts w:eastAsia="Times New Roman" w:cstheme="minorHAnsi"/>
          <w:bCs/>
          <w:color w:val="000000"/>
          <w:sz w:val="18"/>
          <w:szCs w:val="18"/>
          <w:lang w:eastAsia="en-IE"/>
        </w:rPr>
        <w:t xml:space="preserve"> Count in October 2014 related to 5 full time libraries only and did not include 4 part-time libraries - these will be included for 2015.</w:t>
      </w:r>
    </w:p>
    <w:p w:rsidR="00431F6E" w:rsidRDefault="00431F6E" w:rsidP="00E80676">
      <w:pPr>
        <w:spacing w:after="0" w:line="240" w:lineRule="auto"/>
        <w:rPr>
          <w:rFonts w:eastAsia="Times New Roman" w:cstheme="minorHAnsi"/>
          <w:b/>
          <w:bCs/>
          <w:color w:val="000000"/>
          <w:lang w:eastAsia="en-IE"/>
        </w:rPr>
      </w:pPr>
    </w:p>
    <w:p w:rsidR="00485CB6" w:rsidRDefault="00485CB6" w:rsidP="00E80676">
      <w:pPr>
        <w:spacing w:after="0" w:line="240" w:lineRule="auto"/>
        <w:rPr>
          <w:rFonts w:eastAsia="Times New Roman" w:cstheme="minorHAnsi"/>
          <w:b/>
          <w:bCs/>
          <w:color w:val="000000"/>
          <w:lang w:eastAsia="en-IE"/>
        </w:rPr>
      </w:pPr>
    </w:p>
    <w:p w:rsidR="00FC1701" w:rsidRPr="00B97E75" w:rsidRDefault="00FC1701" w:rsidP="00E80676">
      <w:pPr>
        <w:spacing w:after="0" w:line="240" w:lineRule="auto"/>
        <w:rPr>
          <w:rFonts w:eastAsia="Times New Roman" w:cstheme="minorHAnsi"/>
          <w:b/>
          <w:bCs/>
          <w:color w:val="000000"/>
          <w:lang w:eastAsia="en-IE"/>
        </w:rPr>
      </w:pPr>
    </w:p>
    <w:tbl>
      <w:tblPr>
        <w:tblW w:w="4972" w:type="dxa"/>
        <w:tblInd w:w="98" w:type="dxa"/>
        <w:tblLook w:val="04A0" w:firstRow="1" w:lastRow="0" w:firstColumn="1" w:lastColumn="0" w:noHBand="0" w:noVBand="1"/>
      </w:tblPr>
      <w:tblGrid>
        <w:gridCol w:w="967"/>
        <w:gridCol w:w="2460"/>
        <w:gridCol w:w="1552"/>
      </w:tblGrid>
      <w:tr w:rsidR="0021459B" w:rsidRPr="00B97E75" w:rsidTr="00137C7C">
        <w:trPr>
          <w:trHeight w:val="765"/>
        </w:trPr>
        <w:tc>
          <w:tcPr>
            <w:tcW w:w="3420" w:type="dxa"/>
            <w:gridSpan w:val="2"/>
            <w:tcBorders>
              <w:top w:val="single" w:sz="8" w:space="0" w:color="auto"/>
              <w:left w:val="single" w:sz="8" w:space="0" w:color="auto"/>
              <w:bottom w:val="single" w:sz="4" w:space="0" w:color="auto"/>
              <w:right w:val="single" w:sz="4" w:space="0" w:color="auto"/>
            </w:tcBorders>
            <w:shd w:val="clear" w:color="auto" w:fill="B6DDE8" w:themeFill="accent5" w:themeFillTint="66"/>
            <w:noWrap/>
            <w:vAlign w:val="center"/>
            <w:hideMark/>
          </w:tcPr>
          <w:p w:rsidR="0021459B" w:rsidRPr="00B97E75" w:rsidRDefault="0021459B" w:rsidP="00EE2034">
            <w:pPr>
              <w:spacing w:after="0" w:line="240" w:lineRule="auto"/>
              <w:rPr>
                <w:rFonts w:eastAsia="Times New Roman" w:cstheme="minorHAnsi"/>
                <w:color w:val="000000"/>
                <w:lang w:eastAsia="en-IE"/>
              </w:rPr>
            </w:pPr>
            <w:r w:rsidRPr="00B97E75">
              <w:rPr>
                <w:rFonts w:eastAsia="Times New Roman" w:cstheme="minorHAnsi"/>
                <w:color w:val="000000"/>
                <w:lang w:eastAsia="en-IE"/>
              </w:rPr>
              <w:lastRenderedPageBreak/>
              <w:t> </w:t>
            </w:r>
          </w:p>
          <w:p w:rsidR="0021459B" w:rsidRPr="00B97E75" w:rsidRDefault="0021459B"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 </w:t>
            </w:r>
          </w:p>
        </w:tc>
        <w:tc>
          <w:tcPr>
            <w:tcW w:w="1552" w:type="dxa"/>
            <w:tcBorders>
              <w:top w:val="single" w:sz="8" w:space="0" w:color="auto"/>
              <w:left w:val="nil"/>
              <w:bottom w:val="single" w:sz="4" w:space="0" w:color="auto"/>
              <w:right w:val="single" w:sz="8" w:space="0" w:color="auto"/>
            </w:tcBorders>
            <w:shd w:val="clear" w:color="auto" w:fill="B6DDE8" w:themeFill="accent5" w:themeFillTint="66"/>
            <w:vAlign w:val="center"/>
            <w:hideMark/>
          </w:tcPr>
          <w:p w:rsidR="0021459B" w:rsidRPr="00B97E75" w:rsidRDefault="0021459B" w:rsidP="00EE2034">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Cost per 1,000 Population</w:t>
            </w:r>
            <w:r w:rsidR="00137C7C">
              <w:rPr>
                <w:rFonts w:eastAsia="Times New Roman" w:cstheme="minorHAnsi"/>
                <w:b/>
                <w:bCs/>
                <w:color w:val="000000"/>
                <w:lang w:eastAsia="en-IE"/>
              </w:rPr>
              <w:t xml:space="preserve"> (€)</w:t>
            </w:r>
          </w:p>
        </w:tc>
      </w:tr>
      <w:tr w:rsidR="0021459B" w:rsidRPr="00B97E75" w:rsidTr="00137C7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1459B" w:rsidRPr="00B97E75" w:rsidRDefault="0021459B" w:rsidP="00A652DA">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2460" w:type="dxa"/>
            <w:tcBorders>
              <w:top w:val="nil"/>
              <w:left w:val="nil"/>
              <w:bottom w:val="single" w:sz="4" w:space="0" w:color="auto"/>
              <w:right w:val="single" w:sz="4" w:space="0" w:color="auto"/>
            </w:tcBorders>
            <w:shd w:val="clear" w:color="auto" w:fill="auto"/>
            <w:noWrap/>
            <w:vAlign w:val="bottom"/>
            <w:hideMark/>
          </w:tcPr>
          <w:p w:rsidR="0021459B" w:rsidRPr="00CF3DE2" w:rsidRDefault="0021459B" w:rsidP="00A652DA">
            <w:pPr>
              <w:spacing w:after="0" w:line="240" w:lineRule="auto"/>
              <w:rPr>
                <w:rFonts w:eastAsia="Times New Roman" w:cstheme="minorHAnsi"/>
                <w:bCs/>
                <w:color w:val="000000"/>
                <w:lang w:eastAsia="en-IE"/>
              </w:rPr>
            </w:pPr>
            <w:r w:rsidRPr="00CF3DE2">
              <w:rPr>
                <w:rFonts w:eastAsia="Times New Roman" w:cstheme="minorHAnsi"/>
                <w:bCs/>
                <w:color w:val="000000"/>
                <w:lang w:eastAsia="en-IE"/>
              </w:rPr>
              <w:t>Valid</w:t>
            </w:r>
          </w:p>
        </w:tc>
        <w:tc>
          <w:tcPr>
            <w:tcW w:w="1552" w:type="dxa"/>
            <w:tcBorders>
              <w:top w:val="nil"/>
              <w:left w:val="nil"/>
              <w:bottom w:val="single" w:sz="4" w:space="0" w:color="auto"/>
              <w:right w:val="single" w:sz="8" w:space="0" w:color="auto"/>
            </w:tcBorders>
            <w:shd w:val="clear" w:color="auto" w:fill="auto"/>
            <w:noWrap/>
            <w:vAlign w:val="bottom"/>
            <w:hideMark/>
          </w:tcPr>
          <w:p w:rsidR="0021459B" w:rsidRPr="00B97E75" w:rsidRDefault="0021459B" w:rsidP="00A652DA">
            <w:pPr>
              <w:spacing w:after="0" w:line="240" w:lineRule="auto"/>
              <w:jc w:val="right"/>
              <w:rPr>
                <w:rFonts w:eastAsia="Times New Roman" w:cstheme="minorHAnsi"/>
                <w:color w:val="000000"/>
                <w:lang w:eastAsia="en-IE"/>
              </w:rPr>
            </w:pPr>
            <w:r w:rsidRPr="00B97E75">
              <w:rPr>
                <w:rFonts w:eastAsia="Times New Roman" w:cstheme="minorHAnsi"/>
                <w:color w:val="000000"/>
                <w:lang w:eastAsia="en-IE"/>
              </w:rPr>
              <w:t>30</w:t>
            </w:r>
          </w:p>
        </w:tc>
      </w:tr>
      <w:tr w:rsidR="0021459B" w:rsidRPr="00B97E75" w:rsidTr="00137C7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1459B" w:rsidRPr="00B97E75" w:rsidRDefault="0021459B" w:rsidP="00A652DA">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2460" w:type="dxa"/>
            <w:tcBorders>
              <w:top w:val="nil"/>
              <w:left w:val="nil"/>
              <w:bottom w:val="single" w:sz="4" w:space="0" w:color="auto"/>
              <w:right w:val="single" w:sz="4" w:space="0" w:color="auto"/>
            </w:tcBorders>
            <w:shd w:val="clear" w:color="auto" w:fill="auto"/>
            <w:noWrap/>
            <w:vAlign w:val="bottom"/>
            <w:hideMark/>
          </w:tcPr>
          <w:p w:rsidR="0021459B" w:rsidRPr="00CF3DE2" w:rsidRDefault="0021459B" w:rsidP="00A652DA">
            <w:pPr>
              <w:spacing w:after="0" w:line="240" w:lineRule="auto"/>
              <w:rPr>
                <w:rFonts w:eastAsia="Times New Roman" w:cstheme="minorHAnsi"/>
                <w:bCs/>
                <w:color w:val="000000"/>
                <w:lang w:eastAsia="en-IE"/>
              </w:rPr>
            </w:pPr>
            <w:r w:rsidRPr="00CF3DE2">
              <w:rPr>
                <w:rFonts w:eastAsia="Times New Roman" w:cstheme="minorHAnsi"/>
                <w:bCs/>
                <w:color w:val="000000"/>
                <w:lang w:eastAsia="en-IE"/>
              </w:rPr>
              <w:t>Not Applicable</w:t>
            </w:r>
          </w:p>
        </w:tc>
        <w:tc>
          <w:tcPr>
            <w:tcW w:w="1552" w:type="dxa"/>
            <w:tcBorders>
              <w:top w:val="nil"/>
              <w:left w:val="nil"/>
              <w:bottom w:val="single" w:sz="4" w:space="0" w:color="auto"/>
              <w:right w:val="single" w:sz="8" w:space="0" w:color="auto"/>
            </w:tcBorders>
            <w:shd w:val="clear" w:color="auto" w:fill="auto"/>
            <w:noWrap/>
            <w:vAlign w:val="bottom"/>
            <w:hideMark/>
          </w:tcPr>
          <w:p w:rsidR="0021459B" w:rsidRPr="00B97E75" w:rsidRDefault="0021459B" w:rsidP="00A652DA">
            <w:pPr>
              <w:spacing w:after="0" w:line="240" w:lineRule="auto"/>
              <w:jc w:val="right"/>
              <w:rPr>
                <w:rFonts w:eastAsia="Times New Roman" w:cstheme="minorHAnsi"/>
                <w:color w:val="000000"/>
                <w:lang w:eastAsia="en-IE"/>
              </w:rPr>
            </w:pPr>
            <w:r w:rsidRPr="00B97E75">
              <w:rPr>
                <w:rFonts w:eastAsia="Times New Roman" w:cstheme="minorHAnsi"/>
                <w:color w:val="000000"/>
                <w:lang w:eastAsia="en-IE"/>
              </w:rPr>
              <w:t>1</w:t>
            </w:r>
          </w:p>
        </w:tc>
      </w:tr>
      <w:tr w:rsidR="0021459B" w:rsidRPr="00B97E75" w:rsidTr="00137C7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1459B" w:rsidRPr="00CF3DE2" w:rsidRDefault="0021459B" w:rsidP="00A652DA">
            <w:pPr>
              <w:spacing w:after="0" w:line="240" w:lineRule="auto"/>
              <w:rPr>
                <w:rFonts w:eastAsia="Times New Roman" w:cstheme="minorHAnsi"/>
                <w:b/>
                <w:color w:val="000000"/>
                <w:lang w:eastAsia="en-IE"/>
              </w:rPr>
            </w:pPr>
            <w:r w:rsidRPr="00CF3DE2">
              <w:rPr>
                <w:rFonts w:eastAsia="Times New Roman" w:cstheme="minorHAnsi"/>
                <w:b/>
                <w:color w:val="000000"/>
                <w:lang w:eastAsia="en-IE"/>
              </w:rPr>
              <w:t>Average</w:t>
            </w:r>
          </w:p>
        </w:tc>
        <w:tc>
          <w:tcPr>
            <w:tcW w:w="2460" w:type="dxa"/>
            <w:tcBorders>
              <w:top w:val="nil"/>
              <w:left w:val="nil"/>
              <w:bottom w:val="single" w:sz="4" w:space="0" w:color="auto"/>
              <w:right w:val="single" w:sz="4" w:space="0" w:color="auto"/>
            </w:tcBorders>
            <w:shd w:val="clear" w:color="auto" w:fill="auto"/>
            <w:noWrap/>
            <w:vAlign w:val="bottom"/>
            <w:hideMark/>
          </w:tcPr>
          <w:p w:rsidR="0021459B" w:rsidRPr="00B97E75" w:rsidRDefault="0021459B" w:rsidP="00A652DA">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552" w:type="dxa"/>
            <w:tcBorders>
              <w:top w:val="nil"/>
              <w:left w:val="nil"/>
              <w:bottom w:val="single" w:sz="4" w:space="0" w:color="auto"/>
              <w:right w:val="single" w:sz="8" w:space="0" w:color="auto"/>
            </w:tcBorders>
            <w:shd w:val="clear" w:color="auto" w:fill="auto"/>
            <w:noWrap/>
            <w:vAlign w:val="bottom"/>
            <w:hideMark/>
          </w:tcPr>
          <w:p w:rsidR="0021459B" w:rsidRPr="00CF3DE2" w:rsidRDefault="0021459B" w:rsidP="00A652DA">
            <w:pPr>
              <w:spacing w:after="0" w:line="240" w:lineRule="auto"/>
              <w:jc w:val="right"/>
              <w:rPr>
                <w:rFonts w:eastAsia="Times New Roman" w:cstheme="minorHAnsi"/>
                <w:b/>
                <w:color w:val="000000"/>
                <w:lang w:eastAsia="en-IE"/>
              </w:rPr>
            </w:pPr>
            <w:r w:rsidRPr="00CF3DE2">
              <w:rPr>
                <w:rFonts w:eastAsia="Times New Roman" w:cstheme="minorHAnsi"/>
                <w:b/>
                <w:color w:val="000000"/>
                <w:lang w:eastAsia="en-IE"/>
              </w:rPr>
              <w:t>27,088.72</w:t>
            </w:r>
          </w:p>
        </w:tc>
      </w:tr>
      <w:tr w:rsidR="0021459B" w:rsidRPr="00B97E75" w:rsidTr="00137C7C">
        <w:trPr>
          <w:trHeight w:val="27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21459B" w:rsidRPr="00B97E75" w:rsidRDefault="0021459B" w:rsidP="00A652DA">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2460" w:type="dxa"/>
            <w:tcBorders>
              <w:top w:val="nil"/>
              <w:left w:val="nil"/>
              <w:bottom w:val="single" w:sz="8" w:space="0" w:color="auto"/>
              <w:right w:val="single" w:sz="4" w:space="0" w:color="auto"/>
            </w:tcBorders>
            <w:shd w:val="clear" w:color="auto" w:fill="auto"/>
            <w:noWrap/>
            <w:vAlign w:val="bottom"/>
            <w:hideMark/>
          </w:tcPr>
          <w:p w:rsidR="0021459B" w:rsidRPr="00CF3DE2" w:rsidRDefault="0021459B" w:rsidP="00A652DA">
            <w:pPr>
              <w:spacing w:after="0" w:line="240" w:lineRule="auto"/>
              <w:rPr>
                <w:rFonts w:eastAsia="Times New Roman" w:cstheme="minorHAnsi"/>
                <w:bCs/>
                <w:color w:val="000000"/>
                <w:lang w:eastAsia="en-IE"/>
              </w:rPr>
            </w:pPr>
            <w:r w:rsidRPr="00CF3DE2">
              <w:rPr>
                <w:rFonts w:eastAsia="Times New Roman" w:cstheme="minorHAnsi"/>
                <w:bCs/>
                <w:color w:val="000000"/>
                <w:lang w:eastAsia="en-IE"/>
              </w:rPr>
              <w:t>Mean</w:t>
            </w:r>
          </w:p>
        </w:tc>
        <w:tc>
          <w:tcPr>
            <w:tcW w:w="1552" w:type="dxa"/>
            <w:tcBorders>
              <w:top w:val="nil"/>
              <w:left w:val="nil"/>
              <w:bottom w:val="single" w:sz="8" w:space="0" w:color="auto"/>
              <w:right w:val="single" w:sz="8" w:space="0" w:color="auto"/>
            </w:tcBorders>
            <w:shd w:val="clear" w:color="auto" w:fill="auto"/>
            <w:noWrap/>
            <w:vAlign w:val="bottom"/>
            <w:hideMark/>
          </w:tcPr>
          <w:p w:rsidR="0021459B" w:rsidRPr="00B97E75" w:rsidRDefault="0021459B" w:rsidP="00A652DA">
            <w:pPr>
              <w:spacing w:after="0" w:line="240" w:lineRule="auto"/>
              <w:jc w:val="right"/>
              <w:rPr>
                <w:rFonts w:eastAsia="Times New Roman" w:cstheme="minorHAnsi"/>
                <w:color w:val="000000"/>
                <w:lang w:eastAsia="en-IE"/>
              </w:rPr>
            </w:pPr>
            <w:r w:rsidRPr="00B97E75">
              <w:rPr>
                <w:rFonts w:eastAsia="Times New Roman" w:cstheme="minorHAnsi"/>
                <w:color w:val="000000"/>
                <w:lang w:eastAsia="en-IE"/>
              </w:rPr>
              <w:t>29,600.90</w:t>
            </w:r>
          </w:p>
        </w:tc>
      </w:tr>
    </w:tbl>
    <w:p w:rsidR="00201EC9" w:rsidRDefault="00201EC9" w:rsidP="00201EC9">
      <w:pPr>
        <w:spacing w:after="0" w:line="240" w:lineRule="auto"/>
        <w:rPr>
          <w:rFonts w:eastAsia="Times New Roman" w:cstheme="minorHAnsi"/>
          <w:b/>
          <w:bCs/>
          <w:color w:val="000000"/>
          <w:lang w:eastAsia="en-IE"/>
        </w:rPr>
      </w:pPr>
    </w:p>
    <w:p w:rsidR="00B0335E" w:rsidRPr="00B97E75" w:rsidRDefault="00B0335E" w:rsidP="00201EC9">
      <w:pPr>
        <w:spacing w:after="0" w:line="240" w:lineRule="auto"/>
        <w:rPr>
          <w:rFonts w:eastAsia="Times New Roman" w:cstheme="minorHAnsi"/>
          <w:b/>
          <w:bCs/>
          <w:color w:val="000000"/>
          <w:lang w:eastAsia="en-IE"/>
        </w:rPr>
      </w:pPr>
    </w:p>
    <w:tbl>
      <w:tblPr>
        <w:tblW w:w="6808"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7"/>
        <w:gridCol w:w="918"/>
        <w:gridCol w:w="1001"/>
        <w:gridCol w:w="1001"/>
        <w:gridCol w:w="1001"/>
        <w:gridCol w:w="960"/>
        <w:gridCol w:w="1001"/>
      </w:tblGrid>
      <w:tr w:rsidR="0021459B" w:rsidRPr="00B97E75" w:rsidTr="00E17A00">
        <w:trPr>
          <w:trHeight w:val="315"/>
        </w:trPr>
        <w:tc>
          <w:tcPr>
            <w:tcW w:w="6808" w:type="dxa"/>
            <w:gridSpan w:val="7"/>
            <w:shd w:val="clear" w:color="auto" w:fill="auto"/>
            <w:vAlign w:val="center"/>
            <w:hideMark/>
          </w:tcPr>
          <w:p w:rsidR="0021459B" w:rsidRPr="00B97E75" w:rsidRDefault="0021459B"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Summary Statistics 2010 - 2014</w:t>
            </w:r>
          </w:p>
        </w:tc>
      </w:tr>
      <w:tr w:rsidR="0021459B" w:rsidRPr="00B97E75" w:rsidTr="00E17A00">
        <w:trPr>
          <w:trHeight w:val="315"/>
        </w:trPr>
        <w:tc>
          <w:tcPr>
            <w:tcW w:w="1885" w:type="dxa"/>
            <w:gridSpan w:val="2"/>
            <w:shd w:val="clear" w:color="auto" w:fill="B6DDE8" w:themeFill="accent5" w:themeFillTint="66"/>
            <w:vAlign w:val="center"/>
            <w:hideMark/>
          </w:tcPr>
          <w:p w:rsidR="0021459B" w:rsidRPr="00B97E75" w:rsidRDefault="0021459B"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Number of visits to full time libraries per 1,000 population</w:t>
            </w:r>
          </w:p>
        </w:tc>
        <w:tc>
          <w:tcPr>
            <w:tcW w:w="1001" w:type="dxa"/>
            <w:shd w:val="clear" w:color="auto" w:fill="B6DDE8" w:themeFill="accent5" w:themeFillTint="66"/>
            <w:vAlign w:val="center"/>
            <w:hideMark/>
          </w:tcPr>
          <w:p w:rsidR="0021459B" w:rsidRPr="00B97E75" w:rsidRDefault="0021459B" w:rsidP="00E17A00">
            <w:pPr>
              <w:spacing w:after="0" w:line="240" w:lineRule="auto"/>
              <w:rPr>
                <w:rFonts w:eastAsia="Times New Roman" w:cstheme="minorHAnsi"/>
                <w:b/>
                <w:bCs/>
                <w:color w:val="000000"/>
                <w:lang w:eastAsia="en-IE"/>
              </w:rPr>
            </w:pPr>
          </w:p>
          <w:p w:rsidR="0021459B" w:rsidRPr="00B97E75" w:rsidRDefault="0021459B"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2010</w:t>
            </w:r>
          </w:p>
        </w:tc>
        <w:tc>
          <w:tcPr>
            <w:tcW w:w="1001" w:type="dxa"/>
            <w:shd w:val="clear" w:color="auto" w:fill="B6DDE8" w:themeFill="accent5" w:themeFillTint="66"/>
            <w:vAlign w:val="center"/>
            <w:hideMark/>
          </w:tcPr>
          <w:p w:rsidR="0021459B" w:rsidRPr="00B97E75" w:rsidRDefault="0021459B" w:rsidP="00E17A00">
            <w:pPr>
              <w:spacing w:after="0" w:line="240" w:lineRule="auto"/>
              <w:rPr>
                <w:rFonts w:eastAsia="Times New Roman" w:cstheme="minorHAnsi"/>
                <w:b/>
                <w:bCs/>
                <w:color w:val="000000"/>
                <w:lang w:eastAsia="en-IE"/>
              </w:rPr>
            </w:pPr>
          </w:p>
          <w:p w:rsidR="0021459B" w:rsidRPr="00B97E75" w:rsidRDefault="0021459B"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2011</w:t>
            </w:r>
          </w:p>
        </w:tc>
        <w:tc>
          <w:tcPr>
            <w:tcW w:w="1001" w:type="dxa"/>
            <w:shd w:val="clear" w:color="auto" w:fill="B6DDE8" w:themeFill="accent5" w:themeFillTint="66"/>
            <w:vAlign w:val="center"/>
            <w:hideMark/>
          </w:tcPr>
          <w:p w:rsidR="0021459B" w:rsidRPr="00B97E75" w:rsidRDefault="0021459B" w:rsidP="00E17A00">
            <w:pPr>
              <w:spacing w:after="0" w:line="240" w:lineRule="auto"/>
              <w:rPr>
                <w:rFonts w:eastAsia="Times New Roman" w:cstheme="minorHAnsi"/>
                <w:b/>
                <w:bCs/>
                <w:color w:val="000000"/>
                <w:lang w:eastAsia="en-IE"/>
              </w:rPr>
            </w:pPr>
          </w:p>
          <w:p w:rsidR="0021459B" w:rsidRPr="00B97E75" w:rsidRDefault="0021459B"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2012</w:t>
            </w:r>
          </w:p>
        </w:tc>
        <w:tc>
          <w:tcPr>
            <w:tcW w:w="960" w:type="dxa"/>
            <w:shd w:val="clear" w:color="auto" w:fill="B6DDE8" w:themeFill="accent5" w:themeFillTint="66"/>
            <w:vAlign w:val="center"/>
            <w:hideMark/>
          </w:tcPr>
          <w:p w:rsidR="0021459B" w:rsidRPr="00B97E75" w:rsidRDefault="0021459B" w:rsidP="00E17A00">
            <w:pPr>
              <w:spacing w:after="0" w:line="240" w:lineRule="auto"/>
              <w:rPr>
                <w:rFonts w:eastAsia="Times New Roman" w:cstheme="minorHAnsi"/>
                <w:b/>
                <w:bCs/>
                <w:color w:val="000000"/>
                <w:lang w:eastAsia="en-IE"/>
              </w:rPr>
            </w:pPr>
          </w:p>
          <w:p w:rsidR="0021459B" w:rsidRPr="00B97E75" w:rsidRDefault="0021459B"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2013</w:t>
            </w:r>
          </w:p>
        </w:tc>
        <w:tc>
          <w:tcPr>
            <w:tcW w:w="960" w:type="dxa"/>
            <w:shd w:val="clear" w:color="auto" w:fill="B6DDE8" w:themeFill="accent5" w:themeFillTint="66"/>
            <w:vAlign w:val="center"/>
            <w:hideMark/>
          </w:tcPr>
          <w:p w:rsidR="0021459B" w:rsidRPr="00B97E75" w:rsidRDefault="0021459B" w:rsidP="00E17A00">
            <w:pPr>
              <w:spacing w:after="0" w:line="240" w:lineRule="auto"/>
              <w:rPr>
                <w:rFonts w:eastAsia="Times New Roman" w:cstheme="minorHAnsi"/>
                <w:b/>
                <w:bCs/>
                <w:color w:val="000000"/>
                <w:lang w:eastAsia="en-IE"/>
              </w:rPr>
            </w:pPr>
          </w:p>
          <w:p w:rsidR="0021459B" w:rsidRPr="00B97E75" w:rsidRDefault="0021459B"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2014</w:t>
            </w:r>
          </w:p>
        </w:tc>
      </w:tr>
      <w:tr w:rsidR="0021459B" w:rsidRPr="00B97E75" w:rsidTr="00E17A00">
        <w:trPr>
          <w:trHeight w:val="315"/>
        </w:trPr>
        <w:tc>
          <w:tcPr>
            <w:tcW w:w="967" w:type="dxa"/>
            <w:shd w:val="clear" w:color="auto" w:fill="auto"/>
            <w:vAlign w:val="center"/>
            <w:hideMark/>
          </w:tcPr>
          <w:p w:rsidR="0021459B" w:rsidRPr="00B97E75" w:rsidRDefault="0021459B"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918" w:type="dxa"/>
            <w:shd w:val="clear" w:color="auto" w:fill="auto"/>
            <w:vAlign w:val="center"/>
            <w:hideMark/>
          </w:tcPr>
          <w:p w:rsidR="0021459B" w:rsidRPr="00B97E75" w:rsidRDefault="0021459B"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001" w:type="dxa"/>
            <w:shd w:val="clear" w:color="auto" w:fill="auto"/>
            <w:vAlign w:val="center"/>
            <w:hideMark/>
          </w:tcPr>
          <w:p w:rsidR="0021459B" w:rsidRPr="00B97E75" w:rsidRDefault="0021459B"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32</w:t>
            </w:r>
          </w:p>
        </w:tc>
        <w:tc>
          <w:tcPr>
            <w:tcW w:w="1001" w:type="dxa"/>
            <w:shd w:val="clear" w:color="auto" w:fill="auto"/>
            <w:vAlign w:val="center"/>
            <w:hideMark/>
          </w:tcPr>
          <w:p w:rsidR="0021459B" w:rsidRPr="00B97E75" w:rsidRDefault="0021459B"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32</w:t>
            </w:r>
          </w:p>
        </w:tc>
        <w:tc>
          <w:tcPr>
            <w:tcW w:w="1001" w:type="dxa"/>
            <w:shd w:val="clear" w:color="auto" w:fill="auto"/>
            <w:vAlign w:val="center"/>
            <w:hideMark/>
          </w:tcPr>
          <w:p w:rsidR="0021459B" w:rsidRPr="00B97E75" w:rsidRDefault="0021459B"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32</w:t>
            </w:r>
          </w:p>
        </w:tc>
        <w:tc>
          <w:tcPr>
            <w:tcW w:w="960" w:type="dxa"/>
            <w:shd w:val="clear" w:color="auto" w:fill="auto"/>
            <w:noWrap/>
            <w:vAlign w:val="center"/>
            <w:hideMark/>
          </w:tcPr>
          <w:p w:rsidR="0021459B" w:rsidRPr="00B97E75" w:rsidRDefault="0021459B"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28</w:t>
            </w:r>
          </w:p>
        </w:tc>
        <w:tc>
          <w:tcPr>
            <w:tcW w:w="960" w:type="dxa"/>
            <w:shd w:val="clear" w:color="auto" w:fill="auto"/>
            <w:noWrap/>
            <w:vAlign w:val="center"/>
            <w:hideMark/>
          </w:tcPr>
          <w:p w:rsidR="0021459B" w:rsidRPr="00B97E75" w:rsidRDefault="0021459B"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30</w:t>
            </w:r>
          </w:p>
        </w:tc>
      </w:tr>
      <w:tr w:rsidR="0021459B" w:rsidRPr="00B97E75" w:rsidTr="00E17A00">
        <w:trPr>
          <w:trHeight w:val="315"/>
        </w:trPr>
        <w:tc>
          <w:tcPr>
            <w:tcW w:w="967" w:type="dxa"/>
            <w:shd w:val="clear" w:color="auto" w:fill="auto"/>
            <w:vAlign w:val="center"/>
            <w:hideMark/>
          </w:tcPr>
          <w:p w:rsidR="0021459B" w:rsidRPr="00B97E75" w:rsidRDefault="0021459B"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918" w:type="dxa"/>
            <w:shd w:val="clear" w:color="auto" w:fill="auto"/>
            <w:vAlign w:val="center"/>
            <w:hideMark/>
          </w:tcPr>
          <w:p w:rsidR="0021459B" w:rsidRPr="00B97E75" w:rsidRDefault="0021459B"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001" w:type="dxa"/>
            <w:shd w:val="clear" w:color="auto" w:fill="auto"/>
            <w:vAlign w:val="center"/>
            <w:hideMark/>
          </w:tcPr>
          <w:p w:rsidR="0021459B" w:rsidRPr="00B97E75" w:rsidRDefault="0021459B"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2</w:t>
            </w:r>
          </w:p>
        </w:tc>
        <w:tc>
          <w:tcPr>
            <w:tcW w:w="1001" w:type="dxa"/>
            <w:shd w:val="clear" w:color="auto" w:fill="auto"/>
            <w:vAlign w:val="center"/>
            <w:hideMark/>
          </w:tcPr>
          <w:p w:rsidR="0021459B" w:rsidRPr="00B97E75" w:rsidRDefault="0021459B"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2</w:t>
            </w:r>
          </w:p>
        </w:tc>
        <w:tc>
          <w:tcPr>
            <w:tcW w:w="1001" w:type="dxa"/>
            <w:shd w:val="clear" w:color="auto" w:fill="auto"/>
            <w:vAlign w:val="center"/>
            <w:hideMark/>
          </w:tcPr>
          <w:p w:rsidR="0021459B" w:rsidRPr="00B97E75" w:rsidRDefault="0021459B"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2</w:t>
            </w:r>
          </w:p>
        </w:tc>
        <w:tc>
          <w:tcPr>
            <w:tcW w:w="960" w:type="dxa"/>
            <w:shd w:val="clear" w:color="auto" w:fill="auto"/>
            <w:noWrap/>
            <w:vAlign w:val="center"/>
            <w:hideMark/>
          </w:tcPr>
          <w:p w:rsidR="0021459B" w:rsidRPr="00B97E75" w:rsidRDefault="0021459B"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3</w:t>
            </w:r>
          </w:p>
        </w:tc>
        <w:tc>
          <w:tcPr>
            <w:tcW w:w="960" w:type="dxa"/>
            <w:shd w:val="clear" w:color="auto" w:fill="auto"/>
            <w:noWrap/>
            <w:vAlign w:val="center"/>
            <w:hideMark/>
          </w:tcPr>
          <w:p w:rsidR="0021459B" w:rsidRPr="00B97E75" w:rsidRDefault="0021459B"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1</w:t>
            </w:r>
          </w:p>
        </w:tc>
      </w:tr>
      <w:tr w:rsidR="0021459B" w:rsidRPr="00CF3DE2" w:rsidTr="00E17A00">
        <w:trPr>
          <w:trHeight w:val="315"/>
        </w:trPr>
        <w:tc>
          <w:tcPr>
            <w:tcW w:w="967" w:type="dxa"/>
            <w:shd w:val="clear" w:color="auto" w:fill="auto"/>
            <w:vAlign w:val="center"/>
            <w:hideMark/>
          </w:tcPr>
          <w:p w:rsidR="0021459B" w:rsidRPr="00B97E75" w:rsidRDefault="0021459B"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918" w:type="dxa"/>
            <w:shd w:val="clear" w:color="auto" w:fill="auto"/>
            <w:vAlign w:val="center"/>
            <w:hideMark/>
          </w:tcPr>
          <w:p w:rsidR="0021459B" w:rsidRPr="00B97E75" w:rsidRDefault="0021459B"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001" w:type="dxa"/>
            <w:shd w:val="clear" w:color="auto" w:fill="auto"/>
            <w:vAlign w:val="center"/>
            <w:hideMark/>
          </w:tcPr>
          <w:p w:rsidR="0021459B" w:rsidRPr="00B97E75" w:rsidRDefault="0021459B"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3,198.44</w:t>
            </w:r>
          </w:p>
        </w:tc>
        <w:tc>
          <w:tcPr>
            <w:tcW w:w="1001" w:type="dxa"/>
            <w:shd w:val="clear" w:color="auto" w:fill="auto"/>
            <w:vAlign w:val="center"/>
            <w:hideMark/>
          </w:tcPr>
          <w:p w:rsidR="0021459B" w:rsidRPr="00B97E75" w:rsidRDefault="0021459B"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3,179.67</w:t>
            </w:r>
          </w:p>
        </w:tc>
        <w:tc>
          <w:tcPr>
            <w:tcW w:w="1001" w:type="dxa"/>
            <w:shd w:val="clear" w:color="auto" w:fill="auto"/>
            <w:vAlign w:val="center"/>
            <w:hideMark/>
          </w:tcPr>
          <w:p w:rsidR="0021459B" w:rsidRPr="00B97E75" w:rsidRDefault="0021459B"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3,119.62</w:t>
            </w:r>
          </w:p>
        </w:tc>
        <w:tc>
          <w:tcPr>
            <w:tcW w:w="960" w:type="dxa"/>
            <w:shd w:val="clear" w:color="auto" w:fill="auto"/>
            <w:noWrap/>
            <w:vAlign w:val="center"/>
            <w:hideMark/>
          </w:tcPr>
          <w:p w:rsidR="0021459B" w:rsidRPr="00B97E75" w:rsidRDefault="0021459B"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3176.65</w:t>
            </w:r>
          </w:p>
        </w:tc>
        <w:tc>
          <w:tcPr>
            <w:tcW w:w="960" w:type="dxa"/>
            <w:shd w:val="clear" w:color="auto" w:fill="auto"/>
            <w:noWrap/>
            <w:vAlign w:val="center"/>
            <w:hideMark/>
          </w:tcPr>
          <w:p w:rsidR="0021459B" w:rsidRPr="00CF3DE2" w:rsidRDefault="0021459B" w:rsidP="00E17A00">
            <w:pPr>
              <w:spacing w:after="0" w:line="240" w:lineRule="auto"/>
              <w:rPr>
                <w:rFonts w:eastAsia="Times New Roman" w:cstheme="minorHAnsi"/>
                <w:b/>
                <w:color w:val="000000"/>
                <w:lang w:eastAsia="en-IE"/>
              </w:rPr>
            </w:pPr>
            <w:r w:rsidRPr="00CF3DE2">
              <w:rPr>
                <w:rFonts w:eastAsia="Times New Roman" w:cstheme="minorHAnsi"/>
                <w:b/>
                <w:color w:val="000000"/>
                <w:lang w:eastAsia="en-IE"/>
              </w:rPr>
              <w:t>3,622.63</w:t>
            </w:r>
          </w:p>
        </w:tc>
      </w:tr>
      <w:tr w:rsidR="0021459B" w:rsidRPr="00B97E75" w:rsidTr="00E17A00">
        <w:trPr>
          <w:trHeight w:val="315"/>
        </w:trPr>
        <w:tc>
          <w:tcPr>
            <w:tcW w:w="967" w:type="dxa"/>
            <w:shd w:val="clear" w:color="auto" w:fill="auto"/>
            <w:vAlign w:val="center"/>
            <w:hideMark/>
          </w:tcPr>
          <w:p w:rsidR="0021459B" w:rsidRPr="00B97E75" w:rsidRDefault="0021459B"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918" w:type="dxa"/>
            <w:shd w:val="clear" w:color="auto" w:fill="auto"/>
            <w:vAlign w:val="center"/>
            <w:hideMark/>
          </w:tcPr>
          <w:p w:rsidR="0021459B" w:rsidRPr="00B97E75" w:rsidRDefault="0021459B"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001" w:type="dxa"/>
            <w:shd w:val="clear" w:color="auto" w:fill="auto"/>
            <w:vAlign w:val="center"/>
            <w:hideMark/>
          </w:tcPr>
          <w:p w:rsidR="0021459B" w:rsidRPr="00B97E75" w:rsidRDefault="0021459B"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3,482.00</w:t>
            </w:r>
          </w:p>
        </w:tc>
        <w:tc>
          <w:tcPr>
            <w:tcW w:w="1001" w:type="dxa"/>
            <w:shd w:val="clear" w:color="auto" w:fill="auto"/>
            <w:vAlign w:val="center"/>
            <w:hideMark/>
          </w:tcPr>
          <w:p w:rsidR="0021459B" w:rsidRPr="00B97E75" w:rsidRDefault="0021459B"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3,431.20</w:t>
            </w:r>
          </w:p>
        </w:tc>
        <w:tc>
          <w:tcPr>
            <w:tcW w:w="1001" w:type="dxa"/>
            <w:shd w:val="clear" w:color="auto" w:fill="auto"/>
            <w:vAlign w:val="center"/>
            <w:hideMark/>
          </w:tcPr>
          <w:p w:rsidR="0021459B" w:rsidRPr="00B97E75" w:rsidRDefault="0021459B"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3,405.76</w:t>
            </w:r>
          </w:p>
        </w:tc>
        <w:tc>
          <w:tcPr>
            <w:tcW w:w="960" w:type="dxa"/>
            <w:shd w:val="clear" w:color="auto" w:fill="auto"/>
            <w:noWrap/>
            <w:vAlign w:val="center"/>
            <w:hideMark/>
          </w:tcPr>
          <w:p w:rsidR="0021459B" w:rsidRPr="00B97E75" w:rsidRDefault="0021459B"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3811.40</w:t>
            </w:r>
          </w:p>
        </w:tc>
        <w:tc>
          <w:tcPr>
            <w:tcW w:w="960" w:type="dxa"/>
            <w:shd w:val="clear" w:color="auto" w:fill="auto"/>
            <w:noWrap/>
            <w:vAlign w:val="center"/>
            <w:hideMark/>
          </w:tcPr>
          <w:p w:rsidR="0021459B" w:rsidRPr="00B97E75" w:rsidRDefault="0021459B"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3,820.55</w:t>
            </w:r>
          </w:p>
        </w:tc>
      </w:tr>
    </w:tbl>
    <w:p w:rsidR="00201EC9" w:rsidRPr="00B97E75" w:rsidRDefault="00201EC9" w:rsidP="00201EC9">
      <w:pPr>
        <w:spacing w:after="0" w:line="240" w:lineRule="auto"/>
        <w:rPr>
          <w:rFonts w:eastAsia="Times New Roman" w:cstheme="minorHAnsi"/>
          <w:b/>
          <w:bCs/>
          <w:color w:val="000000"/>
          <w:lang w:eastAsia="en-IE"/>
        </w:rPr>
      </w:pPr>
    </w:p>
    <w:p w:rsidR="0021459B" w:rsidRPr="00B97E75" w:rsidRDefault="0021459B" w:rsidP="00201EC9">
      <w:pPr>
        <w:spacing w:after="0" w:line="240" w:lineRule="auto"/>
        <w:rPr>
          <w:rFonts w:eastAsia="Times New Roman" w:cstheme="minorHAnsi"/>
          <w:b/>
          <w:bCs/>
          <w:color w:val="000000"/>
          <w:lang w:eastAsia="en-IE"/>
        </w:rPr>
      </w:pPr>
    </w:p>
    <w:p w:rsidR="00201EC9" w:rsidRPr="00B97E75" w:rsidRDefault="00201EC9" w:rsidP="00201EC9">
      <w:pPr>
        <w:spacing w:after="0" w:line="240" w:lineRule="auto"/>
        <w:rPr>
          <w:rFonts w:eastAsia="Times New Roman" w:cstheme="minorHAnsi"/>
          <w:b/>
          <w:bCs/>
          <w:color w:val="000000"/>
          <w:lang w:eastAsia="en-IE"/>
        </w:rPr>
      </w:pPr>
    </w:p>
    <w:p w:rsidR="00C85E74" w:rsidRPr="00B97E75" w:rsidRDefault="00C85E74">
      <w:pPr>
        <w:rPr>
          <w:rFonts w:eastAsia="Times New Roman" w:cstheme="minorHAnsi"/>
          <w:b/>
          <w:bCs/>
          <w:color w:val="000000"/>
          <w:lang w:eastAsia="en-IE"/>
        </w:rPr>
      </w:pPr>
      <w:r w:rsidRPr="00B97E75">
        <w:rPr>
          <w:rFonts w:eastAsia="Times New Roman" w:cstheme="minorHAnsi"/>
          <w:b/>
          <w:bCs/>
          <w:color w:val="000000"/>
          <w:lang w:eastAsia="en-IE"/>
        </w:rPr>
        <w:br w:type="page"/>
      </w:r>
    </w:p>
    <w:p w:rsidR="00201EC9" w:rsidRPr="009C70A3" w:rsidRDefault="00201EC9" w:rsidP="009C70A3">
      <w:pPr>
        <w:pStyle w:val="PISectionHeading"/>
      </w:pPr>
      <w:bookmarkStart w:id="8" w:name="_Toc436926484"/>
      <w:r w:rsidRPr="009C70A3">
        <w:lastRenderedPageBreak/>
        <w:t xml:space="preserve">Section </w:t>
      </w:r>
      <w:r w:rsidR="007C12D5">
        <w:t>8</w:t>
      </w:r>
      <w:r w:rsidRPr="009C70A3">
        <w:t>: Youth</w:t>
      </w:r>
      <w:bookmarkEnd w:id="8"/>
    </w:p>
    <w:p w:rsidR="00201EC9" w:rsidRPr="00B97E75" w:rsidRDefault="00B70292" w:rsidP="000F72CA">
      <w:pPr>
        <w:pStyle w:val="PITableHeading"/>
        <w:rPr>
          <w:rFonts w:asciiTheme="minorHAnsi" w:hAnsiTheme="minorHAnsi" w:cstheme="minorHAnsi"/>
          <w:sz w:val="22"/>
          <w:szCs w:val="22"/>
        </w:rPr>
      </w:pPr>
      <w:r>
        <w:rPr>
          <w:rFonts w:asciiTheme="minorHAnsi" w:hAnsiTheme="minorHAnsi" w:cstheme="minorHAnsi"/>
          <w:sz w:val="22"/>
          <w:szCs w:val="22"/>
        </w:rPr>
        <w:t>Table 20</w:t>
      </w:r>
      <w:r w:rsidR="00201EC9" w:rsidRPr="00B97E75">
        <w:rPr>
          <w:rFonts w:asciiTheme="minorHAnsi" w:hAnsiTheme="minorHAnsi" w:cstheme="minorHAnsi"/>
          <w:sz w:val="22"/>
          <w:szCs w:val="22"/>
        </w:rPr>
        <w:t xml:space="preserve">: </w:t>
      </w:r>
      <w:r w:rsidR="000F72CA" w:rsidRPr="003E001D">
        <w:rPr>
          <w:rFonts w:asciiTheme="minorHAnsi" w:hAnsiTheme="minorHAnsi" w:cstheme="minorHAnsi"/>
          <w:b w:val="0"/>
          <w:sz w:val="22"/>
          <w:szCs w:val="22"/>
        </w:rPr>
        <w:t>Youth and Community Participation</w:t>
      </w:r>
    </w:p>
    <w:tbl>
      <w:tblPr>
        <w:tblStyle w:val="LightGrid-Accent5"/>
        <w:tblW w:w="9889" w:type="dxa"/>
        <w:tblLook w:val="04A0" w:firstRow="1" w:lastRow="0" w:firstColumn="1" w:lastColumn="0" w:noHBand="0" w:noVBand="1"/>
      </w:tblPr>
      <w:tblGrid>
        <w:gridCol w:w="2422"/>
        <w:gridCol w:w="2410"/>
        <w:gridCol w:w="1843"/>
        <w:gridCol w:w="1559"/>
        <w:gridCol w:w="1655"/>
      </w:tblGrid>
      <w:tr w:rsidR="000F72CA" w:rsidRPr="005C4524" w:rsidTr="00771880">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422" w:type="dxa"/>
            <w:noWrap/>
            <w:vAlign w:val="center"/>
            <w:hideMark/>
          </w:tcPr>
          <w:p w:rsidR="000F72CA" w:rsidRPr="005C4524" w:rsidRDefault="00D36D20" w:rsidP="00771880">
            <w:pPr>
              <w:rPr>
                <w:rFonts w:asciiTheme="minorHAnsi" w:eastAsia="Times New Roman" w:hAnsiTheme="minorHAnsi" w:cstheme="minorHAnsi"/>
                <w:color w:val="000000"/>
                <w:lang w:eastAsia="en-IE"/>
              </w:rPr>
            </w:pPr>
            <w:r w:rsidRPr="00D36D20">
              <w:rPr>
                <w:rFonts w:asciiTheme="minorHAnsi" w:eastAsia="Times New Roman" w:hAnsiTheme="minorHAnsi" w:cstheme="minorHAnsi"/>
                <w:color w:val="000000"/>
                <w:lang w:eastAsia="en-IE"/>
              </w:rPr>
              <w:t>Authority</w:t>
            </w:r>
          </w:p>
        </w:tc>
        <w:tc>
          <w:tcPr>
            <w:tcW w:w="2410" w:type="dxa"/>
            <w:vAlign w:val="center"/>
            <w:hideMark/>
          </w:tcPr>
          <w:p w:rsidR="000F72CA" w:rsidRPr="005C4524" w:rsidRDefault="000F72CA"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Percentage of local schools</w:t>
            </w:r>
            <w:r w:rsidR="00B413B1">
              <w:rPr>
                <w:rFonts w:asciiTheme="minorHAnsi" w:eastAsia="Times New Roman" w:hAnsiTheme="minorHAnsi" w:cstheme="minorHAnsi"/>
                <w:color w:val="000000"/>
                <w:lang w:eastAsia="en-IE"/>
              </w:rPr>
              <w:t xml:space="preserve"> and youth clubs</w:t>
            </w:r>
            <w:r w:rsidRPr="005C4524">
              <w:rPr>
                <w:rFonts w:asciiTheme="minorHAnsi" w:eastAsia="Times New Roman" w:hAnsiTheme="minorHAnsi" w:cstheme="minorHAnsi"/>
                <w:color w:val="000000"/>
                <w:lang w:eastAsia="en-IE"/>
              </w:rPr>
              <w:t xml:space="preserve"> involved in the local Youth Council/ </w:t>
            </w:r>
            <w:proofErr w:type="spellStart"/>
            <w:r w:rsidRPr="005C4524">
              <w:rPr>
                <w:rFonts w:asciiTheme="minorHAnsi" w:eastAsia="Times New Roman" w:hAnsiTheme="minorHAnsi" w:cstheme="minorHAnsi"/>
                <w:color w:val="000000"/>
                <w:lang w:eastAsia="en-IE"/>
              </w:rPr>
              <w:t>Comhairle</w:t>
            </w:r>
            <w:proofErr w:type="spellEnd"/>
            <w:r w:rsidRPr="005C4524">
              <w:rPr>
                <w:rFonts w:asciiTheme="minorHAnsi" w:eastAsia="Times New Roman" w:hAnsiTheme="minorHAnsi" w:cstheme="minorHAnsi"/>
                <w:color w:val="000000"/>
                <w:lang w:eastAsia="en-IE"/>
              </w:rPr>
              <w:t xml:space="preserve"> </w:t>
            </w:r>
            <w:proofErr w:type="spellStart"/>
            <w:r w:rsidRPr="005C4524">
              <w:rPr>
                <w:rFonts w:asciiTheme="minorHAnsi" w:eastAsia="Times New Roman" w:hAnsiTheme="minorHAnsi" w:cstheme="minorHAnsi"/>
                <w:color w:val="000000"/>
                <w:lang w:eastAsia="en-IE"/>
              </w:rPr>
              <w:t>na</w:t>
            </w:r>
            <w:proofErr w:type="spellEnd"/>
            <w:r w:rsidRPr="005C4524">
              <w:rPr>
                <w:rFonts w:asciiTheme="minorHAnsi" w:eastAsia="Times New Roman" w:hAnsiTheme="minorHAnsi" w:cstheme="minorHAnsi"/>
                <w:color w:val="000000"/>
                <w:lang w:eastAsia="en-IE"/>
              </w:rPr>
              <w:t xml:space="preserve"> n-</w:t>
            </w:r>
            <w:proofErr w:type="spellStart"/>
            <w:r w:rsidRPr="005C4524">
              <w:rPr>
                <w:rFonts w:asciiTheme="minorHAnsi" w:eastAsia="Times New Roman" w:hAnsiTheme="minorHAnsi" w:cstheme="minorHAnsi"/>
                <w:color w:val="000000"/>
                <w:lang w:eastAsia="en-IE"/>
              </w:rPr>
              <w:t>Óg</w:t>
            </w:r>
            <w:proofErr w:type="spellEnd"/>
            <w:r w:rsidRPr="005C4524">
              <w:rPr>
                <w:rFonts w:asciiTheme="minorHAnsi" w:eastAsia="Times New Roman" w:hAnsiTheme="minorHAnsi" w:cstheme="minorHAnsi"/>
                <w:color w:val="000000"/>
                <w:lang w:eastAsia="en-IE"/>
              </w:rPr>
              <w:t xml:space="preserve"> scheme</w:t>
            </w:r>
          </w:p>
        </w:tc>
        <w:tc>
          <w:tcPr>
            <w:tcW w:w="1843" w:type="dxa"/>
            <w:vAlign w:val="center"/>
            <w:hideMark/>
          </w:tcPr>
          <w:p w:rsidR="000F72CA" w:rsidRPr="005C4524" w:rsidRDefault="003B6145" w:rsidP="003B6145">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IE"/>
              </w:rPr>
            </w:pPr>
            <w:r>
              <w:rPr>
                <w:rFonts w:asciiTheme="minorHAnsi" w:hAnsiTheme="minorHAnsi" w:cstheme="minorHAnsi"/>
              </w:rPr>
              <w:t>Number</w:t>
            </w:r>
            <w:r w:rsidR="000F72CA" w:rsidRPr="005C4524">
              <w:rPr>
                <w:rFonts w:asciiTheme="minorHAnsi" w:hAnsiTheme="minorHAnsi" w:cstheme="minorHAnsi"/>
              </w:rPr>
              <w:t xml:space="preserve"> of Gateway participants as </w:t>
            </w:r>
            <w:r w:rsidR="00521A16">
              <w:rPr>
                <w:rFonts w:asciiTheme="minorHAnsi" w:hAnsiTheme="minorHAnsi" w:cstheme="minorHAnsi"/>
              </w:rPr>
              <w:t xml:space="preserve">a </w:t>
            </w:r>
            <w:r w:rsidR="00B0335E">
              <w:rPr>
                <w:rFonts w:asciiTheme="minorHAnsi" w:eastAsia="Times New Roman" w:hAnsiTheme="minorHAnsi" w:cstheme="minorHAnsi"/>
                <w:color w:val="000000"/>
                <w:lang w:eastAsia="en-IE"/>
              </w:rPr>
              <w:t>Percentage</w:t>
            </w:r>
            <w:r w:rsidR="000F72CA" w:rsidRPr="005C4524">
              <w:rPr>
                <w:rFonts w:asciiTheme="minorHAnsi" w:hAnsiTheme="minorHAnsi" w:cstheme="minorHAnsi"/>
              </w:rPr>
              <w:t xml:space="preserve"> of </w:t>
            </w:r>
            <w:r w:rsidR="00521A16">
              <w:rPr>
                <w:rFonts w:asciiTheme="minorHAnsi" w:hAnsiTheme="minorHAnsi" w:cstheme="minorHAnsi"/>
              </w:rPr>
              <w:t>allocated placements to the LA</w:t>
            </w:r>
          </w:p>
        </w:tc>
        <w:tc>
          <w:tcPr>
            <w:tcW w:w="1559" w:type="dxa"/>
            <w:vAlign w:val="center"/>
            <w:hideMark/>
          </w:tcPr>
          <w:p w:rsidR="000F72CA" w:rsidRPr="005C4524" w:rsidRDefault="003B6145"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IE"/>
              </w:rPr>
            </w:pPr>
            <w:r>
              <w:rPr>
                <w:rFonts w:asciiTheme="minorHAnsi" w:eastAsia="Times New Roman" w:hAnsiTheme="minorHAnsi" w:cstheme="minorHAnsi"/>
                <w:color w:val="000000"/>
                <w:lang w:eastAsia="en-IE"/>
              </w:rPr>
              <w:t>Number</w:t>
            </w:r>
            <w:r w:rsidR="000F72CA" w:rsidRPr="005C4524">
              <w:rPr>
                <w:rFonts w:asciiTheme="minorHAnsi" w:hAnsiTheme="minorHAnsi" w:cstheme="minorHAnsi"/>
              </w:rPr>
              <w:t xml:space="preserve"> of nominees to LCDC membership via the PPN structures from the most marginalised SICAP groups</w:t>
            </w:r>
          </w:p>
        </w:tc>
        <w:tc>
          <w:tcPr>
            <w:tcW w:w="1655" w:type="dxa"/>
            <w:vAlign w:val="center"/>
            <w:hideMark/>
          </w:tcPr>
          <w:p w:rsidR="000F72CA" w:rsidRPr="005C4524" w:rsidRDefault="000F72CA"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IE"/>
              </w:rPr>
            </w:pPr>
            <w:r w:rsidRPr="005C4524">
              <w:rPr>
                <w:rFonts w:asciiTheme="minorHAnsi" w:hAnsiTheme="minorHAnsi" w:cstheme="minorHAnsi"/>
              </w:rPr>
              <w:t xml:space="preserve">Number progressing to FT, PT or self-employment within 6 months of receipt of a Goal 3 employment support </w:t>
            </w:r>
            <w:r w:rsidRPr="005C4524">
              <w:rPr>
                <w:rFonts w:asciiTheme="minorHAnsi" w:hAnsiTheme="minorHAnsi" w:cstheme="minorHAnsi"/>
                <w:color w:val="99CCFF"/>
                <w:vertAlign w:val="superscript"/>
              </w:rPr>
              <w:t xml:space="preserve"> </w:t>
            </w:r>
          </w:p>
        </w:tc>
      </w:tr>
      <w:tr w:rsidR="000F72CA" w:rsidRPr="005C4524" w:rsidTr="005C452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 </w:t>
            </w:r>
          </w:p>
        </w:tc>
        <w:tc>
          <w:tcPr>
            <w:tcW w:w="2410" w:type="dxa"/>
            <w:hideMark/>
          </w:tcPr>
          <w:p w:rsidR="000F72CA" w:rsidRPr="005C4524" w:rsidRDefault="000F72CA" w:rsidP="00FC59B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843"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559"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655"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r>
      <w:tr w:rsidR="000F72CA" w:rsidRPr="005C4524" w:rsidTr="005C452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Carlow County</w:t>
            </w:r>
          </w:p>
        </w:tc>
        <w:tc>
          <w:tcPr>
            <w:tcW w:w="2410"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59.09</w:t>
            </w:r>
          </w:p>
        </w:tc>
        <w:tc>
          <w:tcPr>
            <w:tcW w:w="1843"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80.00</w:t>
            </w:r>
          </w:p>
        </w:tc>
        <w:tc>
          <w:tcPr>
            <w:tcW w:w="1559"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655"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158</w:t>
            </w:r>
          </w:p>
        </w:tc>
      </w:tr>
      <w:tr w:rsidR="000F72CA" w:rsidRPr="005C4524" w:rsidTr="005C452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Cavan County</w:t>
            </w:r>
          </w:p>
        </w:tc>
        <w:tc>
          <w:tcPr>
            <w:tcW w:w="2410"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7.63</w:t>
            </w:r>
          </w:p>
        </w:tc>
        <w:tc>
          <w:tcPr>
            <w:tcW w:w="1843"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49.09</w:t>
            </w:r>
          </w:p>
        </w:tc>
        <w:tc>
          <w:tcPr>
            <w:tcW w:w="1559"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655" w:type="dxa"/>
            <w:noWrap/>
            <w:hideMark/>
          </w:tcPr>
          <w:p w:rsidR="000F72CA" w:rsidRPr="00B679C2"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229</w:t>
            </w:r>
          </w:p>
        </w:tc>
      </w:tr>
      <w:tr w:rsidR="000F72CA" w:rsidRPr="005C4524" w:rsidTr="005C452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Clare County</w:t>
            </w:r>
          </w:p>
        </w:tc>
        <w:tc>
          <w:tcPr>
            <w:tcW w:w="2410"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66.67</w:t>
            </w:r>
          </w:p>
        </w:tc>
        <w:tc>
          <w:tcPr>
            <w:tcW w:w="1843"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20.00</w:t>
            </w:r>
          </w:p>
        </w:tc>
        <w:tc>
          <w:tcPr>
            <w:tcW w:w="1559"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655" w:type="dxa"/>
            <w:hideMark/>
          </w:tcPr>
          <w:p w:rsidR="000F72CA" w:rsidRPr="00B413B1" w:rsidRDefault="00A61F45"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Pr>
                <w:rFonts w:eastAsia="Times New Roman" w:cstheme="minorHAnsi"/>
                <w:color w:val="000000"/>
                <w:lang w:eastAsia="en-IE"/>
              </w:rPr>
              <w:t>240</w:t>
            </w:r>
          </w:p>
        </w:tc>
      </w:tr>
      <w:tr w:rsidR="000F72CA" w:rsidRPr="005C4524" w:rsidTr="005C452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Cork City</w:t>
            </w:r>
          </w:p>
        </w:tc>
        <w:tc>
          <w:tcPr>
            <w:tcW w:w="2410" w:type="dxa"/>
            <w:hideMark/>
          </w:tcPr>
          <w:p w:rsidR="000F72CA" w:rsidRPr="005C4524" w:rsidRDefault="00A61F45"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Pr>
                <w:rFonts w:eastAsia="Times New Roman" w:cstheme="minorHAnsi"/>
                <w:color w:val="000000"/>
                <w:lang w:eastAsia="en-IE"/>
              </w:rPr>
              <w:t>42.86</w:t>
            </w:r>
            <w:r w:rsidR="000F72CA" w:rsidRPr="005C4524">
              <w:rPr>
                <w:rFonts w:eastAsia="Times New Roman" w:cstheme="minorHAnsi"/>
                <w:color w:val="000000"/>
                <w:lang w:eastAsia="en-IE"/>
              </w:rPr>
              <w:t> </w:t>
            </w:r>
          </w:p>
        </w:tc>
        <w:tc>
          <w:tcPr>
            <w:tcW w:w="1843"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85.45</w:t>
            </w:r>
          </w:p>
        </w:tc>
        <w:tc>
          <w:tcPr>
            <w:tcW w:w="1559"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655" w:type="dxa"/>
            <w:noWrap/>
            <w:hideMark/>
          </w:tcPr>
          <w:p w:rsidR="000F72CA" w:rsidRPr="00B679C2"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251</w:t>
            </w:r>
          </w:p>
        </w:tc>
      </w:tr>
      <w:tr w:rsidR="000F72CA" w:rsidRPr="005C4524" w:rsidTr="005C452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Cork County</w:t>
            </w:r>
          </w:p>
        </w:tc>
        <w:tc>
          <w:tcPr>
            <w:tcW w:w="2410"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43.24</w:t>
            </w:r>
          </w:p>
        </w:tc>
        <w:tc>
          <w:tcPr>
            <w:tcW w:w="1843"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64.19</w:t>
            </w:r>
          </w:p>
        </w:tc>
        <w:tc>
          <w:tcPr>
            <w:tcW w:w="1559"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655" w:type="dxa"/>
            <w:hideMark/>
          </w:tcPr>
          <w:p w:rsidR="000F72CA" w:rsidRPr="00086532"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426</w:t>
            </w:r>
          </w:p>
        </w:tc>
      </w:tr>
      <w:tr w:rsidR="000F72CA" w:rsidRPr="005C4524" w:rsidTr="005C452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Donegal County</w:t>
            </w:r>
          </w:p>
        </w:tc>
        <w:tc>
          <w:tcPr>
            <w:tcW w:w="2410"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99.09</w:t>
            </w:r>
          </w:p>
        </w:tc>
        <w:tc>
          <w:tcPr>
            <w:tcW w:w="1843"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35.00</w:t>
            </w:r>
          </w:p>
        </w:tc>
        <w:tc>
          <w:tcPr>
            <w:tcW w:w="1559" w:type="dxa"/>
            <w:hideMark/>
          </w:tcPr>
          <w:p w:rsidR="000F72CA" w:rsidRPr="00B679C2"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3</w:t>
            </w:r>
            <w:r w:rsidR="00B413B1">
              <w:rPr>
                <w:rFonts w:eastAsia="Times New Roman" w:cstheme="minorHAnsi"/>
                <w:color w:val="000000"/>
                <w:vertAlign w:val="superscript"/>
                <w:lang w:eastAsia="en-IE"/>
              </w:rPr>
              <w:t>a</w:t>
            </w:r>
          </w:p>
        </w:tc>
        <w:tc>
          <w:tcPr>
            <w:tcW w:w="1655" w:type="dxa"/>
            <w:noWrap/>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357</w:t>
            </w:r>
          </w:p>
        </w:tc>
      </w:tr>
      <w:tr w:rsidR="000F72CA" w:rsidRPr="005C4524" w:rsidTr="005C452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Dublin City</w:t>
            </w:r>
          </w:p>
        </w:tc>
        <w:tc>
          <w:tcPr>
            <w:tcW w:w="2410"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37.19</w:t>
            </w:r>
          </w:p>
        </w:tc>
        <w:tc>
          <w:tcPr>
            <w:tcW w:w="1843"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12.20</w:t>
            </w:r>
          </w:p>
        </w:tc>
        <w:tc>
          <w:tcPr>
            <w:tcW w:w="1559"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655" w:type="dxa"/>
            <w:hideMark/>
          </w:tcPr>
          <w:p w:rsidR="000F72CA" w:rsidRPr="00322D7D"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0</w:t>
            </w:r>
            <w:r w:rsidR="00753EA5">
              <w:rPr>
                <w:rFonts w:eastAsia="Times New Roman" w:cstheme="minorHAnsi"/>
                <w:color w:val="000000"/>
                <w:vertAlign w:val="superscript"/>
                <w:lang w:eastAsia="en-IE"/>
              </w:rPr>
              <w:t>a</w:t>
            </w:r>
          </w:p>
        </w:tc>
      </w:tr>
      <w:tr w:rsidR="000F72CA" w:rsidRPr="005C4524" w:rsidTr="005C452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 xml:space="preserve">Dun Laoghaire </w:t>
            </w:r>
            <w:proofErr w:type="spellStart"/>
            <w:r w:rsidRPr="005C4524">
              <w:rPr>
                <w:rFonts w:asciiTheme="minorHAnsi" w:eastAsia="Times New Roman" w:hAnsiTheme="minorHAnsi" w:cstheme="minorHAnsi"/>
                <w:color w:val="000000"/>
                <w:lang w:eastAsia="en-IE"/>
              </w:rPr>
              <w:t>Rathdown</w:t>
            </w:r>
            <w:proofErr w:type="spellEnd"/>
          </w:p>
        </w:tc>
        <w:tc>
          <w:tcPr>
            <w:tcW w:w="2410"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82.50</w:t>
            </w:r>
          </w:p>
        </w:tc>
        <w:tc>
          <w:tcPr>
            <w:tcW w:w="1843"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30.91</w:t>
            </w:r>
          </w:p>
        </w:tc>
        <w:tc>
          <w:tcPr>
            <w:tcW w:w="1559"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655" w:type="dxa"/>
            <w:noWrap/>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339</w:t>
            </w:r>
          </w:p>
        </w:tc>
      </w:tr>
      <w:tr w:rsidR="000F72CA" w:rsidRPr="005C4524" w:rsidTr="005C452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proofErr w:type="spellStart"/>
            <w:r w:rsidRPr="005C4524">
              <w:rPr>
                <w:rFonts w:asciiTheme="minorHAnsi" w:eastAsia="Times New Roman" w:hAnsiTheme="minorHAnsi" w:cstheme="minorHAnsi"/>
                <w:color w:val="000000"/>
                <w:lang w:eastAsia="en-IE"/>
              </w:rPr>
              <w:t>Fingal</w:t>
            </w:r>
            <w:proofErr w:type="spellEnd"/>
            <w:r w:rsidRPr="005C4524">
              <w:rPr>
                <w:rFonts w:asciiTheme="minorHAnsi" w:eastAsia="Times New Roman" w:hAnsiTheme="minorHAnsi" w:cstheme="minorHAnsi"/>
                <w:color w:val="000000"/>
                <w:lang w:eastAsia="en-IE"/>
              </w:rPr>
              <w:t xml:space="preserve"> County</w:t>
            </w:r>
          </w:p>
        </w:tc>
        <w:tc>
          <w:tcPr>
            <w:tcW w:w="2410"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53.57</w:t>
            </w:r>
          </w:p>
        </w:tc>
        <w:tc>
          <w:tcPr>
            <w:tcW w:w="1843"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64.65</w:t>
            </w:r>
          </w:p>
        </w:tc>
        <w:tc>
          <w:tcPr>
            <w:tcW w:w="1559"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655"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458</w:t>
            </w:r>
          </w:p>
        </w:tc>
      </w:tr>
      <w:tr w:rsidR="000F72CA" w:rsidRPr="005C4524" w:rsidTr="005C452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Galway City</w:t>
            </w:r>
          </w:p>
        </w:tc>
        <w:tc>
          <w:tcPr>
            <w:tcW w:w="2410"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100.00</w:t>
            </w:r>
          </w:p>
        </w:tc>
        <w:tc>
          <w:tcPr>
            <w:tcW w:w="1843"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70.91</w:t>
            </w:r>
          </w:p>
        </w:tc>
        <w:tc>
          <w:tcPr>
            <w:tcW w:w="1559" w:type="dxa"/>
            <w:hideMark/>
          </w:tcPr>
          <w:p w:rsidR="000F72CA" w:rsidRPr="005C4524" w:rsidRDefault="003B6145"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Pr>
                <w:rFonts w:eastAsia="Times New Roman" w:cstheme="minorHAnsi"/>
                <w:color w:val="000000"/>
                <w:lang w:eastAsia="en-IE"/>
              </w:rPr>
              <w:t>1</w:t>
            </w:r>
          </w:p>
        </w:tc>
        <w:tc>
          <w:tcPr>
            <w:tcW w:w="1655" w:type="dxa"/>
            <w:noWrap/>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252</w:t>
            </w:r>
          </w:p>
        </w:tc>
      </w:tr>
      <w:tr w:rsidR="000F72CA" w:rsidRPr="005C4524" w:rsidTr="005C452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Galway County</w:t>
            </w:r>
          </w:p>
        </w:tc>
        <w:tc>
          <w:tcPr>
            <w:tcW w:w="2410"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57.41</w:t>
            </w:r>
          </w:p>
        </w:tc>
        <w:tc>
          <w:tcPr>
            <w:tcW w:w="1843"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76.25</w:t>
            </w:r>
          </w:p>
        </w:tc>
        <w:tc>
          <w:tcPr>
            <w:tcW w:w="1559"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655"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973</w:t>
            </w:r>
          </w:p>
        </w:tc>
      </w:tr>
      <w:tr w:rsidR="000F72CA" w:rsidRPr="005C4524" w:rsidTr="005C452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Kerry County</w:t>
            </w:r>
          </w:p>
        </w:tc>
        <w:tc>
          <w:tcPr>
            <w:tcW w:w="2410"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67.74</w:t>
            </w:r>
          </w:p>
        </w:tc>
        <w:tc>
          <w:tcPr>
            <w:tcW w:w="1843"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43.75</w:t>
            </w:r>
          </w:p>
        </w:tc>
        <w:tc>
          <w:tcPr>
            <w:tcW w:w="1559"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655" w:type="dxa"/>
            <w:noWrap/>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350</w:t>
            </w:r>
          </w:p>
        </w:tc>
      </w:tr>
      <w:tr w:rsidR="000F72CA" w:rsidRPr="005C4524" w:rsidTr="005C452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Kildare County</w:t>
            </w:r>
          </w:p>
        </w:tc>
        <w:tc>
          <w:tcPr>
            <w:tcW w:w="2410"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77.78</w:t>
            </w:r>
          </w:p>
        </w:tc>
        <w:tc>
          <w:tcPr>
            <w:tcW w:w="1843"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33.64</w:t>
            </w:r>
          </w:p>
        </w:tc>
        <w:tc>
          <w:tcPr>
            <w:tcW w:w="1559"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655" w:type="dxa"/>
            <w:hideMark/>
          </w:tcPr>
          <w:p w:rsidR="000F72CA" w:rsidRPr="00B679C2"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282</w:t>
            </w:r>
          </w:p>
        </w:tc>
      </w:tr>
      <w:tr w:rsidR="000F72CA" w:rsidRPr="005C4524" w:rsidTr="005C452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Kilkenny County</w:t>
            </w:r>
          </w:p>
        </w:tc>
        <w:tc>
          <w:tcPr>
            <w:tcW w:w="2410"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36.36</w:t>
            </w:r>
          </w:p>
        </w:tc>
        <w:tc>
          <w:tcPr>
            <w:tcW w:w="1843"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61.25</w:t>
            </w:r>
          </w:p>
        </w:tc>
        <w:tc>
          <w:tcPr>
            <w:tcW w:w="1559"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655" w:type="dxa"/>
            <w:noWrap/>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110</w:t>
            </w:r>
          </w:p>
        </w:tc>
      </w:tr>
      <w:tr w:rsidR="000F72CA" w:rsidRPr="005C4524" w:rsidTr="005C452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Laois County</w:t>
            </w:r>
          </w:p>
        </w:tc>
        <w:tc>
          <w:tcPr>
            <w:tcW w:w="2410"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51.22</w:t>
            </w:r>
          </w:p>
        </w:tc>
        <w:tc>
          <w:tcPr>
            <w:tcW w:w="1843"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34.55</w:t>
            </w:r>
          </w:p>
        </w:tc>
        <w:tc>
          <w:tcPr>
            <w:tcW w:w="1559"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655"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40</w:t>
            </w:r>
          </w:p>
        </w:tc>
      </w:tr>
      <w:tr w:rsidR="000F72CA" w:rsidRPr="005C4524" w:rsidTr="005C452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Leitrim County</w:t>
            </w:r>
          </w:p>
        </w:tc>
        <w:tc>
          <w:tcPr>
            <w:tcW w:w="2410"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100.00</w:t>
            </w:r>
          </w:p>
        </w:tc>
        <w:tc>
          <w:tcPr>
            <w:tcW w:w="1843"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89.09</w:t>
            </w:r>
          </w:p>
        </w:tc>
        <w:tc>
          <w:tcPr>
            <w:tcW w:w="1559" w:type="dxa"/>
            <w:hideMark/>
          </w:tcPr>
          <w:p w:rsidR="000F72CA" w:rsidRPr="00B679C2" w:rsidRDefault="000F72CA" w:rsidP="00BA7D4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2</w:t>
            </w:r>
          </w:p>
        </w:tc>
        <w:tc>
          <w:tcPr>
            <w:tcW w:w="1655" w:type="dxa"/>
            <w:noWrap/>
            <w:hideMark/>
          </w:tcPr>
          <w:p w:rsidR="000F72CA" w:rsidRPr="00B413B1"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N/A</w:t>
            </w:r>
          </w:p>
        </w:tc>
      </w:tr>
      <w:tr w:rsidR="000F72CA" w:rsidRPr="005C4524" w:rsidTr="005C452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Limerick City &amp; County</w:t>
            </w:r>
          </w:p>
        </w:tc>
        <w:tc>
          <w:tcPr>
            <w:tcW w:w="2410"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21.57</w:t>
            </w:r>
          </w:p>
        </w:tc>
        <w:tc>
          <w:tcPr>
            <w:tcW w:w="1843"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107.27</w:t>
            </w:r>
          </w:p>
        </w:tc>
        <w:tc>
          <w:tcPr>
            <w:tcW w:w="1559" w:type="dxa"/>
            <w:hideMark/>
          </w:tcPr>
          <w:p w:rsidR="000F72CA" w:rsidRPr="00B679C2"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3</w:t>
            </w:r>
          </w:p>
        </w:tc>
        <w:tc>
          <w:tcPr>
            <w:tcW w:w="1655"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407</w:t>
            </w:r>
          </w:p>
        </w:tc>
      </w:tr>
      <w:tr w:rsidR="000F72CA" w:rsidRPr="005C4524" w:rsidTr="005C452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Longford County</w:t>
            </w:r>
          </w:p>
        </w:tc>
        <w:tc>
          <w:tcPr>
            <w:tcW w:w="2410"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100.00</w:t>
            </w:r>
          </w:p>
        </w:tc>
        <w:tc>
          <w:tcPr>
            <w:tcW w:w="1843"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3.64</w:t>
            </w:r>
          </w:p>
        </w:tc>
        <w:tc>
          <w:tcPr>
            <w:tcW w:w="1559"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w:t>
            </w:r>
          </w:p>
        </w:tc>
        <w:tc>
          <w:tcPr>
            <w:tcW w:w="1655" w:type="dxa"/>
            <w:noWrap/>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75</w:t>
            </w:r>
          </w:p>
        </w:tc>
      </w:tr>
      <w:tr w:rsidR="000F72CA" w:rsidRPr="005C4524" w:rsidTr="005C452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Louth County</w:t>
            </w:r>
          </w:p>
        </w:tc>
        <w:tc>
          <w:tcPr>
            <w:tcW w:w="2410"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66.67</w:t>
            </w:r>
          </w:p>
        </w:tc>
        <w:tc>
          <w:tcPr>
            <w:tcW w:w="1843"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101.25</w:t>
            </w:r>
          </w:p>
        </w:tc>
        <w:tc>
          <w:tcPr>
            <w:tcW w:w="1559"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655"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r>
      <w:tr w:rsidR="000F72CA" w:rsidRPr="005C4524" w:rsidTr="005C452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Mayo County</w:t>
            </w:r>
          </w:p>
        </w:tc>
        <w:tc>
          <w:tcPr>
            <w:tcW w:w="2410"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96.55</w:t>
            </w:r>
          </w:p>
        </w:tc>
        <w:tc>
          <w:tcPr>
            <w:tcW w:w="1843"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108.75</w:t>
            </w:r>
          </w:p>
        </w:tc>
        <w:tc>
          <w:tcPr>
            <w:tcW w:w="1559"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w:t>
            </w:r>
          </w:p>
        </w:tc>
        <w:tc>
          <w:tcPr>
            <w:tcW w:w="1655" w:type="dxa"/>
            <w:noWrap/>
            <w:hideMark/>
          </w:tcPr>
          <w:p w:rsidR="000F72CA" w:rsidRPr="00B413B1" w:rsidRDefault="00A61F45"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Pr>
                <w:rFonts w:eastAsia="Times New Roman" w:cstheme="minorHAnsi"/>
                <w:color w:val="000000"/>
                <w:lang w:eastAsia="en-IE"/>
              </w:rPr>
              <w:t>N/A</w:t>
            </w:r>
          </w:p>
        </w:tc>
      </w:tr>
      <w:tr w:rsidR="000F72CA" w:rsidRPr="005C4524" w:rsidTr="005C452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Meath County</w:t>
            </w:r>
          </w:p>
        </w:tc>
        <w:tc>
          <w:tcPr>
            <w:tcW w:w="2410" w:type="dxa"/>
            <w:hideMark/>
          </w:tcPr>
          <w:p w:rsidR="000F72CA" w:rsidRPr="00B679C2"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88.46</w:t>
            </w:r>
          </w:p>
        </w:tc>
        <w:tc>
          <w:tcPr>
            <w:tcW w:w="1843"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88.18</w:t>
            </w:r>
          </w:p>
        </w:tc>
        <w:tc>
          <w:tcPr>
            <w:tcW w:w="1559"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655"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r>
      <w:tr w:rsidR="000F72CA" w:rsidRPr="005C4524" w:rsidTr="005C452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Monaghan County</w:t>
            </w:r>
          </w:p>
        </w:tc>
        <w:tc>
          <w:tcPr>
            <w:tcW w:w="2410"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76.19</w:t>
            </w:r>
          </w:p>
        </w:tc>
        <w:tc>
          <w:tcPr>
            <w:tcW w:w="1843"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72.73</w:t>
            </w:r>
          </w:p>
        </w:tc>
        <w:tc>
          <w:tcPr>
            <w:tcW w:w="1559"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w:t>
            </w:r>
          </w:p>
        </w:tc>
        <w:tc>
          <w:tcPr>
            <w:tcW w:w="1655" w:type="dxa"/>
            <w:noWrap/>
            <w:hideMark/>
          </w:tcPr>
          <w:p w:rsidR="000F72CA" w:rsidRPr="00B679C2"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0</w:t>
            </w:r>
          </w:p>
        </w:tc>
      </w:tr>
      <w:tr w:rsidR="000F72CA" w:rsidRPr="005C4524" w:rsidTr="005C452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Offaly County</w:t>
            </w:r>
          </w:p>
        </w:tc>
        <w:tc>
          <w:tcPr>
            <w:tcW w:w="2410"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92.86</w:t>
            </w:r>
          </w:p>
        </w:tc>
        <w:tc>
          <w:tcPr>
            <w:tcW w:w="1843"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60.00</w:t>
            </w:r>
          </w:p>
        </w:tc>
        <w:tc>
          <w:tcPr>
            <w:tcW w:w="1559" w:type="dxa"/>
            <w:hideMark/>
          </w:tcPr>
          <w:p w:rsidR="000F72CA" w:rsidRPr="005C4524" w:rsidRDefault="003B6145"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Pr>
                <w:rFonts w:eastAsia="Times New Roman" w:cstheme="minorHAnsi"/>
                <w:color w:val="000000"/>
                <w:lang w:eastAsia="en-IE"/>
              </w:rPr>
              <w:t>2</w:t>
            </w:r>
          </w:p>
        </w:tc>
        <w:tc>
          <w:tcPr>
            <w:tcW w:w="1655" w:type="dxa"/>
            <w:hideMark/>
          </w:tcPr>
          <w:p w:rsidR="000F72CA" w:rsidRPr="00B679C2"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0</w:t>
            </w:r>
          </w:p>
        </w:tc>
      </w:tr>
      <w:tr w:rsidR="000F72CA" w:rsidRPr="005C4524" w:rsidTr="005C452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Roscommon County</w:t>
            </w:r>
          </w:p>
        </w:tc>
        <w:tc>
          <w:tcPr>
            <w:tcW w:w="2410"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48.44</w:t>
            </w:r>
          </w:p>
        </w:tc>
        <w:tc>
          <w:tcPr>
            <w:tcW w:w="1843"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100.00</w:t>
            </w:r>
          </w:p>
        </w:tc>
        <w:tc>
          <w:tcPr>
            <w:tcW w:w="1559"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w:t>
            </w:r>
          </w:p>
        </w:tc>
        <w:tc>
          <w:tcPr>
            <w:tcW w:w="1655" w:type="dxa"/>
            <w:noWrap/>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87</w:t>
            </w:r>
          </w:p>
        </w:tc>
      </w:tr>
      <w:tr w:rsidR="000F72CA" w:rsidRPr="005C4524" w:rsidTr="005C452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Sligo County</w:t>
            </w:r>
          </w:p>
        </w:tc>
        <w:tc>
          <w:tcPr>
            <w:tcW w:w="2410"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36.36</w:t>
            </w:r>
          </w:p>
        </w:tc>
        <w:tc>
          <w:tcPr>
            <w:tcW w:w="1843"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60.00</w:t>
            </w:r>
          </w:p>
        </w:tc>
        <w:tc>
          <w:tcPr>
            <w:tcW w:w="1559"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w:t>
            </w:r>
          </w:p>
        </w:tc>
        <w:tc>
          <w:tcPr>
            <w:tcW w:w="1655"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146</w:t>
            </w:r>
          </w:p>
        </w:tc>
      </w:tr>
      <w:tr w:rsidR="000F72CA" w:rsidRPr="005C4524" w:rsidTr="005C452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South Dublin County</w:t>
            </w:r>
          </w:p>
        </w:tc>
        <w:tc>
          <w:tcPr>
            <w:tcW w:w="2410"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36.61</w:t>
            </w:r>
          </w:p>
        </w:tc>
        <w:tc>
          <w:tcPr>
            <w:tcW w:w="1843"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51.16</w:t>
            </w:r>
          </w:p>
        </w:tc>
        <w:tc>
          <w:tcPr>
            <w:tcW w:w="1559" w:type="dxa"/>
            <w:hideMark/>
          </w:tcPr>
          <w:p w:rsidR="000F72CA" w:rsidRPr="00B679C2"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2</w:t>
            </w:r>
          </w:p>
        </w:tc>
        <w:tc>
          <w:tcPr>
            <w:tcW w:w="1655" w:type="dxa"/>
            <w:noWrap/>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339</w:t>
            </w:r>
          </w:p>
        </w:tc>
      </w:tr>
      <w:tr w:rsidR="000F72CA" w:rsidRPr="005C4524" w:rsidTr="005C452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Tipperary County</w:t>
            </w:r>
          </w:p>
        </w:tc>
        <w:tc>
          <w:tcPr>
            <w:tcW w:w="2410"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62.16</w:t>
            </w:r>
          </w:p>
        </w:tc>
        <w:tc>
          <w:tcPr>
            <w:tcW w:w="1843"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87.50</w:t>
            </w:r>
          </w:p>
        </w:tc>
        <w:tc>
          <w:tcPr>
            <w:tcW w:w="1559" w:type="dxa"/>
            <w:hideMark/>
          </w:tcPr>
          <w:p w:rsidR="000F72CA" w:rsidRPr="00B679C2"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2</w:t>
            </w:r>
          </w:p>
        </w:tc>
        <w:tc>
          <w:tcPr>
            <w:tcW w:w="1655" w:type="dxa"/>
            <w:hideMark/>
          </w:tcPr>
          <w:p w:rsidR="000F72CA" w:rsidRPr="00322D7D"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87</w:t>
            </w:r>
            <w:r w:rsidR="00753EA5">
              <w:rPr>
                <w:rFonts w:eastAsia="Times New Roman" w:cstheme="minorHAnsi"/>
                <w:color w:val="000000"/>
                <w:vertAlign w:val="superscript"/>
                <w:lang w:eastAsia="en-IE"/>
              </w:rPr>
              <w:t>b</w:t>
            </w:r>
          </w:p>
        </w:tc>
      </w:tr>
      <w:tr w:rsidR="000F72CA" w:rsidRPr="005C4524" w:rsidTr="005C452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Waterford City &amp; County</w:t>
            </w:r>
          </w:p>
        </w:tc>
        <w:tc>
          <w:tcPr>
            <w:tcW w:w="2410"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81.56</w:t>
            </w:r>
          </w:p>
        </w:tc>
        <w:tc>
          <w:tcPr>
            <w:tcW w:w="1843"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16.30</w:t>
            </w:r>
          </w:p>
        </w:tc>
        <w:tc>
          <w:tcPr>
            <w:tcW w:w="1559"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655" w:type="dxa"/>
            <w:noWrap/>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150</w:t>
            </w:r>
          </w:p>
        </w:tc>
      </w:tr>
      <w:tr w:rsidR="000F72CA" w:rsidRPr="005C4524" w:rsidTr="005C452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Westmeath County</w:t>
            </w:r>
          </w:p>
        </w:tc>
        <w:tc>
          <w:tcPr>
            <w:tcW w:w="2410"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38.46</w:t>
            </w:r>
          </w:p>
        </w:tc>
        <w:tc>
          <w:tcPr>
            <w:tcW w:w="1843"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100.00</w:t>
            </w:r>
          </w:p>
        </w:tc>
        <w:tc>
          <w:tcPr>
            <w:tcW w:w="1559" w:type="dxa"/>
            <w:hideMark/>
          </w:tcPr>
          <w:p w:rsidR="000F72CA" w:rsidRPr="00B679C2" w:rsidRDefault="003B6145"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Pr>
                <w:rFonts w:eastAsia="Times New Roman" w:cstheme="minorHAnsi"/>
                <w:color w:val="000000"/>
                <w:lang w:eastAsia="en-IE"/>
              </w:rPr>
              <w:t>2</w:t>
            </w:r>
          </w:p>
        </w:tc>
        <w:tc>
          <w:tcPr>
            <w:tcW w:w="1655"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223</w:t>
            </w:r>
          </w:p>
        </w:tc>
      </w:tr>
      <w:tr w:rsidR="000F72CA" w:rsidRPr="005C4524" w:rsidTr="005C452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Wexford County</w:t>
            </w:r>
          </w:p>
        </w:tc>
        <w:tc>
          <w:tcPr>
            <w:tcW w:w="2410"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72.97</w:t>
            </w:r>
          </w:p>
        </w:tc>
        <w:tc>
          <w:tcPr>
            <w:tcW w:w="1843"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40</w:t>
            </w:r>
          </w:p>
        </w:tc>
        <w:tc>
          <w:tcPr>
            <w:tcW w:w="1559" w:type="dxa"/>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p>
        </w:tc>
        <w:tc>
          <w:tcPr>
            <w:tcW w:w="1655" w:type="dxa"/>
            <w:noWrap/>
            <w:hideMark/>
          </w:tcPr>
          <w:p w:rsidR="000F72CA" w:rsidRPr="005C4524" w:rsidRDefault="000F72CA" w:rsidP="00FC59B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318</w:t>
            </w:r>
          </w:p>
        </w:tc>
      </w:tr>
      <w:tr w:rsidR="000F72CA" w:rsidRPr="005C4524" w:rsidTr="005C452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2" w:type="dxa"/>
            <w:noWrap/>
            <w:hideMark/>
          </w:tcPr>
          <w:p w:rsidR="000F72CA" w:rsidRPr="005C4524" w:rsidRDefault="000F72CA" w:rsidP="00FC59BA">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Wicklow County</w:t>
            </w:r>
          </w:p>
        </w:tc>
        <w:tc>
          <w:tcPr>
            <w:tcW w:w="2410"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21.10</w:t>
            </w:r>
          </w:p>
        </w:tc>
        <w:tc>
          <w:tcPr>
            <w:tcW w:w="1843"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102.50</w:t>
            </w:r>
          </w:p>
        </w:tc>
        <w:tc>
          <w:tcPr>
            <w:tcW w:w="1559" w:type="dxa"/>
            <w:hideMark/>
          </w:tcPr>
          <w:p w:rsidR="000F72CA" w:rsidRPr="00B679C2"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1</w:t>
            </w:r>
          </w:p>
        </w:tc>
        <w:tc>
          <w:tcPr>
            <w:tcW w:w="1655" w:type="dxa"/>
            <w:hideMark/>
          </w:tcPr>
          <w:p w:rsidR="000F72CA" w:rsidRPr="005C4524" w:rsidRDefault="000F72CA" w:rsidP="00FC59B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112</w:t>
            </w:r>
          </w:p>
        </w:tc>
      </w:tr>
    </w:tbl>
    <w:p w:rsidR="000363D7" w:rsidRDefault="005C4524" w:rsidP="009660A3">
      <w:pPr>
        <w:spacing w:after="0" w:line="240" w:lineRule="auto"/>
        <w:jc w:val="both"/>
        <w:rPr>
          <w:rFonts w:eastAsia="Times New Roman" w:cstheme="minorHAnsi"/>
          <w:bCs/>
          <w:color w:val="000000"/>
          <w:sz w:val="18"/>
          <w:szCs w:val="18"/>
          <w:vertAlign w:val="superscript"/>
          <w:lang w:eastAsia="en-IE"/>
        </w:rPr>
      </w:pPr>
      <w:r w:rsidRPr="009660A3">
        <w:rPr>
          <w:rFonts w:eastAsia="Times New Roman" w:cstheme="minorHAnsi"/>
          <w:bCs/>
          <w:color w:val="000000"/>
          <w:sz w:val="18"/>
          <w:szCs w:val="18"/>
          <w:vertAlign w:val="superscript"/>
          <w:lang w:eastAsia="en-IE"/>
        </w:rPr>
        <w:lastRenderedPageBreak/>
        <w:t xml:space="preserve"> </w:t>
      </w:r>
    </w:p>
    <w:p w:rsidR="005C4524" w:rsidRPr="009660A3" w:rsidRDefault="000363D7" w:rsidP="000363D7">
      <w:pPr>
        <w:spacing w:after="0" w:line="240" w:lineRule="auto"/>
        <w:jc w:val="both"/>
        <w:rPr>
          <w:rFonts w:eastAsia="Times New Roman" w:cstheme="minorHAnsi"/>
          <w:bCs/>
          <w:color w:val="000000"/>
          <w:sz w:val="18"/>
          <w:szCs w:val="18"/>
          <w:lang w:eastAsia="en-IE"/>
        </w:rPr>
      </w:pPr>
      <w:r w:rsidRPr="000363D7">
        <w:rPr>
          <w:rFonts w:eastAsia="Times New Roman" w:cstheme="minorHAnsi"/>
          <w:bCs/>
          <w:color w:val="000000"/>
          <w:sz w:val="18"/>
          <w:szCs w:val="18"/>
          <w:lang w:eastAsia="en-IE"/>
        </w:rPr>
        <w:t>PPN structures were not established in a significant number of local authorities by 31/12/2014. Therefore no data is available in most</w:t>
      </w:r>
      <w:r>
        <w:rPr>
          <w:rFonts w:eastAsia="Times New Roman" w:cstheme="minorHAnsi"/>
          <w:bCs/>
          <w:color w:val="000000"/>
          <w:sz w:val="18"/>
          <w:szCs w:val="18"/>
          <w:lang w:eastAsia="en-IE"/>
        </w:rPr>
        <w:t xml:space="preserve"> c</w:t>
      </w:r>
      <w:r w:rsidRPr="000363D7">
        <w:rPr>
          <w:rFonts w:eastAsia="Times New Roman" w:cstheme="minorHAnsi"/>
          <w:bCs/>
          <w:color w:val="000000"/>
          <w:sz w:val="18"/>
          <w:szCs w:val="18"/>
          <w:lang w:eastAsia="en-IE"/>
        </w:rPr>
        <w:t xml:space="preserve">ases. </w:t>
      </w:r>
    </w:p>
    <w:p w:rsidR="005C4524" w:rsidRPr="009660A3" w:rsidRDefault="00753EA5" w:rsidP="009660A3">
      <w:pPr>
        <w:spacing w:after="0" w:line="240" w:lineRule="auto"/>
        <w:jc w:val="both"/>
        <w:rPr>
          <w:rFonts w:eastAsia="Times New Roman" w:cstheme="minorHAnsi"/>
          <w:bCs/>
          <w:color w:val="000000"/>
          <w:sz w:val="18"/>
          <w:szCs w:val="18"/>
          <w:lang w:eastAsia="en-IE"/>
        </w:rPr>
      </w:pPr>
      <w:proofErr w:type="gramStart"/>
      <w:r>
        <w:rPr>
          <w:rFonts w:eastAsia="Times New Roman" w:cstheme="minorHAnsi"/>
          <w:bCs/>
          <w:color w:val="000000"/>
          <w:sz w:val="18"/>
          <w:szCs w:val="18"/>
          <w:vertAlign w:val="superscript"/>
          <w:lang w:eastAsia="en-IE"/>
        </w:rPr>
        <w:t>a</w:t>
      </w:r>
      <w:proofErr w:type="gramEnd"/>
      <w:r w:rsidR="005C4524" w:rsidRPr="009660A3">
        <w:rPr>
          <w:rFonts w:eastAsia="Times New Roman" w:cstheme="minorHAnsi"/>
          <w:bCs/>
          <w:color w:val="000000"/>
          <w:sz w:val="18"/>
          <w:szCs w:val="18"/>
          <w:vertAlign w:val="superscript"/>
          <w:lang w:eastAsia="en-IE"/>
        </w:rPr>
        <w:t xml:space="preserve"> </w:t>
      </w:r>
      <w:r w:rsidR="005C4524" w:rsidRPr="009660A3">
        <w:rPr>
          <w:rFonts w:eastAsia="Times New Roman" w:cstheme="minorHAnsi"/>
          <w:bCs/>
          <w:color w:val="000000"/>
          <w:sz w:val="18"/>
          <w:szCs w:val="18"/>
          <w:u w:val="single"/>
          <w:lang w:eastAsia="en-IE"/>
        </w:rPr>
        <w:t>Dublin:</w:t>
      </w:r>
      <w:r w:rsidR="005C4524" w:rsidRPr="009660A3">
        <w:rPr>
          <w:rFonts w:eastAsia="Times New Roman" w:cstheme="minorHAnsi"/>
          <w:bCs/>
          <w:color w:val="000000"/>
          <w:sz w:val="18"/>
          <w:szCs w:val="18"/>
          <w:lang w:eastAsia="en-IE"/>
        </w:rPr>
        <w:t xml:space="preserve"> Goal 3 support initiative is not </w:t>
      </w:r>
      <w:r w:rsidR="00CF3DE2">
        <w:rPr>
          <w:rFonts w:eastAsia="Times New Roman" w:cstheme="minorHAnsi"/>
          <w:bCs/>
          <w:color w:val="000000"/>
          <w:sz w:val="18"/>
          <w:szCs w:val="18"/>
          <w:lang w:eastAsia="en-IE"/>
        </w:rPr>
        <w:t>a</w:t>
      </w:r>
      <w:r w:rsidR="005C4524" w:rsidRPr="009660A3">
        <w:rPr>
          <w:rFonts w:eastAsia="Times New Roman" w:cstheme="minorHAnsi"/>
          <w:bCs/>
          <w:color w:val="000000"/>
          <w:sz w:val="18"/>
          <w:szCs w:val="18"/>
          <w:lang w:eastAsia="en-IE"/>
        </w:rPr>
        <w:t>dministered by Dublin City Council</w:t>
      </w:r>
    </w:p>
    <w:p w:rsidR="005C4524" w:rsidRPr="009660A3" w:rsidRDefault="00753EA5" w:rsidP="009660A3">
      <w:pPr>
        <w:spacing w:after="0" w:line="240" w:lineRule="auto"/>
        <w:jc w:val="both"/>
        <w:rPr>
          <w:rFonts w:eastAsia="Times New Roman" w:cstheme="minorHAnsi"/>
          <w:bCs/>
          <w:color w:val="000000"/>
          <w:sz w:val="18"/>
          <w:szCs w:val="18"/>
          <w:lang w:eastAsia="en-IE"/>
        </w:rPr>
      </w:pPr>
      <w:proofErr w:type="gramStart"/>
      <w:r>
        <w:rPr>
          <w:rFonts w:eastAsia="Times New Roman" w:cstheme="minorHAnsi"/>
          <w:bCs/>
          <w:color w:val="000000"/>
          <w:sz w:val="18"/>
          <w:szCs w:val="18"/>
          <w:vertAlign w:val="superscript"/>
          <w:lang w:eastAsia="en-IE"/>
        </w:rPr>
        <w:t>b</w:t>
      </w:r>
      <w:proofErr w:type="gramEnd"/>
      <w:r w:rsidR="005C4524" w:rsidRPr="009660A3">
        <w:rPr>
          <w:rFonts w:eastAsia="Times New Roman" w:cstheme="minorHAnsi"/>
          <w:bCs/>
          <w:color w:val="000000"/>
          <w:sz w:val="18"/>
          <w:szCs w:val="18"/>
          <w:vertAlign w:val="superscript"/>
          <w:lang w:eastAsia="en-IE"/>
        </w:rPr>
        <w:t xml:space="preserve"> </w:t>
      </w:r>
      <w:r w:rsidR="005C4524" w:rsidRPr="009660A3">
        <w:rPr>
          <w:rFonts w:eastAsia="Times New Roman" w:cstheme="minorHAnsi"/>
          <w:bCs/>
          <w:color w:val="000000"/>
          <w:sz w:val="18"/>
          <w:szCs w:val="18"/>
          <w:u w:val="single"/>
          <w:lang w:eastAsia="en-IE"/>
        </w:rPr>
        <w:t>Tipperary:</w:t>
      </w:r>
      <w:r w:rsidR="005C4524" w:rsidRPr="009660A3">
        <w:rPr>
          <w:rFonts w:eastAsia="Times New Roman" w:cstheme="minorHAnsi"/>
          <w:bCs/>
          <w:color w:val="000000"/>
          <w:sz w:val="18"/>
          <w:szCs w:val="18"/>
          <w:lang w:eastAsia="en-IE"/>
        </w:rPr>
        <w:t xml:space="preserve"> In 2014 Tipperary Co. Co. didn’t have responsibility for the Community Development Programme, it was been managed by </w:t>
      </w:r>
      <w:proofErr w:type="spellStart"/>
      <w:r w:rsidR="005C4524" w:rsidRPr="009660A3">
        <w:rPr>
          <w:rFonts w:eastAsia="Times New Roman" w:cstheme="minorHAnsi"/>
          <w:bCs/>
          <w:color w:val="000000"/>
          <w:sz w:val="18"/>
          <w:szCs w:val="18"/>
          <w:lang w:eastAsia="en-IE"/>
        </w:rPr>
        <w:t>Pobal</w:t>
      </w:r>
      <w:proofErr w:type="spellEnd"/>
      <w:r w:rsidR="005C4524" w:rsidRPr="009660A3">
        <w:rPr>
          <w:rFonts w:eastAsia="Times New Roman" w:cstheme="minorHAnsi"/>
          <w:bCs/>
          <w:color w:val="000000"/>
          <w:sz w:val="18"/>
          <w:szCs w:val="18"/>
          <w:lang w:eastAsia="en-IE"/>
        </w:rPr>
        <w:t xml:space="preserve"> and rolled out by the Local Development Companies.</w:t>
      </w:r>
    </w:p>
    <w:p w:rsidR="005C4524" w:rsidRDefault="005C4524" w:rsidP="00E80676">
      <w:pPr>
        <w:spacing w:after="0" w:line="240" w:lineRule="auto"/>
        <w:rPr>
          <w:rFonts w:eastAsia="Times New Roman" w:cstheme="minorHAnsi"/>
          <w:b/>
          <w:bCs/>
          <w:color w:val="000000"/>
          <w:lang w:eastAsia="en-IE"/>
        </w:rPr>
      </w:pPr>
    </w:p>
    <w:p w:rsidR="005C4524" w:rsidRPr="00B97E75" w:rsidRDefault="005C4524" w:rsidP="00E80676">
      <w:pPr>
        <w:spacing w:after="0" w:line="240" w:lineRule="auto"/>
        <w:rPr>
          <w:rFonts w:eastAsia="Times New Roman" w:cstheme="minorHAnsi"/>
          <w:b/>
          <w:bCs/>
          <w:color w:val="000000"/>
          <w:lang w:eastAsia="en-IE"/>
        </w:rPr>
      </w:pPr>
    </w:p>
    <w:tbl>
      <w:tblPr>
        <w:tblW w:w="6255" w:type="dxa"/>
        <w:tblInd w:w="80" w:type="dxa"/>
        <w:tblLook w:val="04A0" w:firstRow="1" w:lastRow="0" w:firstColumn="1" w:lastColumn="0" w:noHBand="0" w:noVBand="1"/>
      </w:tblPr>
      <w:tblGrid>
        <w:gridCol w:w="1126"/>
        <w:gridCol w:w="1069"/>
        <w:gridCol w:w="772"/>
        <w:gridCol w:w="772"/>
        <w:gridCol w:w="840"/>
        <w:gridCol w:w="836"/>
        <w:gridCol w:w="840"/>
      </w:tblGrid>
      <w:tr w:rsidR="00E17A00" w:rsidRPr="00B97E75" w:rsidTr="00D91732">
        <w:trPr>
          <w:trHeight w:val="330"/>
        </w:trPr>
        <w:tc>
          <w:tcPr>
            <w:tcW w:w="6255" w:type="dxa"/>
            <w:gridSpan w:val="7"/>
            <w:tcBorders>
              <w:top w:val="single" w:sz="8" w:space="0" w:color="000000"/>
              <w:left w:val="single" w:sz="8" w:space="0" w:color="000000"/>
              <w:bottom w:val="nil"/>
              <w:right w:val="single" w:sz="8" w:space="0" w:color="000000"/>
            </w:tcBorders>
            <w:shd w:val="clear" w:color="auto" w:fill="auto"/>
            <w:vAlign w:val="center"/>
            <w:hideMark/>
          </w:tcPr>
          <w:p w:rsidR="00E17A00" w:rsidRPr="00B97E75" w:rsidRDefault="00F23841" w:rsidP="007B6923">
            <w:pPr>
              <w:spacing w:after="0" w:line="240" w:lineRule="auto"/>
              <w:rPr>
                <w:rFonts w:eastAsia="Times New Roman" w:cstheme="minorHAnsi"/>
                <w:color w:val="000000"/>
                <w:lang w:eastAsia="en-IE"/>
              </w:rPr>
            </w:pPr>
            <w:r w:rsidRPr="00B97E75">
              <w:rPr>
                <w:rFonts w:cstheme="minorHAnsi"/>
              </w:rPr>
              <w:br w:type="page"/>
            </w:r>
            <w:r w:rsidR="00E17A00" w:rsidRPr="00B97E75">
              <w:rPr>
                <w:rFonts w:eastAsia="Arial" w:cstheme="minorHAnsi"/>
                <w:b/>
                <w:bCs/>
                <w:color w:val="000000"/>
                <w:lang w:val="en-US" w:eastAsia="en-IE"/>
              </w:rPr>
              <w:t>Summary Statistics 2010 - 2014</w:t>
            </w:r>
          </w:p>
        </w:tc>
      </w:tr>
      <w:tr w:rsidR="00E17A00" w:rsidRPr="00B97E75" w:rsidTr="007B6923">
        <w:trPr>
          <w:trHeight w:val="508"/>
        </w:trPr>
        <w:tc>
          <w:tcPr>
            <w:tcW w:w="2195" w:type="dxa"/>
            <w:gridSpan w:val="2"/>
            <w:tcBorders>
              <w:top w:val="single" w:sz="8" w:space="0" w:color="auto"/>
              <w:left w:val="single" w:sz="8" w:space="0" w:color="auto"/>
              <w:bottom w:val="single" w:sz="4" w:space="0" w:color="auto"/>
              <w:right w:val="single" w:sz="4" w:space="0" w:color="auto"/>
            </w:tcBorders>
            <w:shd w:val="clear" w:color="auto" w:fill="B6DDE8" w:themeFill="accent5" w:themeFillTint="66"/>
            <w:vAlign w:val="center"/>
            <w:hideMark/>
          </w:tcPr>
          <w:p w:rsidR="00E17A00" w:rsidRPr="00B97E75" w:rsidRDefault="00E17A00" w:rsidP="007B6923">
            <w:pPr>
              <w:spacing w:after="0" w:line="240" w:lineRule="auto"/>
              <w:rPr>
                <w:rFonts w:eastAsia="Times New Roman" w:cstheme="minorHAnsi"/>
                <w:b/>
                <w:bCs/>
                <w:color w:val="000000"/>
                <w:lang w:eastAsia="en-IE"/>
              </w:rPr>
            </w:pPr>
            <w:r w:rsidRPr="00B97E75">
              <w:rPr>
                <w:rFonts w:eastAsia="Times New Roman" w:cstheme="minorHAnsi"/>
                <w:b/>
                <w:bCs/>
                <w:noProof/>
                <w:color w:val="000000"/>
                <w:lang w:val="en-US" w:eastAsia="en-IE"/>
              </w:rPr>
              <w:t xml:space="preserve">Percentage of local schools </w:t>
            </w:r>
            <w:r>
              <w:rPr>
                <w:rFonts w:eastAsia="Times New Roman" w:cstheme="minorHAnsi"/>
                <w:b/>
                <w:bCs/>
                <w:noProof/>
                <w:color w:val="000000"/>
                <w:lang w:val="en-US" w:eastAsia="en-IE"/>
              </w:rPr>
              <w:t xml:space="preserve">and youth clubs </w:t>
            </w:r>
            <w:r w:rsidRPr="00B97E75">
              <w:rPr>
                <w:rFonts w:eastAsia="Times New Roman" w:cstheme="minorHAnsi"/>
                <w:b/>
                <w:bCs/>
                <w:noProof/>
                <w:color w:val="000000"/>
                <w:lang w:val="en-US" w:eastAsia="en-IE"/>
              </w:rPr>
              <w:t>involved in the local Youth Council/ Comhairle na n</w:t>
            </w:r>
            <w:r w:rsidRPr="00B0335E">
              <w:rPr>
                <w:rFonts w:eastAsia="Times New Roman" w:cstheme="minorHAnsi"/>
                <w:b/>
                <w:bCs/>
                <w:noProof/>
                <w:color w:val="000000"/>
                <w:lang w:val="en-US" w:eastAsia="en-IE"/>
              </w:rPr>
              <w:t>-</w:t>
            </w:r>
            <w:r w:rsidRPr="00B0335E">
              <w:rPr>
                <w:rFonts w:eastAsia="Times New Roman" w:cstheme="minorHAnsi"/>
                <w:b/>
                <w:noProof/>
                <w:color w:val="000000"/>
                <w:lang w:val="en-US" w:eastAsia="en-IE"/>
              </w:rPr>
              <w:t>Ó</w:t>
            </w:r>
            <w:r w:rsidRPr="00B0335E">
              <w:rPr>
                <w:rFonts w:eastAsia="Times New Roman" w:cstheme="minorHAnsi"/>
                <w:b/>
                <w:bCs/>
                <w:noProof/>
                <w:color w:val="000000"/>
                <w:lang w:val="en-US" w:eastAsia="en-IE"/>
              </w:rPr>
              <w:t>g</w:t>
            </w:r>
            <w:r w:rsidRPr="00B97E75">
              <w:rPr>
                <w:rFonts w:eastAsia="Times New Roman" w:cstheme="minorHAnsi"/>
                <w:b/>
                <w:bCs/>
                <w:noProof/>
                <w:color w:val="000000"/>
                <w:lang w:val="en-US" w:eastAsia="en-IE"/>
              </w:rPr>
              <w:t xml:space="preserve"> scheme</w:t>
            </w:r>
          </w:p>
        </w:tc>
        <w:tc>
          <w:tcPr>
            <w:tcW w:w="772" w:type="dxa"/>
            <w:tcBorders>
              <w:top w:val="single" w:sz="8" w:space="0" w:color="auto"/>
              <w:left w:val="nil"/>
              <w:bottom w:val="single" w:sz="4" w:space="0" w:color="auto"/>
              <w:right w:val="single" w:sz="4" w:space="0" w:color="auto"/>
            </w:tcBorders>
            <w:shd w:val="clear" w:color="auto" w:fill="B6DDE8" w:themeFill="accent5" w:themeFillTint="66"/>
            <w:vAlign w:val="center"/>
            <w:hideMark/>
          </w:tcPr>
          <w:p w:rsidR="00E17A00" w:rsidRPr="00B97E75" w:rsidRDefault="00E17A00" w:rsidP="007B6923">
            <w:pPr>
              <w:spacing w:after="0" w:line="240" w:lineRule="auto"/>
              <w:rPr>
                <w:rFonts w:eastAsia="Times New Roman" w:cstheme="minorHAnsi"/>
                <w:b/>
                <w:bCs/>
                <w:color w:val="000000"/>
                <w:lang w:eastAsia="en-IE"/>
              </w:rPr>
            </w:pPr>
            <w:r w:rsidRPr="00B97E75">
              <w:rPr>
                <w:rFonts w:eastAsia="Arial" w:cstheme="minorHAnsi"/>
                <w:b/>
                <w:bCs/>
                <w:color w:val="000000"/>
                <w:lang w:val="en-US" w:eastAsia="en-IE"/>
              </w:rPr>
              <w:t>2010</w:t>
            </w:r>
          </w:p>
        </w:tc>
        <w:tc>
          <w:tcPr>
            <w:tcW w:w="772" w:type="dxa"/>
            <w:tcBorders>
              <w:top w:val="single" w:sz="8" w:space="0" w:color="auto"/>
              <w:left w:val="nil"/>
              <w:bottom w:val="single" w:sz="4" w:space="0" w:color="auto"/>
              <w:right w:val="single" w:sz="4" w:space="0" w:color="auto"/>
            </w:tcBorders>
            <w:shd w:val="clear" w:color="auto" w:fill="B6DDE8" w:themeFill="accent5" w:themeFillTint="66"/>
            <w:vAlign w:val="center"/>
            <w:hideMark/>
          </w:tcPr>
          <w:p w:rsidR="00E17A00" w:rsidRPr="00B97E75" w:rsidRDefault="00E17A00" w:rsidP="007B6923">
            <w:pPr>
              <w:spacing w:after="0" w:line="240" w:lineRule="auto"/>
              <w:rPr>
                <w:rFonts w:eastAsia="Times New Roman" w:cstheme="minorHAnsi"/>
                <w:b/>
                <w:bCs/>
                <w:color w:val="000000"/>
                <w:lang w:eastAsia="en-IE"/>
              </w:rPr>
            </w:pPr>
            <w:r w:rsidRPr="00B97E75">
              <w:rPr>
                <w:rFonts w:eastAsia="Arial" w:cstheme="minorHAnsi"/>
                <w:b/>
                <w:bCs/>
                <w:color w:val="000000"/>
                <w:lang w:val="en-US" w:eastAsia="en-IE"/>
              </w:rPr>
              <w:t>2011</w:t>
            </w:r>
          </w:p>
        </w:tc>
        <w:tc>
          <w:tcPr>
            <w:tcW w:w="840" w:type="dxa"/>
            <w:tcBorders>
              <w:top w:val="single" w:sz="8" w:space="0" w:color="auto"/>
              <w:left w:val="nil"/>
              <w:bottom w:val="single" w:sz="4" w:space="0" w:color="auto"/>
              <w:right w:val="single" w:sz="4" w:space="0" w:color="auto"/>
            </w:tcBorders>
            <w:shd w:val="clear" w:color="auto" w:fill="B6DDE8" w:themeFill="accent5" w:themeFillTint="66"/>
            <w:vAlign w:val="center"/>
            <w:hideMark/>
          </w:tcPr>
          <w:p w:rsidR="00E17A00" w:rsidRPr="00B97E75" w:rsidRDefault="00E17A00" w:rsidP="007B6923">
            <w:pPr>
              <w:spacing w:after="0" w:line="240" w:lineRule="auto"/>
              <w:rPr>
                <w:rFonts w:eastAsia="Times New Roman" w:cstheme="minorHAnsi"/>
                <w:b/>
                <w:bCs/>
                <w:color w:val="000000"/>
                <w:lang w:eastAsia="en-IE"/>
              </w:rPr>
            </w:pPr>
            <w:r w:rsidRPr="00B97E75">
              <w:rPr>
                <w:rFonts w:eastAsia="Arial" w:cstheme="minorHAnsi"/>
                <w:b/>
                <w:bCs/>
                <w:color w:val="000000"/>
                <w:lang w:val="en-US" w:eastAsia="en-IE"/>
              </w:rPr>
              <w:t>2012</w:t>
            </w:r>
          </w:p>
        </w:tc>
        <w:tc>
          <w:tcPr>
            <w:tcW w:w="836" w:type="dxa"/>
            <w:tcBorders>
              <w:top w:val="single" w:sz="8" w:space="0" w:color="auto"/>
              <w:left w:val="nil"/>
              <w:bottom w:val="single" w:sz="4" w:space="0" w:color="auto"/>
              <w:right w:val="single" w:sz="4" w:space="0" w:color="auto"/>
            </w:tcBorders>
            <w:shd w:val="clear" w:color="auto" w:fill="B6DDE8" w:themeFill="accent5" w:themeFillTint="66"/>
            <w:vAlign w:val="center"/>
            <w:hideMark/>
          </w:tcPr>
          <w:p w:rsidR="00E17A00" w:rsidRPr="00B97E75" w:rsidRDefault="00E17A00" w:rsidP="007B6923">
            <w:pPr>
              <w:spacing w:after="0" w:line="240" w:lineRule="auto"/>
              <w:rPr>
                <w:rFonts w:eastAsia="Times New Roman" w:cstheme="minorHAnsi"/>
                <w:b/>
                <w:bCs/>
                <w:color w:val="000000"/>
                <w:lang w:eastAsia="en-IE"/>
              </w:rPr>
            </w:pPr>
            <w:r w:rsidRPr="00B97E75">
              <w:rPr>
                <w:rFonts w:eastAsia="Arial" w:cstheme="minorHAnsi"/>
                <w:b/>
                <w:bCs/>
                <w:color w:val="000000"/>
                <w:lang w:val="en-US" w:eastAsia="en-IE"/>
              </w:rPr>
              <w:t>2013</w:t>
            </w:r>
          </w:p>
        </w:tc>
        <w:tc>
          <w:tcPr>
            <w:tcW w:w="840" w:type="dxa"/>
            <w:tcBorders>
              <w:top w:val="single" w:sz="8" w:space="0" w:color="auto"/>
              <w:left w:val="nil"/>
              <w:bottom w:val="single" w:sz="4" w:space="0" w:color="auto"/>
              <w:right w:val="single" w:sz="8" w:space="0" w:color="auto"/>
            </w:tcBorders>
            <w:shd w:val="clear" w:color="auto" w:fill="B6DDE8" w:themeFill="accent5" w:themeFillTint="66"/>
            <w:vAlign w:val="center"/>
            <w:hideMark/>
          </w:tcPr>
          <w:p w:rsidR="00E17A00" w:rsidRPr="00B97E75" w:rsidRDefault="00E17A00" w:rsidP="007B6923">
            <w:pPr>
              <w:spacing w:after="0" w:line="240" w:lineRule="auto"/>
              <w:rPr>
                <w:rFonts w:eastAsia="Times New Roman" w:cstheme="minorHAnsi"/>
                <w:b/>
                <w:bCs/>
                <w:color w:val="000000"/>
                <w:lang w:eastAsia="en-IE"/>
              </w:rPr>
            </w:pPr>
            <w:r w:rsidRPr="00B97E75">
              <w:rPr>
                <w:rFonts w:eastAsia="Arial" w:cstheme="minorHAnsi"/>
                <w:b/>
                <w:bCs/>
                <w:color w:val="000000"/>
                <w:lang w:val="en-US" w:eastAsia="en-IE"/>
              </w:rPr>
              <w:t>2014</w:t>
            </w:r>
          </w:p>
        </w:tc>
      </w:tr>
      <w:tr w:rsidR="00E17A00" w:rsidRPr="00B97E75" w:rsidTr="007B6923">
        <w:trPr>
          <w:trHeight w:val="253"/>
        </w:trPr>
        <w:tc>
          <w:tcPr>
            <w:tcW w:w="1126" w:type="dxa"/>
            <w:tcBorders>
              <w:top w:val="nil"/>
              <w:left w:val="single" w:sz="8" w:space="0" w:color="auto"/>
              <w:bottom w:val="single" w:sz="4" w:space="0" w:color="auto"/>
              <w:right w:val="single" w:sz="4" w:space="0" w:color="auto"/>
            </w:tcBorders>
            <w:shd w:val="clear" w:color="auto" w:fill="auto"/>
            <w:vAlign w:val="center"/>
            <w:hideMark/>
          </w:tcPr>
          <w:p w:rsidR="00E17A00" w:rsidRPr="00B97E75" w:rsidRDefault="00E17A00" w:rsidP="007B6923">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1069" w:type="dxa"/>
            <w:tcBorders>
              <w:top w:val="nil"/>
              <w:left w:val="nil"/>
              <w:bottom w:val="single" w:sz="4" w:space="0" w:color="auto"/>
              <w:right w:val="single" w:sz="4" w:space="0" w:color="auto"/>
            </w:tcBorders>
            <w:shd w:val="clear" w:color="auto" w:fill="auto"/>
            <w:vAlign w:val="center"/>
            <w:hideMark/>
          </w:tcPr>
          <w:p w:rsidR="00E17A00" w:rsidRPr="00B97E75" w:rsidRDefault="00E17A00" w:rsidP="007B6923">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772" w:type="dxa"/>
            <w:tcBorders>
              <w:top w:val="nil"/>
              <w:left w:val="nil"/>
              <w:bottom w:val="single" w:sz="4" w:space="0" w:color="auto"/>
              <w:right w:val="single" w:sz="4" w:space="0" w:color="auto"/>
            </w:tcBorders>
            <w:shd w:val="clear" w:color="auto" w:fill="auto"/>
            <w:vAlign w:val="center"/>
            <w:hideMark/>
          </w:tcPr>
          <w:p w:rsidR="00E17A00" w:rsidRPr="00B97E75" w:rsidRDefault="00E17A00" w:rsidP="007B6923">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34</w:t>
            </w:r>
          </w:p>
        </w:tc>
        <w:tc>
          <w:tcPr>
            <w:tcW w:w="772" w:type="dxa"/>
            <w:tcBorders>
              <w:top w:val="nil"/>
              <w:left w:val="nil"/>
              <w:bottom w:val="single" w:sz="4" w:space="0" w:color="auto"/>
              <w:right w:val="single" w:sz="4" w:space="0" w:color="auto"/>
            </w:tcBorders>
            <w:shd w:val="clear" w:color="auto" w:fill="auto"/>
            <w:vAlign w:val="center"/>
            <w:hideMark/>
          </w:tcPr>
          <w:p w:rsidR="00E17A00" w:rsidRPr="00B97E75" w:rsidRDefault="00E17A00" w:rsidP="007B6923">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34</w:t>
            </w:r>
          </w:p>
        </w:tc>
        <w:tc>
          <w:tcPr>
            <w:tcW w:w="840" w:type="dxa"/>
            <w:tcBorders>
              <w:top w:val="nil"/>
              <w:left w:val="nil"/>
              <w:bottom w:val="single" w:sz="4" w:space="0" w:color="auto"/>
              <w:right w:val="single" w:sz="4" w:space="0" w:color="auto"/>
            </w:tcBorders>
            <w:shd w:val="clear" w:color="auto" w:fill="auto"/>
            <w:vAlign w:val="center"/>
            <w:hideMark/>
          </w:tcPr>
          <w:p w:rsidR="00E17A00" w:rsidRPr="00B97E75" w:rsidRDefault="00E17A00" w:rsidP="007B6923">
            <w:pPr>
              <w:spacing w:after="0" w:line="240" w:lineRule="auto"/>
              <w:rPr>
                <w:rFonts w:eastAsia="Times New Roman" w:cstheme="minorHAnsi"/>
                <w:color w:val="000000"/>
                <w:lang w:eastAsia="en-IE"/>
              </w:rPr>
            </w:pPr>
            <w:r w:rsidRPr="00B97E75">
              <w:rPr>
                <w:rFonts w:eastAsia="Arial" w:cstheme="minorHAnsi"/>
                <w:color w:val="000000"/>
                <w:lang w:val="en-US" w:eastAsia="en-IE"/>
              </w:rPr>
              <w:t>34</w:t>
            </w:r>
          </w:p>
        </w:tc>
        <w:tc>
          <w:tcPr>
            <w:tcW w:w="836" w:type="dxa"/>
            <w:tcBorders>
              <w:top w:val="nil"/>
              <w:left w:val="nil"/>
              <w:bottom w:val="single" w:sz="4" w:space="0" w:color="auto"/>
              <w:right w:val="single" w:sz="4" w:space="0" w:color="auto"/>
            </w:tcBorders>
            <w:shd w:val="clear" w:color="auto" w:fill="auto"/>
            <w:vAlign w:val="center"/>
            <w:hideMark/>
          </w:tcPr>
          <w:p w:rsidR="00E17A00" w:rsidRPr="00B97E75" w:rsidRDefault="00E17A00" w:rsidP="007B6923">
            <w:pPr>
              <w:spacing w:after="0" w:line="240" w:lineRule="auto"/>
              <w:rPr>
                <w:rFonts w:eastAsia="Times New Roman" w:cstheme="minorHAnsi"/>
                <w:color w:val="000000"/>
                <w:lang w:eastAsia="en-IE"/>
              </w:rPr>
            </w:pPr>
            <w:r w:rsidRPr="00B97E75">
              <w:rPr>
                <w:rFonts w:eastAsia="Arial" w:cstheme="minorHAnsi"/>
                <w:color w:val="000000"/>
                <w:lang w:val="en-US" w:eastAsia="en-IE"/>
              </w:rPr>
              <w:t>34</w:t>
            </w:r>
          </w:p>
        </w:tc>
        <w:tc>
          <w:tcPr>
            <w:tcW w:w="840" w:type="dxa"/>
            <w:tcBorders>
              <w:top w:val="nil"/>
              <w:left w:val="nil"/>
              <w:bottom w:val="single" w:sz="4" w:space="0" w:color="auto"/>
              <w:right w:val="single" w:sz="8" w:space="0" w:color="auto"/>
            </w:tcBorders>
            <w:shd w:val="clear" w:color="auto" w:fill="auto"/>
            <w:vAlign w:val="center"/>
            <w:hideMark/>
          </w:tcPr>
          <w:p w:rsidR="00E17A00" w:rsidRPr="00B97E75" w:rsidRDefault="00E17A00" w:rsidP="007B6923">
            <w:pPr>
              <w:spacing w:after="0" w:line="240" w:lineRule="auto"/>
              <w:rPr>
                <w:rFonts w:eastAsia="Times New Roman" w:cstheme="minorHAnsi"/>
                <w:color w:val="000000"/>
                <w:lang w:eastAsia="en-IE"/>
              </w:rPr>
            </w:pPr>
            <w:r w:rsidRPr="00B97E75">
              <w:rPr>
                <w:rFonts w:eastAsia="Arial" w:cstheme="minorHAnsi"/>
                <w:color w:val="000000"/>
                <w:lang w:val="en-US" w:eastAsia="en-IE"/>
              </w:rPr>
              <w:t>3</w:t>
            </w:r>
            <w:r>
              <w:rPr>
                <w:rFonts w:eastAsia="Arial" w:cstheme="minorHAnsi"/>
                <w:color w:val="000000"/>
                <w:lang w:val="en-US" w:eastAsia="en-IE"/>
              </w:rPr>
              <w:t>0</w:t>
            </w:r>
          </w:p>
        </w:tc>
      </w:tr>
      <w:tr w:rsidR="00E17A00" w:rsidRPr="00B97E75" w:rsidTr="007B6923">
        <w:trPr>
          <w:trHeight w:val="253"/>
        </w:trPr>
        <w:tc>
          <w:tcPr>
            <w:tcW w:w="1126" w:type="dxa"/>
            <w:tcBorders>
              <w:top w:val="nil"/>
              <w:left w:val="single" w:sz="8" w:space="0" w:color="auto"/>
              <w:bottom w:val="single" w:sz="4" w:space="0" w:color="auto"/>
              <w:right w:val="single" w:sz="4" w:space="0" w:color="auto"/>
            </w:tcBorders>
            <w:shd w:val="clear" w:color="auto" w:fill="auto"/>
            <w:vAlign w:val="center"/>
            <w:hideMark/>
          </w:tcPr>
          <w:p w:rsidR="00E17A00" w:rsidRPr="00B97E75" w:rsidRDefault="00E17A00" w:rsidP="007B6923">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1069" w:type="dxa"/>
            <w:tcBorders>
              <w:top w:val="nil"/>
              <w:left w:val="nil"/>
              <w:bottom w:val="single" w:sz="4" w:space="0" w:color="auto"/>
              <w:right w:val="single" w:sz="4" w:space="0" w:color="auto"/>
            </w:tcBorders>
            <w:shd w:val="clear" w:color="auto" w:fill="auto"/>
            <w:vAlign w:val="center"/>
            <w:hideMark/>
          </w:tcPr>
          <w:p w:rsidR="00E17A00" w:rsidRPr="00B97E75" w:rsidRDefault="00E17A00" w:rsidP="007B6923">
            <w:pPr>
              <w:spacing w:after="0" w:line="240" w:lineRule="auto"/>
              <w:rPr>
                <w:rFonts w:eastAsia="Times New Roman" w:cstheme="minorHAnsi"/>
                <w:color w:val="000000"/>
                <w:lang w:eastAsia="en-IE"/>
              </w:rPr>
            </w:pPr>
            <w:r w:rsidRPr="00B97E75">
              <w:rPr>
                <w:rFonts w:eastAsia="Arial" w:cstheme="minorHAnsi"/>
                <w:color w:val="000000"/>
                <w:lang w:val="en-US" w:eastAsia="en-IE"/>
              </w:rPr>
              <w:t>Missing</w:t>
            </w:r>
          </w:p>
        </w:tc>
        <w:tc>
          <w:tcPr>
            <w:tcW w:w="772" w:type="dxa"/>
            <w:tcBorders>
              <w:top w:val="nil"/>
              <w:left w:val="nil"/>
              <w:bottom w:val="single" w:sz="4" w:space="0" w:color="auto"/>
              <w:right w:val="single" w:sz="4" w:space="0" w:color="auto"/>
            </w:tcBorders>
            <w:shd w:val="clear" w:color="auto" w:fill="auto"/>
            <w:vAlign w:val="center"/>
            <w:hideMark/>
          </w:tcPr>
          <w:p w:rsidR="00E17A00" w:rsidRPr="00B97E75" w:rsidRDefault="00E17A00" w:rsidP="007B6923">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0</w:t>
            </w:r>
          </w:p>
        </w:tc>
        <w:tc>
          <w:tcPr>
            <w:tcW w:w="772" w:type="dxa"/>
            <w:tcBorders>
              <w:top w:val="nil"/>
              <w:left w:val="nil"/>
              <w:bottom w:val="single" w:sz="4" w:space="0" w:color="auto"/>
              <w:right w:val="single" w:sz="4" w:space="0" w:color="auto"/>
            </w:tcBorders>
            <w:shd w:val="clear" w:color="auto" w:fill="auto"/>
            <w:vAlign w:val="center"/>
            <w:hideMark/>
          </w:tcPr>
          <w:p w:rsidR="00E17A00" w:rsidRPr="00B97E75" w:rsidRDefault="00E17A00" w:rsidP="007B6923">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0</w:t>
            </w:r>
          </w:p>
        </w:tc>
        <w:tc>
          <w:tcPr>
            <w:tcW w:w="840" w:type="dxa"/>
            <w:tcBorders>
              <w:top w:val="nil"/>
              <w:left w:val="nil"/>
              <w:bottom w:val="single" w:sz="4" w:space="0" w:color="auto"/>
              <w:right w:val="single" w:sz="4" w:space="0" w:color="auto"/>
            </w:tcBorders>
            <w:shd w:val="clear" w:color="auto" w:fill="auto"/>
            <w:vAlign w:val="center"/>
            <w:hideMark/>
          </w:tcPr>
          <w:p w:rsidR="00E17A00" w:rsidRPr="00B97E75" w:rsidRDefault="00E17A00" w:rsidP="007B6923">
            <w:pPr>
              <w:spacing w:after="0" w:line="240" w:lineRule="auto"/>
              <w:rPr>
                <w:rFonts w:eastAsia="Times New Roman" w:cstheme="minorHAnsi"/>
                <w:color w:val="000000"/>
                <w:lang w:eastAsia="en-IE"/>
              </w:rPr>
            </w:pPr>
            <w:r w:rsidRPr="00B97E75">
              <w:rPr>
                <w:rFonts w:eastAsia="Arial" w:cstheme="minorHAnsi"/>
                <w:color w:val="000000"/>
                <w:lang w:val="en-US" w:eastAsia="en-IE"/>
              </w:rPr>
              <w:t>0</w:t>
            </w:r>
          </w:p>
        </w:tc>
        <w:tc>
          <w:tcPr>
            <w:tcW w:w="836" w:type="dxa"/>
            <w:tcBorders>
              <w:top w:val="nil"/>
              <w:left w:val="nil"/>
              <w:bottom w:val="single" w:sz="4" w:space="0" w:color="auto"/>
              <w:right w:val="single" w:sz="4" w:space="0" w:color="auto"/>
            </w:tcBorders>
            <w:shd w:val="clear" w:color="auto" w:fill="auto"/>
            <w:vAlign w:val="center"/>
            <w:hideMark/>
          </w:tcPr>
          <w:p w:rsidR="00E17A00" w:rsidRPr="00B97E75" w:rsidRDefault="00E17A00" w:rsidP="007B6923">
            <w:pPr>
              <w:spacing w:after="0" w:line="240" w:lineRule="auto"/>
              <w:rPr>
                <w:rFonts w:eastAsia="Times New Roman" w:cstheme="minorHAnsi"/>
                <w:color w:val="000000"/>
                <w:lang w:eastAsia="en-IE"/>
              </w:rPr>
            </w:pPr>
            <w:r w:rsidRPr="00B97E75">
              <w:rPr>
                <w:rFonts w:eastAsia="Arial" w:cstheme="minorHAnsi"/>
                <w:color w:val="000000"/>
                <w:lang w:val="en-US" w:eastAsia="en-IE"/>
              </w:rPr>
              <w:t>0</w:t>
            </w:r>
          </w:p>
        </w:tc>
        <w:tc>
          <w:tcPr>
            <w:tcW w:w="840" w:type="dxa"/>
            <w:tcBorders>
              <w:top w:val="nil"/>
              <w:left w:val="nil"/>
              <w:bottom w:val="single" w:sz="4" w:space="0" w:color="auto"/>
              <w:right w:val="single" w:sz="8" w:space="0" w:color="auto"/>
            </w:tcBorders>
            <w:shd w:val="clear" w:color="auto" w:fill="auto"/>
            <w:vAlign w:val="center"/>
            <w:hideMark/>
          </w:tcPr>
          <w:p w:rsidR="00E17A00" w:rsidRPr="00B97E75" w:rsidRDefault="00E17A00" w:rsidP="007B6923">
            <w:pPr>
              <w:spacing w:after="0" w:line="240" w:lineRule="auto"/>
              <w:rPr>
                <w:rFonts w:eastAsia="Times New Roman" w:cstheme="minorHAnsi"/>
                <w:color w:val="000000"/>
                <w:lang w:eastAsia="en-IE"/>
              </w:rPr>
            </w:pPr>
            <w:r w:rsidRPr="00B97E75">
              <w:rPr>
                <w:rFonts w:eastAsia="Arial" w:cstheme="minorHAnsi"/>
                <w:color w:val="000000"/>
                <w:lang w:val="en-US" w:eastAsia="en-IE"/>
              </w:rPr>
              <w:t>1</w:t>
            </w:r>
          </w:p>
        </w:tc>
      </w:tr>
      <w:tr w:rsidR="00E17A00" w:rsidRPr="00B97E75" w:rsidTr="007B6923">
        <w:trPr>
          <w:trHeight w:val="253"/>
        </w:trPr>
        <w:tc>
          <w:tcPr>
            <w:tcW w:w="1126" w:type="dxa"/>
            <w:tcBorders>
              <w:top w:val="nil"/>
              <w:left w:val="single" w:sz="8" w:space="0" w:color="auto"/>
              <w:bottom w:val="single" w:sz="4" w:space="0" w:color="auto"/>
              <w:right w:val="single" w:sz="4" w:space="0" w:color="auto"/>
            </w:tcBorders>
            <w:shd w:val="clear" w:color="auto" w:fill="auto"/>
            <w:vAlign w:val="center"/>
            <w:hideMark/>
          </w:tcPr>
          <w:p w:rsidR="00E17A00" w:rsidRPr="00B97E75" w:rsidRDefault="00E17A00" w:rsidP="007B6923">
            <w:pPr>
              <w:spacing w:after="0" w:line="240" w:lineRule="auto"/>
              <w:rPr>
                <w:rFonts w:eastAsia="Times New Roman" w:cstheme="minorHAnsi"/>
                <w:b/>
                <w:bCs/>
                <w:color w:val="000000"/>
                <w:lang w:eastAsia="en-IE"/>
              </w:rPr>
            </w:pPr>
            <w:r w:rsidRPr="00B97E75">
              <w:rPr>
                <w:rFonts w:eastAsia="Arial" w:cstheme="minorHAnsi"/>
                <w:b/>
                <w:bCs/>
                <w:color w:val="000000"/>
                <w:lang w:val="en-US" w:eastAsia="en-IE"/>
              </w:rPr>
              <w:t>Average</w:t>
            </w:r>
          </w:p>
        </w:tc>
        <w:tc>
          <w:tcPr>
            <w:tcW w:w="1069" w:type="dxa"/>
            <w:tcBorders>
              <w:top w:val="nil"/>
              <w:left w:val="nil"/>
              <w:bottom w:val="single" w:sz="4" w:space="0" w:color="auto"/>
              <w:right w:val="single" w:sz="4" w:space="0" w:color="auto"/>
            </w:tcBorders>
            <w:shd w:val="clear" w:color="auto" w:fill="auto"/>
            <w:vAlign w:val="center"/>
            <w:hideMark/>
          </w:tcPr>
          <w:p w:rsidR="00E17A00" w:rsidRPr="00B97E75" w:rsidRDefault="00E17A00" w:rsidP="007B6923">
            <w:pPr>
              <w:spacing w:after="0" w:line="240" w:lineRule="auto"/>
              <w:rPr>
                <w:rFonts w:eastAsia="Times New Roman" w:cstheme="minorHAnsi"/>
                <w:b/>
                <w:bCs/>
                <w:color w:val="000000"/>
                <w:lang w:eastAsia="en-IE"/>
              </w:rPr>
            </w:pPr>
            <w:r w:rsidRPr="00B97E75">
              <w:rPr>
                <w:rFonts w:eastAsia="Arial" w:cstheme="minorHAnsi"/>
                <w:b/>
                <w:bCs/>
                <w:color w:val="000000"/>
                <w:lang w:val="en-US" w:eastAsia="en-IE"/>
              </w:rPr>
              <w:t>Median</w:t>
            </w:r>
          </w:p>
        </w:tc>
        <w:tc>
          <w:tcPr>
            <w:tcW w:w="772" w:type="dxa"/>
            <w:tcBorders>
              <w:top w:val="nil"/>
              <w:left w:val="nil"/>
              <w:bottom w:val="single" w:sz="4" w:space="0" w:color="auto"/>
              <w:right w:val="single" w:sz="4" w:space="0" w:color="auto"/>
            </w:tcBorders>
            <w:shd w:val="clear" w:color="auto" w:fill="auto"/>
            <w:vAlign w:val="center"/>
            <w:hideMark/>
          </w:tcPr>
          <w:p w:rsidR="00E17A00" w:rsidRPr="00B97E75" w:rsidRDefault="00E17A00" w:rsidP="007B6923">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72.7</w:t>
            </w:r>
          </w:p>
        </w:tc>
        <w:tc>
          <w:tcPr>
            <w:tcW w:w="772" w:type="dxa"/>
            <w:tcBorders>
              <w:top w:val="nil"/>
              <w:left w:val="nil"/>
              <w:bottom w:val="single" w:sz="4" w:space="0" w:color="auto"/>
              <w:right w:val="single" w:sz="4" w:space="0" w:color="auto"/>
            </w:tcBorders>
            <w:shd w:val="clear" w:color="auto" w:fill="auto"/>
            <w:vAlign w:val="center"/>
            <w:hideMark/>
          </w:tcPr>
          <w:p w:rsidR="00E17A00" w:rsidRPr="00B97E75" w:rsidRDefault="00E17A00" w:rsidP="007B6923">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70.7</w:t>
            </w:r>
          </w:p>
        </w:tc>
        <w:tc>
          <w:tcPr>
            <w:tcW w:w="840" w:type="dxa"/>
            <w:tcBorders>
              <w:top w:val="nil"/>
              <w:left w:val="nil"/>
              <w:bottom w:val="single" w:sz="4" w:space="0" w:color="auto"/>
              <w:right w:val="single" w:sz="4" w:space="0" w:color="auto"/>
            </w:tcBorders>
            <w:shd w:val="clear" w:color="auto" w:fill="auto"/>
            <w:vAlign w:val="center"/>
            <w:hideMark/>
          </w:tcPr>
          <w:p w:rsidR="00E17A00" w:rsidRPr="00B97E75" w:rsidRDefault="00E17A00" w:rsidP="007B6923">
            <w:pPr>
              <w:spacing w:after="0" w:line="240" w:lineRule="auto"/>
              <w:rPr>
                <w:rFonts w:eastAsia="Times New Roman" w:cstheme="minorHAnsi"/>
                <w:b/>
                <w:bCs/>
                <w:color w:val="000000"/>
                <w:lang w:eastAsia="en-IE"/>
              </w:rPr>
            </w:pPr>
            <w:r w:rsidRPr="00B97E75">
              <w:rPr>
                <w:rFonts w:eastAsia="Arial" w:cstheme="minorHAnsi"/>
                <w:b/>
                <w:bCs/>
                <w:color w:val="000000"/>
                <w:lang w:val="en-US" w:eastAsia="en-IE"/>
              </w:rPr>
              <w:t>57.74</w:t>
            </w:r>
          </w:p>
        </w:tc>
        <w:tc>
          <w:tcPr>
            <w:tcW w:w="836" w:type="dxa"/>
            <w:tcBorders>
              <w:top w:val="nil"/>
              <w:left w:val="nil"/>
              <w:bottom w:val="single" w:sz="4" w:space="0" w:color="auto"/>
              <w:right w:val="single" w:sz="4" w:space="0" w:color="auto"/>
            </w:tcBorders>
            <w:shd w:val="clear" w:color="auto" w:fill="auto"/>
            <w:vAlign w:val="center"/>
            <w:hideMark/>
          </w:tcPr>
          <w:p w:rsidR="00E17A00" w:rsidRPr="00B97E75" w:rsidRDefault="00E17A00" w:rsidP="007B6923">
            <w:pPr>
              <w:spacing w:after="0" w:line="240" w:lineRule="auto"/>
              <w:rPr>
                <w:rFonts w:eastAsia="Times New Roman" w:cstheme="minorHAnsi"/>
                <w:b/>
                <w:bCs/>
                <w:color w:val="000000"/>
                <w:lang w:eastAsia="en-IE"/>
              </w:rPr>
            </w:pPr>
            <w:r w:rsidRPr="00B97E75">
              <w:rPr>
                <w:rFonts w:eastAsia="Arial" w:cstheme="minorHAnsi"/>
                <w:b/>
                <w:bCs/>
                <w:color w:val="000000"/>
                <w:lang w:val="en-US" w:eastAsia="en-IE"/>
              </w:rPr>
              <w:t>60</w:t>
            </w:r>
          </w:p>
        </w:tc>
        <w:tc>
          <w:tcPr>
            <w:tcW w:w="840" w:type="dxa"/>
            <w:tcBorders>
              <w:top w:val="nil"/>
              <w:left w:val="nil"/>
              <w:bottom w:val="single" w:sz="4" w:space="0" w:color="auto"/>
              <w:right w:val="single" w:sz="8" w:space="0" w:color="auto"/>
            </w:tcBorders>
            <w:shd w:val="clear" w:color="auto" w:fill="auto"/>
            <w:vAlign w:val="center"/>
            <w:hideMark/>
          </w:tcPr>
          <w:p w:rsidR="00E17A00" w:rsidRPr="00B97E75" w:rsidRDefault="00E17A00" w:rsidP="007B6923">
            <w:pPr>
              <w:spacing w:after="0" w:line="240" w:lineRule="auto"/>
              <w:rPr>
                <w:rFonts w:eastAsia="Times New Roman" w:cstheme="minorHAnsi"/>
                <w:b/>
                <w:bCs/>
                <w:color w:val="000000"/>
                <w:lang w:eastAsia="en-IE"/>
              </w:rPr>
            </w:pPr>
            <w:r>
              <w:rPr>
                <w:rFonts w:eastAsia="Arial" w:cstheme="minorHAnsi"/>
                <w:b/>
                <w:bCs/>
                <w:color w:val="000000"/>
                <w:lang w:val="en-US" w:eastAsia="en-IE"/>
              </w:rPr>
              <w:t>62.16</w:t>
            </w:r>
          </w:p>
        </w:tc>
      </w:tr>
      <w:tr w:rsidR="00E17A00" w:rsidRPr="00B97E75" w:rsidTr="007B6923">
        <w:trPr>
          <w:trHeight w:val="267"/>
        </w:trPr>
        <w:tc>
          <w:tcPr>
            <w:tcW w:w="1126" w:type="dxa"/>
            <w:tcBorders>
              <w:top w:val="nil"/>
              <w:left w:val="single" w:sz="8" w:space="0" w:color="auto"/>
              <w:bottom w:val="single" w:sz="8" w:space="0" w:color="auto"/>
              <w:right w:val="single" w:sz="4" w:space="0" w:color="auto"/>
            </w:tcBorders>
            <w:shd w:val="clear" w:color="auto" w:fill="auto"/>
            <w:vAlign w:val="center"/>
            <w:hideMark/>
          </w:tcPr>
          <w:p w:rsidR="00E17A00" w:rsidRPr="00B97E75" w:rsidRDefault="00E17A00" w:rsidP="007B6923">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1069" w:type="dxa"/>
            <w:tcBorders>
              <w:top w:val="nil"/>
              <w:left w:val="nil"/>
              <w:bottom w:val="single" w:sz="8" w:space="0" w:color="auto"/>
              <w:right w:val="single" w:sz="4" w:space="0" w:color="auto"/>
            </w:tcBorders>
            <w:shd w:val="clear" w:color="auto" w:fill="auto"/>
            <w:vAlign w:val="center"/>
            <w:hideMark/>
          </w:tcPr>
          <w:p w:rsidR="00E17A00" w:rsidRPr="00B97E75" w:rsidRDefault="00E17A00" w:rsidP="007B6923">
            <w:pPr>
              <w:spacing w:after="0" w:line="240" w:lineRule="auto"/>
              <w:rPr>
                <w:rFonts w:eastAsia="Times New Roman" w:cstheme="minorHAnsi"/>
                <w:color w:val="000000"/>
                <w:lang w:eastAsia="en-IE"/>
              </w:rPr>
            </w:pPr>
            <w:r w:rsidRPr="00B97E75">
              <w:rPr>
                <w:rFonts w:eastAsia="Arial" w:cstheme="minorHAnsi"/>
                <w:color w:val="000000"/>
                <w:lang w:val="en-US" w:eastAsia="en-IE"/>
              </w:rPr>
              <w:t>Mean</w:t>
            </w:r>
          </w:p>
        </w:tc>
        <w:tc>
          <w:tcPr>
            <w:tcW w:w="772" w:type="dxa"/>
            <w:tcBorders>
              <w:top w:val="nil"/>
              <w:left w:val="nil"/>
              <w:bottom w:val="single" w:sz="8" w:space="0" w:color="auto"/>
              <w:right w:val="single" w:sz="4" w:space="0" w:color="auto"/>
            </w:tcBorders>
            <w:shd w:val="clear" w:color="auto" w:fill="auto"/>
            <w:vAlign w:val="center"/>
            <w:hideMark/>
          </w:tcPr>
          <w:p w:rsidR="00E17A00" w:rsidRPr="00B97E75" w:rsidRDefault="00E17A00" w:rsidP="007B6923">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66.3</w:t>
            </w:r>
          </w:p>
        </w:tc>
        <w:tc>
          <w:tcPr>
            <w:tcW w:w="772" w:type="dxa"/>
            <w:tcBorders>
              <w:top w:val="nil"/>
              <w:left w:val="nil"/>
              <w:bottom w:val="single" w:sz="8" w:space="0" w:color="auto"/>
              <w:right w:val="single" w:sz="4" w:space="0" w:color="auto"/>
            </w:tcBorders>
            <w:shd w:val="clear" w:color="auto" w:fill="auto"/>
            <w:vAlign w:val="center"/>
            <w:hideMark/>
          </w:tcPr>
          <w:p w:rsidR="00E17A00" w:rsidRPr="00B97E75" w:rsidRDefault="00E17A00" w:rsidP="007B6923">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66.1</w:t>
            </w:r>
          </w:p>
        </w:tc>
        <w:tc>
          <w:tcPr>
            <w:tcW w:w="840" w:type="dxa"/>
            <w:tcBorders>
              <w:top w:val="nil"/>
              <w:left w:val="nil"/>
              <w:bottom w:val="single" w:sz="8" w:space="0" w:color="auto"/>
              <w:right w:val="single" w:sz="4" w:space="0" w:color="auto"/>
            </w:tcBorders>
            <w:shd w:val="clear" w:color="auto" w:fill="auto"/>
            <w:vAlign w:val="center"/>
            <w:hideMark/>
          </w:tcPr>
          <w:p w:rsidR="00E17A00" w:rsidRPr="00B97E75" w:rsidRDefault="00E17A00" w:rsidP="007B6923">
            <w:pPr>
              <w:spacing w:after="0" w:line="240" w:lineRule="auto"/>
              <w:rPr>
                <w:rFonts w:eastAsia="Times New Roman" w:cstheme="minorHAnsi"/>
                <w:color w:val="000000"/>
                <w:lang w:eastAsia="en-IE"/>
              </w:rPr>
            </w:pPr>
            <w:r w:rsidRPr="00B97E75">
              <w:rPr>
                <w:rFonts w:eastAsia="Arial" w:cstheme="minorHAnsi"/>
                <w:color w:val="000000"/>
                <w:lang w:val="en-US" w:eastAsia="en-IE"/>
              </w:rPr>
              <w:t>62.08</w:t>
            </w:r>
          </w:p>
        </w:tc>
        <w:tc>
          <w:tcPr>
            <w:tcW w:w="836" w:type="dxa"/>
            <w:tcBorders>
              <w:top w:val="nil"/>
              <w:left w:val="nil"/>
              <w:bottom w:val="single" w:sz="8" w:space="0" w:color="auto"/>
              <w:right w:val="single" w:sz="4" w:space="0" w:color="auto"/>
            </w:tcBorders>
            <w:shd w:val="clear" w:color="auto" w:fill="auto"/>
            <w:vAlign w:val="center"/>
            <w:hideMark/>
          </w:tcPr>
          <w:p w:rsidR="00E17A00" w:rsidRPr="00B97E75" w:rsidRDefault="00E17A00" w:rsidP="007B6923">
            <w:pPr>
              <w:spacing w:after="0" w:line="240" w:lineRule="auto"/>
              <w:rPr>
                <w:rFonts w:eastAsia="Times New Roman" w:cstheme="minorHAnsi"/>
                <w:color w:val="000000"/>
                <w:lang w:eastAsia="en-IE"/>
              </w:rPr>
            </w:pPr>
            <w:r w:rsidRPr="00B97E75">
              <w:rPr>
                <w:rFonts w:eastAsia="Arial" w:cstheme="minorHAnsi"/>
                <w:color w:val="000000"/>
                <w:lang w:val="en-US" w:eastAsia="en-IE"/>
              </w:rPr>
              <w:t>61.23</w:t>
            </w:r>
          </w:p>
        </w:tc>
        <w:tc>
          <w:tcPr>
            <w:tcW w:w="840" w:type="dxa"/>
            <w:tcBorders>
              <w:top w:val="nil"/>
              <w:left w:val="nil"/>
              <w:bottom w:val="single" w:sz="8" w:space="0" w:color="auto"/>
              <w:right w:val="single" w:sz="8" w:space="0" w:color="auto"/>
            </w:tcBorders>
            <w:shd w:val="clear" w:color="auto" w:fill="auto"/>
            <w:vAlign w:val="center"/>
            <w:hideMark/>
          </w:tcPr>
          <w:p w:rsidR="00E17A00" w:rsidRPr="00B97E75" w:rsidRDefault="00E17A00" w:rsidP="007B6923">
            <w:pPr>
              <w:spacing w:after="0" w:line="240" w:lineRule="auto"/>
              <w:rPr>
                <w:rFonts w:eastAsia="Times New Roman" w:cstheme="minorHAnsi"/>
                <w:color w:val="000000"/>
                <w:lang w:eastAsia="en-IE"/>
              </w:rPr>
            </w:pPr>
            <w:r>
              <w:rPr>
                <w:rFonts w:eastAsia="Arial" w:cstheme="minorHAnsi"/>
                <w:color w:val="000000"/>
                <w:lang w:val="en-US" w:eastAsia="en-IE"/>
              </w:rPr>
              <w:t>62.01</w:t>
            </w:r>
          </w:p>
        </w:tc>
      </w:tr>
    </w:tbl>
    <w:p w:rsidR="00F23841" w:rsidRPr="00B97E75" w:rsidRDefault="00F23841">
      <w:pPr>
        <w:rPr>
          <w:rFonts w:eastAsia="Times New Roman" w:cstheme="minorHAnsi"/>
          <w:b/>
          <w:bCs/>
          <w:color w:val="000000"/>
          <w:lang w:eastAsia="en-IE"/>
        </w:rPr>
      </w:pPr>
    </w:p>
    <w:tbl>
      <w:tblPr>
        <w:tblW w:w="3554" w:type="dxa"/>
        <w:tblInd w:w="98" w:type="dxa"/>
        <w:tblLook w:val="04A0" w:firstRow="1" w:lastRow="0" w:firstColumn="1" w:lastColumn="0" w:noHBand="0" w:noVBand="1"/>
      </w:tblPr>
      <w:tblGrid>
        <w:gridCol w:w="967"/>
        <w:gridCol w:w="1361"/>
        <w:gridCol w:w="1233"/>
      </w:tblGrid>
      <w:tr w:rsidR="00436E86" w:rsidRPr="00B97E75" w:rsidTr="000F6A09">
        <w:trPr>
          <w:trHeight w:val="831"/>
        </w:trPr>
        <w:tc>
          <w:tcPr>
            <w:tcW w:w="3554" w:type="dxa"/>
            <w:gridSpan w:val="3"/>
            <w:tcBorders>
              <w:top w:val="single" w:sz="8" w:space="0" w:color="auto"/>
              <w:left w:val="single" w:sz="8" w:space="0" w:color="auto"/>
              <w:bottom w:val="single" w:sz="4" w:space="0" w:color="auto"/>
              <w:right w:val="single" w:sz="8" w:space="0" w:color="000000"/>
            </w:tcBorders>
            <w:shd w:val="clear" w:color="auto" w:fill="B6DDE8" w:themeFill="accent5" w:themeFillTint="66"/>
            <w:noWrap/>
            <w:vAlign w:val="center"/>
            <w:hideMark/>
          </w:tcPr>
          <w:p w:rsidR="00436E86" w:rsidRPr="00436E86" w:rsidRDefault="00436E86" w:rsidP="000F6A09">
            <w:pPr>
              <w:rPr>
                <w:rFonts w:cstheme="minorHAnsi"/>
                <w:b/>
                <w:color w:val="000000"/>
              </w:rPr>
            </w:pPr>
            <w:r w:rsidRPr="00436E86">
              <w:rPr>
                <w:rFonts w:cstheme="minorHAnsi"/>
                <w:b/>
              </w:rPr>
              <w:t xml:space="preserve">Number of Gateway participants as a </w:t>
            </w:r>
            <w:r w:rsidRPr="00436E86">
              <w:rPr>
                <w:rFonts w:eastAsia="Times New Roman" w:cstheme="minorHAnsi"/>
                <w:b/>
                <w:color w:val="000000"/>
                <w:lang w:eastAsia="en-IE"/>
              </w:rPr>
              <w:t>Percentage</w:t>
            </w:r>
            <w:r w:rsidRPr="00436E86">
              <w:rPr>
                <w:rFonts w:cstheme="minorHAnsi"/>
                <w:b/>
              </w:rPr>
              <w:t xml:space="preserve"> of allocated placements to the L</w:t>
            </w:r>
            <w:r w:rsidR="00F53EFC">
              <w:rPr>
                <w:rFonts w:cstheme="minorHAnsi"/>
                <w:b/>
              </w:rPr>
              <w:t>ocal Authority</w:t>
            </w:r>
          </w:p>
        </w:tc>
      </w:tr>
      <w:tr w:rsidR="00436E86" w:rsidRPr="00B97E75" w:rsidTr="000F6A09">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436E86" w:rsidRPr="00B97E75" w:rsidRDefault="00436E86" w:rsidP="000F6A09">
            <w:pPr>
              <w:rPr>
                <w:rFonts w:cstheme="minorHAnsi"/>
                <w:color w:val="000000"/>
              </w:rPr>
            </w:pPr>
            <w:r w:rsidRPr="00B97E75">
              <w:rPr>
                <w:rFonts w:cstheme="minorHAnsi"/>
                <w:color w:val="000000"/>
              </w:rPr>
              <w:t>N</w:t>
            </w:r>
          </w:p>
        </w:tc>
        <w:tc>
          <w:tcPr>
            <w:tcW w:w="1361" w:type="dxa"/>
            <w:tcBorders>
              <w:top w:val="nil"/>
              <w:left w:val="nil"/>
              <w:bottom w:val="single" w:sz="4" w:space="0" w:color="auto"/>
              <w:right w:val="single" w:sz="4" w:space="0" w:color="auto"/>
            </w:tcBorders>
            <w:shd w:val="clear" w:color="auto" w:fill="auto"/>
            <w:noWrap/>
            <w:vAlign w:val="center"/>
            <w:hideMark/>
          </w:tcPr>
          <w:p w:rsidR="00436E86" w:rsidRPr="00436E86" w:rsidRDefault="00436E86" w:rsidP="000F6A09">
            <w:pPr>
              <w:rPr>
                <w:rFonts w:cstheme="minorHAnsi"/>
                <w:bCs/>
                <w:color w:val="000000"/>
              </w:rPr>
            </w:pPr>
            <w:r w:rsidRPr="00436E86">
              <w:rPr>
                <w:rFonts w:cstheme="minorHAnsi"/>
                <w:bCs/>
                <w:color w:val="000000"/>
              </w:rPr>
              <w:t>Valid</w:t>
            </w:r>
          </w:p>
        </w:tc>
        <w:tc>
          <w:tcPr>
            <w:tcW w:w="1233" w:type="dxa"/>
            <w:tcBorders>
              <w:top w:val="single" w:sz="4" w:space="0" w:color="auto"/>
              <w:left w:val="nil"/>
              <w:bottom w:val="single" w:sz="4" w:space="0" w:color="auto"/>
              <w:right w:val="single" w:sz="8" w:space="0" w:color="000000"/>
            </w:tcBorders>
            <w:shd w:val="clear" w:color="auto" w:fill="auto"/>
            <w:noWrap/>
            <w:vAlign w:val="center"/>
            <w:hideMark/>
          </w:tcPr>
          <w:p w:rsidR="00436E86" w:rsidRPr="00B97E75" w:rsidRDefault="00436E86" w:rsidP="000F6A09">
            <w:pPr>
              <w:rPr>
                <w:rFonts w:cstheme="minorHAnsi"/>
                <w:color w:val="000000"/>
              </w:rPr>
            </w:pPr>
            <w:r>
              <w:rPr>
                <w:rFonts w:cstheme="minorHAnsi"/>
                <w:color w:val="000000"/>
              </w:rPr>
              <w:t>31</w:t>
            </w:r>
          </w:p>
        </w:tc>
      </w:tr>
      <w:tr w:rsidR="00436E86" w:rsidRPr="00B97E75" w:rsidTr="000F6A09">
        <w:trPr>
          <w:trHeight w:val="59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436E86" w:rsidRPr="00B97E75" w:rsidRDefault="00436E86" w:rsidP="000F6A09">
            <w:pPr>
              <w:rPr>
                <w:rFonts w:cstheme="minorHAnsi"/>
                <w:color w:val="000000"/>
              </w:rPr>
            </w:pPr>
            <w:r w:rsidRPr="00B97E75">
              <w:rPr>
                <w:rFonts w:cstheme="minorHAnsi"/>
                <w:color w:val="000000"/>
              </w:rPr>
              <w:t> </w:t>
            </w:r>
          </w:p>
        </w:tc>
        <w:tc>
          <w:tcPr>
            <w:tcW w:w="1361" w:type="dxa"/>
            <w:tcBorders>
              <w:top w:val="nil"/>
              <w:left w:val="nil"/>
              <w:bottom w:val="single" w:sz="4" w:space="0" w:color="auto"/>
              <w:right w:val="single" w:sz="4" w:space="0" w:color="auto"/>
            </w:tcBorders>
            <w:shd w:val="clear" w:color="auto" w:fill="auto"/>
            <w:noWrap/>
            <w:vAlign w:val="center"/>
            <w:hideMark/>
          </w:tcPr>
          <w:p w:rsidR="00436E86" w:rsidRPr="00436E86" w:rsidRDefault="00436E86" w:rsidP="000F6A09">
            <w:pPr>
              <w:rPr>
                <w:rFonts w:cstheme="minorHAnsi"/>
                <w:bCs/>
                <w:color w:val="000000"/>
              </w:rPr>
            </w:pPr>
            <w:r w:rsidRPr="00436E86">
              <w:rPr>
                <w:rFonts w:cstheme="minorHAnsi"/>
                <w:bCs/>
                <w:color w:val="000000"/>
              </w:rPr>
              <w:t>Not Applicable</w:t>
            </w:r>
          </w:p>
        </w:tc>
        <w:tc>
          <w:tcPr>
            <w:tcW w:w="1233" w:type="dxa"/>
            <w:tcBorders>
              <w:top w:val="single" w:sz="4" w:space="0" w:color="auto"/>
              <w:left w:val="nil"/>
              <w:bottom w:val="single" w:sz="4" w:space="0" w:color="auto"/>
              <w:right w:val="single" w:sz="8" w:space="0" w:color="000000"/>
            </w:tcBorders>
            <w:shd w:val="clear" w:color="auto" w:fill="auto"/>
            <w:noWrap/>
            <w:vAlign w:val="center"/>
            <w:hideMark/>
          </w:tcPr>
          <w:p w:rsidR="00436E86" w:rsidRPr="00B97E75" w:rsidRDefault="00CF3DE2" w:rsidP="000F6A09">
            <w:pPr>
              <w:rPr>
                <w:rFonts w:cstheme="minorHAnsi"/>
                <w:color w:val="000000"/>
              </w:rPr>
            </w:pPr>
            <w:r>
              <w:rPr>
                <w:rFonts w:cstheme="minorHAnsi"/>
                <w:color w:val="000000"/>
              </w:rPr>
              <w:t>0</w:t>
            </w:r>
          </w:p>
        </w:tc>
      </w:tr>
      <w:tr w:rsidR="00436E86" w:rsidRPr="00B97E75" w:rsidTr="000F6A09">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436E86" w:rsidRPr="00436E86" w:rsidRDefault="00436E86" w:rsidP="000F6A09">
            <w:pPr>
              <w:rPr>
                <w:rFonts w:cstheme="minorHAnsi"/>
                <w:b/>
                <w:color w:val="000000"/>
              </w:rPr>
            </w:pPr>
            <w:r w:rsidRPr="00436E86">
              <w:rPr>
                <w:rFonts w:cstheme="minorHAnsi"/>
                <w:b/>
                <w:color w:val="000000"/>
              </w:rPr>
              <w:t xml:space="preserve">Average </w:t>
            </w:r>
          </w:p>
        </w:tc>
        <w:tc>
          <w:tcPr>
            <w:tcW w:w="1361" w:type="dxa"/>
            <w:tcBorders>
              <w:top w:val="nil"/>
              <w:left w:val="nil"/>
              <w:bottom w:val="single" w:sz="4" w:space="0" w:color="auto"/>
              <w:right w:val="single" w:sz="4" w:space="0" w:color="auto"/>
            </w:tcBorders>
            <w:shd w:val="clear" w:color="auto" w:fill="auto"/>
            <w:noWrap/>
            <w:vAlign w:val="center"/>
            <w:hideMark/>
          </w:tcPr>
          <w:p w:rsidR="00436E86" w:rsidRPr="00436E86" w:rsidRDefault="00436E86" w:rsidP="000F6A09">
            <w:pPr>
              <w:rPr>
                <w:rFonts w:cstheme="minorHAnsi"/>
                <w:b/>
                <w:bCs/>
                <w:color w:val="000000"/>
              </w:rPr>
            </w:pPr>
            <w:r w:rsidRPr="00436E86">
              <w:rPr>
                <w:rFonts w:cstheme="minorHAnsi"/>
                <w:b/>
                <w:bCs/>
                <w:color w:val="000000"/>
              </w:rPr>
              <w:t>Median</w:t>
            </w:r>
          </w:p>
        </w:tc>
        <w:tc>
          <w:tcPr>
            <w:tcW w:w="1233" w:type="dxa"/>
            <w:tcBorders>
              <w:top w:val="single" w:sz="4" w:space="0" w:color="auto"/>
              <w:left w:val="nil"/>
              <w:bottom w:val="single" w:sz="4" w:space="0" w:color="auto"/>
              <w:right w:val="single" w:sz="8" w:space="0" w:color="000000"/>
            </w:tcBorders>
            <w:shd w:val="clear" w:color="auto" w:fill="auto"/>
            <w:noWrap/>
            <w:vAlign w:val="center"/>
            <w:hideMark/>
          </w:tcPr>
          <w:p w:rsidR="00436E86" w:rsidRPr="00436E86" w:rsidRDefault="00436E86" w:rsidP="000F6A09">
            <w:pPr>
              <w:rPr>
                <w:rFonts w:cstheme="minorHAnsi"/>
                <w:b/>
                <w:color w:val="000000"/>
              </w:rPr>
            </w:pPr>
            <w:r>
              <w:rPr>
                <w:rFonts w:cstheme="minorHAnsi"/>
                <w:b/>
                <w:color w:val="000000"/>
              </w:rPr>
              <w:t>64.19</w:t>
            </w:r>
          </w:p>
        </w:tc>
      </w:tr>
      <w:tr w:rsidR="00436E86" w:rsidRPr="00B97E75" w:rsidTr="000F6A09">
        <w:trPr>
          <w:trHeight w:val="31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436E86" w:rsidRPr="00436E86" w:rsidRDefault="00436E86" w:rsidP="000F6A09">
            <w:pPr>
              <w:rPr>
                <w:rFonts w:cstheme="minorHAnsi"/>
                <w:color w:val="000000"/>
              </w:rPr>
            </w:pPr>
            <w:r w:rsidRPr="00436E86">
              <w:rPr>
                <w:rFonts w:cstheme="minorHAnsi"/>
                <w:color w:val="000000"/>
              </w:rPr>
              <w:t> </w:t>
            </w:r>
          </w:p>
        </w:tc>
        <w:tc>
          <w:tcPr>
            <w:tcW w:w="1361" w:type="dxa"/>
            <w:tcBorders>
              <w:top w:val="nil"/>
              <w:left w:val="nil"/>
              <w:bottom w:val="single" w:sz="8" w:space="0" w:color="auto"/>
              <w:right w:val="single" w:sz="4" w:space="0" w:color="auto"/>
            </w:tcBorders>
            <w:shd w:val="clear" w:color="auto" w:fill="auto"/>
            <w:noWrap/>
            <w:vAlign w:val="center"/>
            <w:hideMark/>
          </w:tcPr>
          <w:p w:rsidR="00436E86" w:rsidRPr="00436E86" w:rsidRDefault="00436E86" w:rsidP="000F6A09">
            <w:pPr>
              <w:rPr>
                <w:rFonts w:cstheme="minorHAnsi"/>
                <w:bCs/>
                <w:color w:val="000000"/>
              </w:rPr>
            </w:pPr>
            <w:r w:rsidRPr="00436E86">
              <w:rPr>
                <w:rFonts w:cstheme="minorHAnsi"/>
                <w:bCs/>
                <w:color w:val="000000"/>
              </w:rPr>
              <w:t>Mean</w:t>
            </w:r>
          </w:p>
        </w:tc>
        <w:tc>
          <w:tcPr>
            <w:tcW w:w="1233" w:type="dxa"/>
            <w:tcBorders>
              <w:top w:val="single" w:sz="4" w:space="0" w:color="auto"/>
              <w:left w:val="nil"/>
              <w:bottom w:val="single" w:sz="8" w:space="0" w:color="auto"/>
              <w:right w:val="single" w:sz="8" w:space="0" w:color="000000"/>
            </w:tcBorders>
            <w:shd w:val="clear" w:color="auto" w:fill="auto"/>
            <w:noWrap/>
            <w:vAlign w:val="center"/>
            <w:hideMark/>
          </w:tcPr>
          <w:p w:rsidR="00436E86" w:rsidRPr="00B97E75" w:rsidRDefault="00436E86" w:rsidP="000F6A09">
            <w:pPr>
              <w:rPr>
                <w:rFonts w:cstheme="minorHAnsi"/>
                <w:color w:val="000000"/>
              </w:rPr>
            </w:pPr>
            <w:r>
              <w:rPr>
                <w:rFonts w:cstheme="minorHAnsi"/>
                <w:color w:val="000000"/>
              </w:rPr>
              <w:t>62.91</w:t>
            </w:r>
          </w:p>
        </w:tc>
      </w:tr>
    </w:tbl>
    <w:p w:rsidR="00D91732" w:rsidRDefault="00D91732" w:rsidP="0076731A">
      <w:pPr>
        <w:pStyle w:val="PISectionHeading"/>
      </w:pPr>
    </w:p>
    <w:p w:rsidR="00D91732" w:rsidRDefault="00D91732" w:rsidP="0076731A">
      <w:pPr>
        <w:pStyle w:val="PISectionHeading"/>
      </w:pPr>
    </w:p>
    <w:p w:rsidR="00D91732" w:rsidRDefault="00D91732" w:rsidP="0076731A">
      <w:pPr>
        <w:pStyle w:val="PISectionHeading"/>
      </w:pPr>
    </w:p>
    <w:p w:rsidR="00D91732" w:rsidRDefault="00D91732" w:rsidP="0076731A">
      <w:pPr>
        <w:pStyle w:val="PISectionHeading"/>
      </w:pPr>
    </w:p>
    <w:p w:rsidR="00D91732" w:rsidRDefault="00D91732" w:rsidP="0076731A">
      <w:pPr>
        <w:pStyle w:val="PISectionHeading"/>
      </w:pPr>
    </w:p>
    <w:p w:rsidR="00D91732" w:rsidRDefault="00D91732" w:rsidP="0076731A">
      <w:pPr>
        <w:pStyle w:val="PISectionHeading"/>
      </w:pPr>
    </w:p>
    <w:p w:rsidR="00D91732" w:rsidRDefault="00D91732" w:rsidP="0076731A">
      <w:pPr>
        <w:pStyle w:val="PISectionHeading"/>
      </w:pPr>
    </w:p>
    <w:p w:rsidR="00D91732" w:rsidRDefault="00D91732" w:rsidP="0076731A">
      <w:pPr>
        <w:pStyle w:val="PISectionHeading"/>
      </w:pPr>
    </w:p>
    <w:p w:rsidR="00D91732" w:rsidRDefault="00D91732" w:rsidP="0076731A">
      <w:pPr>
        <w:pStyle w:val="PISectionHeading"/>
      </w:pPr>
    </w:p>
    <w:p w:rsidR="00330068" w:rsidRDefault="00330068" w:rsidP="0076731A">
      <w:pPr>
        <w:pStyle w:val="PISectionHeading"/>
      </w:pPr>
    </w:p>
    <w:p w:rsidR="003C4E40" w:rsidRPr="009507EE" w:rsidRDefault="00F23841" w:rsidP="0076731A">
      <w:pPr>
        <w:pStyle w:val="PISectionHeading"/>
      </w:pPr>
      <w:bookmarkStart w:id="9" w:name="_Toc436926485"/>
      <w:r w:rsidRPr="009507EE">
        <w:lastRenderedPageBreak/>
        <w:t>S</w:t>
      </w:r>
      <w:r w:rsidR="00B70292" w:rsidRPr="009507EE">
        <w:t xml:space="preserve">ection </w:t>
      </w:r>
      <w:r w:rsidR="007C12D5">
        <w:t>9</w:t>
      </w:r>
      <w:r w:rsidR="003C4E40" w:rsidRPr="009507EE">
        <w:t>: Corporate</w:t>
      </w:r>
      <w:bookmarkEnd w:id="9"/>
      <w:r w:rsidR="003C4E40" w:rsidRPr="009507EE">
        <w:t xml:space="preserve"> </w:t>
      </w:r>
    </w:p>
    <w:p w:rsidR="003C4E40" w:rsidRPr="003E001D" w:rsidRDefault="00B70292" w:rsidP="003C4E40">
      <w:pPr>
        <w:pStyle w:val="PITableHeading"/>
        <w:rPr>
          <w:rFonts w:asciiTheme="minorHAnsi" w:hAnsiTheme="minorHAnsi" w:cstheme="minorHAnsi"/>
          <w:b w:val="0"/>
          <w:sz w:val="22"/>
          <w:szCs w:val="22"/>
        </w:rPr>
      </w:pPr>
      <w:r>
        <w:rPr>
          <w:rFonts w:asciiTheme="minorHAnsi" w:hAnsiTheme="minorHAnsi" w:cstheme="minorHAnsi"/>
          <w:sz w:val="22"/>
          <w:szCs w:val="22"/>
        </w:rPr>
        <w:t>Table 21</w:t>
      </w:r>
      <w:r w:rsidR="003C4E40" w:rsidRPr="00B97E75">
        <w:rPr>
          <w:rFonts w:asciiTheme="minorHAnsi" w:hAnsiTheme="minorHAnsi" w:cstheme="minorHAnsi"/>
          <w:sz w:val="22"/>
          <w:szCs w:val="22"/>
        </w:rPr>
        <w:t xml:space="preserve">: </w:t>
      </w:r>
      <w:r w:rsidR="003C4E40" w:rsidRPr="003E001D">
        <w:rPr>
          <w:rFonts w:asciiTheme="minorHAnsi" w:hAnsiTheme="minorHAnsi" w:cstheme="minorHAnsi"/>
          <w:b w:val="0"/>
          <w:sz w:val="22"/>
          <w:szCs w:val="22"/>
        </w:rPr>
        <w:t>Corporate Performance Indicators:</w:t>
      </w:r>
    </w:p>
    <w:tbl>
      <w:tblPr>
        <w:tblStyle w:val="LightGrid-Accent5"/>
        <w:tblW w:w="10100" w:type="dxa"/>
        <w:tblLook w:val="04A0" w:firstRow="1" w:lastRow="0" w:firstColumn="1" w:lastColumn="0" w:noHBand="0" w:noVBand="1"/>
      </w:tblPr>
      <w:tblGrid>
        <w:gridCol w:w="3080"/>
        <w:gridCol w:w="1298"/>
        <w:gridCol w:w="1343"/>
        <w:gridCol w:w="1440"/>
        <w:gridCol w:w="1579"/>
        <w:gridCol w:w="1360"/>
      </w:tblGrid>
      <w:tr w:rsidR="003C4E40" w:rsidRPr="005C4524" w:rsidTr="00771880">
        <w:trPr>
          <w:cnfStyle w:val="100000000000" w:firstRow="1" w:lastRow="0" w:firstColumn="0" w:lastColumn="0" w:oddVBand="0" w:evenVBand="0" w:oddHBand="0"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3080" w:type="dxa"/>
            <w:noWrap/>
            <w:vAlign w:val="center"/>
            <w:hideMark/>
          </w:tcPr>
          <w:p w:rsidR="003C4E40" w:rsidRPr="005C4524" w:rsidRDefault="00D36D20" w:rsidP="00771880">
            <w:pPr>
              <w:rPr>
                <w:rFonts w:asciiTheme="minorHAnsi" w:eastAsia="Times New Roman" w:hAnsiTheme="minorHAnsi" w:cstheme="minorHAnsi"/>
                <w:color w:val="000000"/>
                <w:lang w:eastAsia="en-IE"/>
              </w:rPr>
            </w:pPr>
            <w:r w:rsidRPr="00D36D20">
              <w:rPr>
                <w:rFonts w:asciiTheme="minorHAnsi" w:eastAsia="Times New Roman" w:hAnsiTheme="minorHAnsi" w:cstheme="minorHAnsi"/>
                <w:color w:val="000000"/>
                <w:lang w:eastAsia="en-IE"/>
              </w:rPr>
              <w:t>Authority</w:t>
            </w:r>
          </w:p>
          <w:p w:rsidR="003C4E40" w:rsidRPr="005C4524" w:rsidRDefault="003C4E40" w:rsidP="00771880">
            <w:pPr>
              <w:rPr>
                <w:rFonts w:asciiTheme="minorHAnsi" w:eastAsia="Times New Roman" w:hAnsiTheme="minorHAnsi" w:cstheme="minorHAnsi"/>
                <w:color w:val="000000"/>
                <w:lang w:eastAsia="en-IE"/>
              </w:rPr>
            </w:pPr>
          </w:p>
          <w:p w:rsidR="003C4E40" w:rsidRPr="005C4524" w:rsidRDefault="003C4E40" w:rsidP="00771880">
            <w:pPr>
              <w:rPr>
                <w:rFonts w:asciiTheme="minorHAnsi" w:eastAsia="Times New Roman" w:hAnsiTheme="minorHAnsi" w:cstheme="minorHAnsi"/>
                <w:color w:val="000000"/>
                <w:lang w:eastAsia="en-IE"/>
              </w:rPr>
            </w:pPr>
          </w:p>
        </w:tc>
        <w:tc>
          <w:tcPr>
            <w:tcW w:w="1220" w:type="dxa"/>
            <w:vAlign w:val="center"/>
            <w:hideMark/>
          </w:tcPr>
          <w:p w:rsidR="003C4E40" w:rsidRPr="005C4524" w:rsidRDefault="003C4E40"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IE"/>
              </w:rPr>
            </w:pPr>
            <w:r w:rsidRPr="005C4524">
              <w:rPr>
                <w:rFonts w:asciiTheme="minorHAnsi" w:eastAsia="Arial" w:hAnsiTheme="minorHAnsi" w:cstheme="minorHAnsi"/>
                <w:color w:val="000000"/>
              </w:rPr>
              <w:t xml:space="preserve">Total Number of Whole Time Equivalent </w:t>
            </w:r>
            <w:r w:rsidR="00B0335E">
              <w:rPr>
                <w:rFonts w:asciiTheme="minorHAnsi" w:eastAsia="Arial" w:hAnsiTheme="minorHAnsi" w:cstheme="minorHAnsi"/>
                <w:color w:val="000000"/>
              </w:rPr>
              <w:t xml:space="preserve">(WTE) </w:t>
            </w:r>
            <w:r w:rsidRPr="005C4524">
              <w:rPr>
                <w:rFonts w:asciiTheme="minorHAnsi" w:eastAsia="Arial" w:hAnsiTheme="minorHAnsi" w:cstheme="minorHAnsi"/>
                <w:color w:val="000000"/>
              </w:rPr>
              <w:t>Staff in LA</w:t>
            </w:r>
            <w:r w:rsidR="007C7A2E">
              <w:rPr>
                <w:rFonts w:asciiTheme="minorHAnsi" w:eastAsia="Arial" w:hAnsiTheme="minorHAnsi" w:cstheme="minorHAnsi"/>
                <w:color w:val="000000"/>
              </w:rPr>
              <w:t xml:space="preserve"> at 31/12/2014</w:t>
            </w:r>
          </w:p>
        </w:tc>
        <w:tc>
          <w:tcPr>
            <w:tcW w:w="1360" w:type="dxa"/>
            <w:vAlign w:val="center"/>
            <w:hideMark/>
          </w:tcPr>
          <w:p w:rsidR="003C4E40" w:rsidRPr="005C4524" w:rsidRDefault="003C4E40"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IE"/>
              </w:rPr>
            </w:pPr>
            <w:r w:rsidRPr="005C4524">
              <w:rPr>
                <w:rFonts w:asciiTheme="minorHAnsi" w:eastAsia="Arial" w:hAnsiTheme="minorHAnsi" w:cstheme="minorHAnsi"/>
                <w:color w:val="000000"/>
              </w:rPr>
              <w:t xml:space="preserve">Percentage of </w:t>
            </w:r>
            <w:r w:rsidR="006E2A4D">
              <w:rPr>
                <w:rFonts w:asciiTheme="minorHAnsi" w:eastAsia="Arial" w:hAnsiTheme="minorHAnsi" w:cstheme="minorHAnsi"/>
                <w:color w:val="000000"/>
              </w:rPr>
              <w:t xml:space="preserve">paid </w:t>
            </w:r>
            <w:r w:rsidRPr="005C4524">
              <w:rPr>
                <w:rFonts w:asciiTheme="minorHAnsi" w:eastAsia="Arial" w:hAnsiTheme="minorHAnsi" w:cstheme="minorHAnsi"/>
                <w:color w:val="000000"/>
              </w:rPr>
              <w:t xml:space="preserve">working days lost to </w:t>
            </w:r>
            <w:r w:rsidR="000117FC">
              <w:rPr>
                <w:rFonts w:asciiTheme="minorHAnsi" w:eastAsia="Arial" w:hAnsiTheme="minorHAnsi" w:cstheme="minorHAnsi"/>
                <w:color w:val="000000"/>
              </w:rPr>
              <w:t xml:space="preserve">medically </w:t>
            </w:r>
            <w:r w:rsidRPr="005C4524">
              <w:rPr>
                <w:rFonts w:asciiTheme="minorHAnsi" w:eastAsia="Arial" w:hAnsiTheme="minorHAnsi" w:cstheme="minorHAnsi"/>
                <w:color w:val="000000"/>
              </w:rPr>
              <w:t xml:space="preserve">certified </w:t>
            </w:r>
            <w:r w:rsidR="00521A16">
              <w:rPr>
                <w:rFonts w:asciiTheme="minorHAnsi" w:eastAsia="Arial" w:hAnsiTheme="minorHAnsi" w:cstheme="minorHAnsi"/>
                <w:color w:val="000000"/>
              </w:rPr>
              <w:t>sickness absence</w:t>
            </w:r>
          </w:p>
        </w:tc>
        <w:tc>
          <w:tcPr>
            <w:tcW w:w="1440" w:type="dxa"/>
            <w:vAlign w:val="center"/>
            <w:hideMark/>
          </w:tcPr>
          <w:p w:rsidR="003C4E40" w:rsidRPr="005C4524" w:rsidRDefault="003C4E40"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IE"/>
              </w:rPr>
            </w:pPr>
            <w:r w:rsidRPr="005C4524">
              <w:rPr>
                <w:rFonts w:asciiTheme="minorHAnsi" w:eastAsia="Arial" w:hAnsiTheme="minorHAnsi" w:cstheme="minorHAnsi"/>
                <w:color w:val="000000"/>
              </w:rPr>
              <w:t xml:space="preserve">Percentage of </w:t>
            </w:r>
            <w:r w:rsidR="006E2A4D">
              <w:rPr>
                <w:rFonts w:asciiTheme="minorHAnsi" w:eastAsia="Arial" w:hAnsiTheme="minorHAnsi" w:cstheme="minorHAnsi"/>
                <w:color w:val="000000"/>
              </w:rPr>
              <w:t xml:space="preserve">paid </w:t>
            </w:r>
            <w:r w:rsidRPr="005C4524">
              <w:rPr>
                <w:rFonts w:asciiTheme="minorHAnsi" w:eastAsia="Arial" w:hAnsiTheme="minorHAnsi" w:cstheme="minorHAnsi"/>
                <w:color w:val="000000"/>
              </w:rPr>
              <w:t xml:space="preserve">working days lost to </w:t>
            </w:r>
            <w:r w:rsidR="000117FC">
              <w:rPr>
                <w:rFonts w:asciiTheme="minorHAnsi" w:eastAsia="Arial" w:hAnsiTheme="minorHAnsi" w:cstheme="minorHAnsi"/>
                <w:color w:val="000000"/>
              </w:rPr>
              <w:t xml:space="preserve">self-certified </w:t>
            </w:r>
            <w:r w:rsidR="00D36D20">
              <w:rPr>
                <w:rFonts w:asciiTheme="minorHAnsi" w:eastAsia="Arial" w:hAnsiTheme="minorHAnsi" w:cstheme="minorHAnsi"/>
                <w:color w:val="000000"/>
              </w:rPr>
              <w:t>sickness absence</w:t>
            </w:r>
          </w:p>
        </w:tc>
        <w:tc>
          <w:tcPr>
            <w:tcW w:w="1640" w:type="dxa"/>
            <w:vAlign w:val="center"/>
            <w:hideMark/>
          </w:tcPr>
          <w:p w:rsidR="003C4E40" w:rsidRPr="005C4524" w:rsidRDefault="003C4E40"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IE"/>
              </w:rPr>
            </w:pPr>
            <w:r w:rsidRPr="005C4524">
              <w:rPr>
                <w:rFonts w:asciiTheme="minorHAnsi" w:eastAsia="Arial" w:hAnsiTheme="minorHAnsi" w:cstheme="minorHAnsi"/>
                <w:color w:val="000000"/>
              </w:rPr>
              <w:t>Total N</w:t>
            </w:r>
            <w:r w:rsidR="00B0335E">
              <w:rPr>
                <w:rFonts w:asciiTheme="minorHAnsi" w:eastAsia="Arial" w:hAnsiTheme="minorHAnsi" w:cstheme="minorHAnsi"/>
                <w:color w:val="000000"/>
              </w:rPr>
              <w:t>umber of Page Visits to the LA W</w:t>
            </w:r>
            <w:r w:rsidRPr="005C4524">
              <w:rPr>
                <w:rFonts w:asciiTheme="minorHAnsi" w:eastAsia="Arial" w:hAnsiTheme="minorHAnsi" w:cstheme="minorHAnsi"/>
                <w:color w:val="000000"/>
              </w:rPr>
              <w:t>ebsite</w:t>
            </w:r>
          </w:p>
        </w:tc>
        <w:tc>
          <w:tcPr>
            <w:tcW w:w="1360" w:type="dxa"/>
            <w:vAlign w:val="center"/>
            <w:hideMark/>
          </w:tcPr>
          <w:p w:rsidR="003C4E40" w:rsidRPr="005C4524" w:rsidRDefault="003C4E40"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IE"/>
              </w:rPr>
            </w:pPr>
            <w:r w:rsidRPr="005C4524">
              <w:rPr>
                <w:rFonts w:asciiTheme="minorHAnsi" w:eastAsia="Arial" w:hAnsiTheme="minorHAnsi" w:cstheme="minorHAnsi"/>
                <w:color w:val="000000"/>
              </w:rPr>
              <w:t>Overall cost of ICT provision per WTE</w:t>
            </w:r>
            <w:r w:rsidR="00644FAE">
              <w:rPr>
                <w:rFonts w:asciiTheme="minorHAnsi" w:eastAsia="Arial" w:hAnsiTheme="minorHAnsi" w:cstheme="minorHAnsi"/>
                <w:color w:val="000000"/>
              </w:rPr>
              <w:t xml:space="preserve"> </w:t>
            </w:r>
            <w:r w:rsidR="0083189A">
              <w:rPr>
                <w:rFonts w:asciiTheme="minorHAnsi" w:eastAsia="Arial" w:hAnsiTheme="minorHAnsi" w:cstheme="minorHAnsi"/>
                <w:color w:val="000000"/>
              </w:rPr>
              <w:t>(</w:t>
            </w:r>
            <w:r w:rsidR="00644FAE">
              <w:rPr>
                <w:rFonts w:asciiTheme="minorHAnsi" w:eastAsia="Arial" w:hAnsiTheme="minorHAnsi" w:cstheme="minorHAnsi"/>
                <w:color w:val="000000"/>
              </w:rPr>
              <w:t>€</w:t>
            </w:r>
            <w:r w:rsidR="0083189A">
              <w:rPr>
                <w:rFonts w:asciiTheme="minorHAnsi" w:eastAsia="Arial" w:hAnsiTheme="minorHAnsi" w:cstheme="minorHAnsi"/>
                <w:color w:val="000000"/>
              </w:rPr>
              <w:t>)</w:t>
            </w:r>
          </w:p>
        </w:tc>
      </w:tr>
      <w:tr w:rsidR="003C4E40" w:rsidRPr="005C4524" w:rsidTr="00106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 </w:t>
            </w:r>
          </w:p>
        </w:tc>
        <w:tc>
          <w:tcPr>
            <w:tcW w:w="1220" w:type="dxa"/>
            <w:hideMark/>
          </w:tcPr>
          <w:p w:rsidR="003C4E40" w:rsidRPr="005C4524" w:rsidRDefault="003C4E40" w:rsidP="009554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360" w:type="dxa"/>
            <w:hideMark/>
          </w:tcPr>
          <w:p w:rsidR="003C4E40" w:rsidRPr="005C4524" w:rsidRDefault="003C4E40" w:rsidP="009554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440" w:type="dxa"/>
            <w:noWrap/>
            <w:hideMark/>
          </w:tcPr>
          <w:p w:rsidR="003C4E40" w:rsidRPr="005C4524" w:rsidRDefault="003C4E40" w:rsidP="009554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640" w:type="dxa"/>
            <w:hideMark/>
          </w:tcPr>
          <w:p w:rsidR="003C4E40" w:rsidRPr="005C4524" w:rsidRDefault="003C4E40" w:rsidP="009554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360" w:type="dxa"/>
            <w:noWrap/>
            <w:hideMark/>
          </w:tcPr>
          <w:p w:rsidR="003C4E40" w:rsidRPr="005C4524" w:rsidRDefault="003C4E40" w:rsidP="009554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r>
      <w:tr w:rsidR="003C4E40" w:rsidRPr="005C4524" w:rsidTr="0010610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Carlow County</w:t>
            </w:r>
          </w:p>
        </w:tc>
        <w:tc>
          <w:tcPr>
            <w:tcW w:w="122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264.86</w:t>
            </w:r>
          </w:p>
        </w:tc>
        <w:tc>
          <w:tcPr>
            <w:tcW w:w="136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3.92</w:t>
            </w:r>
          </w:p>
        </w:tc>
        <w:tc>
          <w:tcPr>
            <w:tcW w:w="144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0.3</w:t>
            </w:r>
            <w:r w:rsidR="00A72016">
              <w:rPr>
                <w:rFonts w:eastAsia="Times New Roman" w:cstheme="minorHAnsi"/>
                <w:color w:val="000000"/>
                <w:lang w:eastAsia="en-IE"/>
              </w:rPr>
              <w:t>8</w:t>
            </w:r>
          </w:p>
        </w:tc>
        <w:tc>
          <w:tcPr>
            <w:tcW w:w="1640" w:type="dxa"/>
            <w:hideMark/>
          </w:tcPr>
          <w:p w:rsidR="003C4E40" w:rsidRPr="00442A2E"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73,000</w:t>
            </w:r>
          </w:p>
        </w:tc>
        <w:tc>
          <w:tcPr>
            <w:tcW w:w="1360" w:type="dxa"/>
            <w:hideMark/>
          </w:tcPr>
          <w:p w:rsidR="003C4E40" w:rsidRPr="005C4524" w:rsidRDefault="003C4E40"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3,828.00</w:t>
            </w:r>
          </w:p>
        </w:tc>
      </w:tr>
      <w:tr w:rsidR="003C4E40" w:rsidRPr="005C4524" w:rsidTr="00106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Cavan County</w:t>
            </w:r>
          </w:p>
        </w:tc>
        <w:tc>
          <w:tcPr>
            <w:tcW w:w="122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360.55</w:t>
            </w:r>
          </w:p>
        </w:tc>
        <w:tc>
          <w:tcPr>
            <w:tcW w:w="136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2.96</w:t>
            </w:r>
          </w:p>
        </w:tc>
        <w:tc>
          <w:tcPr>
            <w:tcW w:w="144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0.18</w:t>
            </w:r>
          </w:p>
        </w:tc>
        <w:tc>
          <w:tcPr>
            <w:tcW w:w="164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346,731</w:t>
            </w:r>
          </w:p>
        </w:tc>
        <w:tc>
          <w:tcPr>
            <w:tcW w:w="1360" w:type="dxa"/>
            <w:hideMark/>
          </w:tcPr>
          <w:p w:rsidR="003C4E40" w:rsidRPr="005C4524" w:rsidRDefault="003C4E40"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2,660.53</w:t>
            </w:r>
          </w:p>
        </w:tc>
      </w:tr>
      <w:tr w:rsidR="003C4E40" w:rsidRPr="005C4524" w:rsidTr="0010610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Clare County</w:t>
            </w:r>
          </w:p>
        </w:tc>
        <w:tc>
          <w:tcPr>
            <w:tcW w:w="122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712.81</w:t>
            </w:r>
          </w:p>
        </w:tc>
        <w:tc>
          <w:tcPr>
            <w:tcW w:w="136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2.98</w:t>
            </w:r>
          </w:p>
        </w:tc>
        <w:tc>
          <w:tcPr>
            <w:tcW w:w="144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0.2</w:t>
            </w:r>
            <w:r w:rsidR="00A72016">
              <w:rPr>
                <w:rFonts w:eastAsia="Times New Roman" w:cstheme="minorHAnsi"/>
                <w:color w:val="000000"/>
                <w:lang w:eastAsia="en-IE"/>
              </w:rPr>
              <w:t>8</w:t>
            </w:r>
          </w:p>
        </w:tc>
        <w:tc>
          <w:tcPr>
            <w:tcW w:w="1640" w:type="dxa"/>
            <w:hideMark/>
          </w:tcPr>
          <w:p w:rsidR="003C4E40" w:rsidRPr="00442A2E"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1,449,000</w:t>
            </w:r>
          </w:p>
        </w:tc>
        <w:tc>
          <w:tcPr>
            <w:tcW w:w="1360" w:type="dxa"/>
            <w:hideMark/>
          </w:tcPr>
          <w:p w:rsidR="003C4E40" w:rsidRPr="005C4524" w:rsidRDefault="003C4E40"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2855.68</w:t>
            </w:r>
          </w:p>
        </w:tc>
      </w:tr>
      <w:tr w:rsidR="003C4E40" w:rsidRPr="005C4524" w:rsidTr="00106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Cork City</w:t>
            </w:r>
          </w:p>
        </w:tc>
        <w:tc>
          <w:tcPr>
            <w:tcW w:w="122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1,210.06</w:t>
            </w:r>
          </w:p>
        </w:tc>
        <w:tc>
          <w:tcPr>
            <w:tcW w:w="136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3.30</w:t>
            </w:r>
          </w:p>
        </w:tc>
        <w:tc>
          <w:tcPr>
            <w:tcW w:w="144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0.47</w:t>
            </w:r>
          </w:p>
        </w:tc>
        <w:tc>
          <w:tcPr>
            <w:tcW w:w="164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3,330,926</w:t>
            </w:r>
          </w:p>
        </w:tc>
        <w:tc>
          <w:tcPr>
            <w:tcW w:w="1360" w:type="dxa"/>
            <w:hideMark/>
          </w:tcPr>
          <w:p w:rsidR="003C4E40" w:rsidRPr="005C4524" w:rsidRDefault="003C4E40"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2,006.00</w:t>
            </w:r>
          </w:p>
        </w:tc>
      </w:tr>
      <w:tr w:rsidR="003C4E40" w:rsidRPr="005C4524" w:rsidTr="0010610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Cork County</w:t>
            </w:r>
          </w:p>
        </w:tc>
        <w:tc>
          <w:tcPr>
            <w:tcW w:w="122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1,947.31</w:t>
            </w:r>
          </w:p>
        </w:tc>
        <w:tc>
          <w:tcPr>
            <w:tcW w:w="136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4.03</w:t>
            </w:r>
          </w:p>
        </w:tc>
        <w:tc>
          <w:tcPr>
            <w:tcW w:w="144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r w:rsidR="00A72016">
              <w:rPr>
                <w:rFonts w:eastAsia="Times New Roman" w:cstheme="minorHAnsi"/>
                <w:color w:val="000000"/>
                <w:lang w:eastAsia="en-IE"/>
              </w:rPr>
              <w:t>45</w:t>
            </w:r>
          </w:p>
        </w:tc>
        <w:tc>
          <w:tcPr>
            <w:tcW w:w="164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1,074,320</w:t>
            </w:r>
          </w:p>
        </w:tc>
        <w:tc>
          <w:tcPr>
            <w:tcW w:w="1360" w:type="dxa"/>
            <w:hideMark/>
          </w:tcPr>
          <w:p w:rsidR="003C4E40" w:rsidRPr="005C4524" w:rsidRDefault="003C4E40"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1,941.78</w:t>
            </w:r>
          </w:p>
        </w:tc>
      </w:tr>
      <w:tr w:rsidR="003C4E40" w:rsidRPr="005C4524" w:rsidTr="00106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Donegal County</w:t>
            </w:r>
          </w:p>
        </w:tc>
        <w:tc>
          <w:tcPr>
            <w:tcW w:w="122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832.33</w:t>
            </w:r>
          </w:p>
        </w:tc>
        <w:tc>
          <w:tcPr>
            <w:tcW w:w="136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3.55</w:t>
            </w:r>
          </w:p>
        </w:tc>
        <w:tc>
          <w:tcPr>
            <w:tcW w:w="144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0.3</w:t>
            </w:r>
            <w:r w:rsidR="00A72016">
              <w:rPr>
                <w:rFonts w:eastAsia="Times New Roman" w:cstheme="minorHAnsi"/>
                <w:color w:val="000000"/>
                <w:lang w:eastAsia="en-IE"/>
              </w:rPr>
              <w:t>6</w:t>
            </w:r>
          </w:p>
        </w:tc>
        <w:tc>
          <w:tcPr>
            <w:tcW w:w="1640" w:type="dxa"/>
            <w:hideMark/>
          </w:tcPr>
          <w:p w:rsidR="003C4E40" w:rsidRPr="00442A2E"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662,228</w:t>
            </w:r>
          </w:p>
        </w:tc>
        <w:tc>
          <w:tcPr>
            <w:tcW w:w="1360" w:type="dxa"/>
            <w:hideMark/>
          </w:tcPr>
          <w:p w:rsidR="003C4E40" w:rsidRPr="005C4524" w:rsidRDefault="003C4E40"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2,677.59</w:t>
            </w:r>
          </w:p>
        </w:tc>
      </w:tr>
      <w:tr w:rsidR="003C4E40" w:rsidRPr="005C4524" w:rsidTr="0010610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Dublin City</w:t>
            </w:r>
          </w:p>
        </w:tc>
        <w:tc>
          <w:tcPr>
            <w:tcW w:w="122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5,445.70</w:t>
            </w:r>
          </w:p>
        </w:tc>
        <w:tc>
          <w:tcPr>
            <w:tcW w:w="136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3.10</w:t>
            </w:r>
          </w:p>
        </w:tc>
        <w:tc>
          <w:tcPr>
            <w:tcW w:w="144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0.57</w:t>
            </w:r>
          </w:p>
        </w:tc>
        <w:tc>
          <w:tcPr>
            <w:tcW w:w="164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6,217,659</w:t>
            </w:r>
          </w:p>
        </w:tc>
        <w:tc>
          <w:tcPr>
            <w:tcW w:w="1360" w:type="dxa"/>
            <w:hideMark/>
          </w:tcPr>
          <w:p w:rsidR="003C4E40" w:rsidRPr="005C4524" w:rsidRDefault="003C4E40"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2,004.28</w:t>
            </w:r>
          </w:p>
        </w:tc>
      </w:tr>
      <w:tr w:rsidR="003C4E40" w:rsidRPr="005C4524" w:rsidTr="00106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 xml:space="preserve">Dun Laoghaire </w:t>
            </w:r>
            <w:proofErr w:type="spellStart"/>
            <w:r w:rsidRPr="005C4524">
              <w:rPr>
                <w:rFonts w:asciiTheme="minorHAnsi" w:eastAsia="Times New Roman" w:hAnsiTheme="minorHAnsi" w:cstheme="minorHAnsi"/>
                <w:color w:val="000000"/>
                <w:lang w:eastAsia="en-IE"/>
              </w:rPr>
              <w:t>Rathdown</w:t>
            </w:r>
            <w:proofErr w:type="spellEnd"/>
          </w:p>
        </w:tc>
        <w:tc>
          <w:tcPr>
            <w:tcW w:w="122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951.00</w:t>
            </w:r>
          </w:p>
        </w:tc>
        <w:tc>
          <w:tcPr>
            <w:tcW w:w="136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3.67</w:t>
            </w:r>
          </w:p>
        </w:tc>
        <w:tc>
          <w:tcPr>
            <w:tcW w:w="144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0.4</w:t>
            </w:r>
            <w:r w:rsidR="00A72016">
              <w:rPr>
                <w:rFonts w:eastAsia="Times New Roman" w:cstheme="minorHAnsi"/>
                <w:color w:val="000000"/>
                <w:lang w:eastAsia="en-IE"/>
              </w:rPr>
              <w:t>1</w:t>
            </w:r>
          </w:p>
        </w:tc>
        <w:tc>
          <w:tcPr>
            <w:tcW w:w="1640" w:type="dxa"/>
            <w:hideMark/>
          </w:tcPr>
          <w:p w:rsidR="003C4E40" w:rsidRPr="00442A2E"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3,376,564</w:t>
            </w:r>
          </w:p>
        </w:tc>
        <w:tc>
          <w:tcPr>
            <w:tcW w:w="1360" w:type="dxa"/>
            <w:hideMark/>
          </w:tcPr>
          <w:p w:rsidR="003C4E40" w:rsidRPr="00442A2E" w:rsidRDefault="003C4E40"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2,930.00</w:t>
            </w:r>
          </w:p>
        </w:tc>
      </w:tr>
      <w:tr w:rsidR="003C4E40" w:rsidRPr="005C4524" w:rsidTr="0010610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proofErr w:type="spellStart"/>
            <w:r w:rsidRPr="005C4524">
              <w:rPr>
                <w:rFonts w:asciiTheme="minorHAnsi" w:eastAsia="Times New Roman" w:hAnsiTheme="minorHAnsi" w:cstheme="minorHAnsi"/>
                <w:color w:val="000000"/>
                <w:lang w:eastAsia="en-IE"/>
              </w:rPr>
              <w:t>Fingal</w:t>
            </w:r>
            <w:proofErr w:type="spellEnd"/>
            <w:r w:rsidRPr="005C4524">
              <w:rPr>
                <w:rFonts w:asciiTheme="minorHAnsi" w:eastAsia="Times New Roman" w:hAnsiTheme="minorHAnsi" w:cstheme="minorHAnsi"/>
                <w:color w:val="000000"/>
                <w:lang w:eastAsia="en-IE"/>
              </w:rPr>
              <w:t xml:space="preserve"> County</w:t>
            </w:r>
          </w:p>
        </w:tc>
        <w:tc>
          <w:tcPr>
            <w:tcW w:w="122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1,250.66</w:t>
            </w:r>
          </w:p>
        </w:tc>
        <w:tc>
          <w:tcPr>
            <w:tcW w:w="136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3.62</w:t>
            </w:r>
          </w:p>
        </w:tc>
        <w:tc>
          <w:tcPr>
            <w:tcW w:w="144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0.34</w:t>
            </w:r>
          </w:p>
        </w:tc>
        <w:tc>
          <w:tcPr>
            <w:tcW w:w="1640" w:type="dxa"/>
            <w:hideMark/>
          </w:tcPr>
          <w:p w:rsidR="003C4E40" w:rsidRPr="00442A2E"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4,084,084</w:t>
            </w:r>
          </w:p>
        </w:tc>
        <w:tc>
          <w:tcPr>
            <w:tcW w:w="1360" w:type="dxa"/>
            <w:hideMark/>
          </w:tcPr>
          <w:p w:rsidR="003C4E40" w:rsidRPr="005C4524" w:rsidRDefault="003C4E40"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2,832.80</w:t>
            </w:r>
          </w:p>
        </w:tc>
      </w:tr>
      <w:tr w:rsidR="003C4E40" w:rsidRPr="005C4524" w:rsidTr="00106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Galway City</w:t>
            </w:r>
          </w:p>
        </w:tc>
        <w:tc>
          <w:tcPr>
            <w:tcW w:w="122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410.10</w:t>
            </w:r>
          </w:p>
        </w:tc>
        <w:tc>
          <w:tcPr>
            <w:tcW w:w="136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4.47</w:t>
            </w:r>
          </w:p>
        </w:tc>
        <w:tc>
          <w:tcPr>
            <w:tcW w:w="144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0.34</w:t>
            </w:r>
          </w:p>
        </w:tc>
        <w:tc>
          <w:tcPr>
            <w:tcW w:w="164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631,242</w:t>
            </w:r>
          </w:p>
        </w:tc>
        <w:tc>
          <w:tcPr>
            <w:tcW w:w="1360" w:type="dxa"/>
            <w:hideMark/>
          </w:tcPr>
          <w:p w:rsidR="003C4E40" w:rsidRPr="005C4524" w:rsidRDefault="003C4E40"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3,348.11</w:t>
            </w:r>
          </w:p>
        </w:tc>
      </w:tr>
      <w:tr w:rsidR="003C4E40" w:rsidRPr="005C4524" w:rsidTr="0010610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Galway County</w:t>
            </w:r>
          </w:p>
        </w:tc>
        <w:tc>
          <w:tcPr>
            <w:tcW w:w="122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752.08</w:t>
            </w:r>
          </w:p>
        </w:tc>
        <w:tc>
          <w:tcPr>
            <w:tcW w:w="136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3.45</w:t>
            </w:r>
          </w:p>
        </w:tc>
        <w:tc>
          <w:tcPr>
            <w:tcW w:w="144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0.34</w:t>
            </w:r>
          </w:p>
        </w:tc>
        <w:tc>
          <w:tcPr>
            <w:tcW w:w="164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1,215,021</w:t>
            </w:r>
          </w:p>
        </w:tc>
        <w:tc>
          <w:tcPr>
            <w:tcW w:w="1360" w:type="dxa"/>
            <w:hideMark/>
          </w:tcPr>
          <w:p w:rsidR="003C4E40" w:rsidRPr="005C4524" w:rsidRDefault="003C4E40"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2,632.18</w:t>
            </w:r>
          </w:p>
        </w:tc>
      </w:tr>
      <w:tr w:rsidR="003C4E40" w:rsidRPr="005C4524" w:rsidTr="00106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Kerry County</w:t>
            </w:r>
          </w:p>
        </w:tc>
        <w:tc>
          <w:tcPr>
            <w:tcW w:w="1220" w:type="dxa"/>
            <w:hideMark/>
          </w:tcPr>
          <w:p w:rsidR="003C4E40" w:rsidRPr="005C4524" w:rsidRDefault="003C4E40" w:rsidP="00515C8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w:t>
            </w:r>
            <w:r w:rsidR="00515C84">
              <w:rPr>
                <w:rFonts w:eastAsia="Times New Roman" w:cstheme="minorHAnsi"/>
                <w:color w:val="000000"/>
                <w:lang w:eastAsia="en-IE"/>
              </w:rPr>
              <w:t>50</w:t>
            </w:r>
            <w:r w:rsidRPr="005C4524">
              <w:rPr>
                <w:rFonts w:eastAsia="Times New Roman" w:cstheme="minorHAnsi"/>
                <w:color w:val="000000"/>
                <w:lang w:eastAsia="en-IE"/>
              </w:rPr>
              <w:t>.</w:t>
            </w:r>
            <w:r w:rsidR="00515C84">
              <w:rPr>
                <w:rFonts w:eastAsia="Times New Roman" w:cstheme="minorHAnsi"/>
                <w:color w:val="000000"/>
                <w:lang w:eastAsia="en-IE"/>
              </w:rPr>
              <w:t>34</w:t>
            </w:r>
          </w:p>
        </w:tc>
        <w:tc>
          <w:tcPr>
            <w:tcW w:w="136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w:t>
            </w:r>
            <w:r w:rsidR="004315C1">
              <w:rPr>
                <w:rFonts w:eastAsia="Times New Roman" w:cstheme="minorHAnsi"/>
                <w:color w:val="000000"/>
                <w:lang w:eastAsia="en-IE"/>
              </w:rPr>
              <w:t>92</w:t>
            </w:r>
          </w:p>
        </w:tc>
        <w:tc>
          <w:tcPr>
            <w:tcW w:w="144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0.29</w:t>
            </w:r>
          </w:p>
        </w:tc>
        <w:tc>
          <w:tcPr>
            <w:tcW w:w="1640" w:type="dxa"/>
            <w:hideMark/>
          </w:tcPr>
          <w:p w:rsidR="003C4E40" w:rsidRPr="00442A2E"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424,306</w:t>
            </w:r>
          </w:p>
        </w:tc>
        <w:tc>
          <w:tcPr>
            <w:tcW w:w="1360" w:type="dxa"/>
            <w:hideMark/>
          </w:tcPr>
          <w:p w:rsidR="003C4E40" w:rsidRPr="005C4524" w:rsidRDefault="003C4E40"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2,274.00</w:t>
            </w:r>
          </w:p>
        </w:tc>
      </w:tr>
      <w:tr w:rsidR="003C4E40" w:rsidRPr="005C4524" w:rsidTr="0010610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Kildare County</w:t>
            </w:r>
          </w:p>
        </w:tc>
        <w:tc>
          <w:tcPr>
            <w:tcW w:w="1220" w:type="dxa"/>
            <w:hideMark/>
          </w:tcPr>
          <w:p w:rsidR="003C4E40" w:rsidRPr="005C4524" w:rsidRDefault="003C4E40" w:rsidP="0064781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79</w:t>
            </w:r>
            <w:r w:rsidR="0064781E">
              <w:rPr>
                <w:rFonts w:eastAsia="Times New Roman" w:cstheme="minorHAnsi"/>
                <w:color w:val="000000"/>
                <w:lang w:eastAsia="en-IE"/>
              </w:rPr>
              <w:t>3</w:t>
            </w:r>
            <w:r w:rsidRPr="005C4524">
              <w:rPr>
                <w:rFonts w:eastAsia="Times New Roman" w:cstheme="minorHAnsi"/>
                <w:color w:val="000000"/>
                <w:lang w:eastAsia="en-IE"/>
              </w:rPr>
              <w:t>.70</w:t>
            </w:r>
          </w:p>
        </w:tc>
        <w:tc>
          <w:tcPr>
            <w:tcW w:w="1360" w:type="dxa"/>
            <w:hideMark/>
          </w:tcPr>
          <w:p w:rsidR="003C4E40" w:rsidRPr="005C4524" w:rsidRDefault="005E04E7"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Pr>
                <w:rFonts w:eastAsia="Times New Roman" w:cstheme="minorHAnsi"/>
                <w:color w:val="000000"/>
                <w:lang w:eastAsia="en-IE"/>
              </w:rPr>
              <w:t>3.58</w:t>
            </w:r>
          </w:p>
        </w:tc>
        <w:tc>
          <w:tcPr>
            <w:tcW w:w="1440" w:type="dxa"/>
            <w:hideMark/>
          </w:tcPr>
          <w:p w:rsidR="003C4E40" w:rsidRPr="005C4524" w:rsidRDefault="003C4E40" w:rsidP="0064781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0.3</w:t>
            </w:r>
            <w:r w:rsidR="0064781E">
              <w:rPr>
                <w:rFonts w:eastAsia="Times New Roman" w:cstheme="minorHAnsi"/>
                <w:color w:val="000000"/>
                <w:lang w:eastAsia="en-IE"/>
              </w:rPr>
              <w:t>0</w:t>
            </w:r>
          </w:p>
        </w:tc>
        <w:tc>
          <w:tcPr>
            <w:tcW w:w="164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2,025,763</w:t>
            </w:r>
          </w:p>
        </w:tc>
        <w:tc>
          <w:tcPr>
            <w:tcW w:w="1360" w:type="dxa"/>
            <w:hideMark/>
          </w:tcPr>
          <w:p w:rsidR="003C4E40" w:rsidRPr="005C4524" w:rsidRDefault="003C4E40"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2,443.00</w:t>
            </w:r>
          </w:p>
        </w:tc>
      </w:tr>
      <w:tr w:rsidR="003C4E40" w:rsidRPr="005C4524" w:rsidTr="00106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Kilkenny County</w:t>
            </w:r>
          </w:p>
        </w:tc>
        <w:tc>
          <w:tcPr>
            <w:tcW w:w="122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486.86</w:t>
            </w:r>
          </w:p>
        </w:tc>
        <w:tc>
          <w:tcPr>
            <w:tcW w:w="136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2.76</w:t>
            </w:r>
          </w:p>
        </w:tc>
        <w:tc>
          <w:tcPr>
            <w:tcW w:w="144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0.3</w:t>
            </w:r>
            <w:r w:rsidR="00A72016">
              <w:rPr>
                <w:rFonts w:eastAsia="Times New Roman" w:cstheme="minorHAnsi"/>
                <w:color w:val="000000"/>
                <w:lang w:eastAsia="en-IE"/>
              </w:rPr>
              <w:t>7</w:t>
            </w:r>
          </w:p>
        </w:tc>
        <w:tc>
          <w:tcPr>
            <w:tcW w:w="164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2,024,488</w:t>
            </w:r>
          </w:p>
        </w:tc>
        <w:tc>
          <w:tcPr>
            <w:tcW w:w="1360" w:type="dxa"/>
            <w:hideMark/>
          </w:tcPr>
          <w:p w:rsidR="003C4E40" w:rsidRPr="005C4524" w:rsidRDefault="003C4E40"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3,423.81</w:t>
            </w:r>
          </w:p>
        </w:tc>
      </w:tr>
      <w:tr w:rsidR="003C4E40" w:rsidRPr="005C4524" w:rsidTr="0010610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Laois County</w:t>
            </w:r>
          </w:p>
        </w:tc>
        <w:tc>
          <w:tcPr>
            <w:tcW w:w="122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347.57</w:t>
            </w:r>
          </w:p>
        </w:tc>
        <w:tc>
          <w:tcPr>
            <w:tcW w:w="136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3.83</w:t>
            </w:r>
          </w:p>
        </w:tc>
        <w:tc>
          <w:tcPr>
            <w:tcW w:w="144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0.35</w:t>
            </w:r>
          </w:p>
        </w:tc>
        <w:tc>
          <w:tcPr>
            <w:tcW w:w="164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483,393</w:t>
            </w:r>
          </w:p>
        </w:tc>
        <w:tc>
          <w:tcPr>
            <w:tcW w:w="1360" w:type="dxa"/>
            <w:hideMark/>
          </w:tcPr>
          <w:p w:rsidR="003C4E40" w:rsidRPr="005C4524" w:rsidRDefault="003C4E40"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2,975.00</w:t>
            </w:r>
          </w:p>
        </w:tc>
      </w:tr>
      <w:tr w:rsidR="003C4E40" w:rsidRPr="005C4524" w:rsidTr="00106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Leitrim County</w:t>
            </w:r>
          </w:p>
        </w:tc>
        <w:tc>
          <w:tcPr>
            <w:tcW w:w="1220" w:type="dxa"/>
            <w:hideMark/>
          </w:tcPr>
          <w:p w:rsidR="003C4E40" w:rsidRPr="00442A2E"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258.70</w:t>
            </w:r>
          </w:p>
        </w:tc>
        <w:tc>
          <w:tcPr>
            <w:tcW w:w="1360" w:type="dxa"/>
            <w:hideMark/>
          </w:tcPr>
          <w:p w:rsidR="003C4E40" w:rsidRPr="005C4524" w:rsidRDefault="0064781E" w:rsidP="006478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Pr>
                <w:rFonts w:eastAsia="Times New Roman" w:cstheme="minorHAnsi"/>
                <w:color w:val="000000"/>
                <w:lang w:eastAsia="en-IE"/>
              </w:rPr>
              <w:t>4</w:t>
            </w:r>
            <w:r w:rsidR="003C4E40" w:rsidRPr="005C4524">
              <w:rPr>
                <w:rFonts w:eastAsia="Times New Roman" w:cstheme="minorHAnsi"/>
                <w:color w:val="000000"/>
                <w:lang w:eastAsia="en-IE"/>
              </w:rPr>
              <w:t>.</w:t>
            </w:r>
            <w:r>
              <w:rPr>
                <w:rFonts w:eastAsia="Times New Roman" w:cstheme="minorHAnsi"/>
                <w:color w:val="000000"/>
                <w:lang w:eastAsia="en-IE"/>
              </w:rPr>
              <w:t>0</w:t>
            </w:r>
            <w:r w:rsidR="003C4E40" w:rsidRPr="005C4524">
              <w:rPr>
                <w:rFonts w:eastAsia="Times New Roman" w:cstheme="minorHAnsi"/>
                <w:color w:val="000000"/>
                <w:lang w:eastAsia="en-IE"/>
              </w:rPr>
              <w:t>6</w:t>
            </w:r>
          </w:p>
        </w:tc>
        <w:tc>
          <w:tcPr>
            <w:tcW w:w="144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0.33</w:t>
            </w:r>
          </w:p>
        </w:tc>
        <w:tc>
          <w:tcPr>
            <w:tcW w:w="164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333,958</w:t>
            </w:r>
          </w:p>
        </w:tc>
        <w:tc>
          <w:tcPr>
            <w:tcW w:w="1360" w:type="dxa"/>
            <w:hideMark/>
          </w:tcPr>
          <w:p w:rsidR="003C4E40" w:rsidRPr="00442A2E" w:rsidRDefault="003C4E40"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4,342.31</w:t>
            </w:r>
          </w:p>
        </w:tc>
      </w:tr>
      <w:tr w:rsidR="003C4E40" w:rsidRPr="005C4524" w:rsidTr="0010610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Limerick City &amp; County</w:t>
            </w:r>
          </w:p>
        </w:tc>
        <w:tc>
          <w:tcPr>
            <w:tcW w:w="122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1,008.14</w:t>
            </w:r>
          </w:p>
        </w:tc>
        <w:tc>
          <w:tcPr>
            <w:tcW w:w="136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3.19</w:t>
            </w:r>
          </w:p>
        </w:tc>
        <w:tc>
          <w:tcPr>
            <w:tcW w:w="144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0.3</w:t>
            </w:r>
            <w:r w:rsidR="00A72016">
              <w:rPr>
                <w:rFonts w:eastAsia="Times New Roman" w:cstheme="minorHAnsi"/>
                <w:color w:val="000000"/>
                <w:lang w:eastAsia="en-IE"/>
              </w:rPr>
              <w:t>4</w:t>
            </w:r>
          </w:p>
        </w:tc>
        <w:tc>
          <w:tcPr>
            <w:tcW w:w="164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2,350,583</w:t>
            </w:r>
          </w:p>
        </w:tc>
        <w:tc>
          <w:tcPr>
            <w:tcW w:w="1360" w:type="dxa"/>
            <w:hideMark/>
          </w:tcPr>
          <w:p w:rsidR="003C4E40" w:rsidRPr="005C4524" w:rsidRDefault="003C4E40"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3,078.06</w:t>
            </w:r>
          </w:p>
        </w:tc>
      </w:tr>
      <w:tr w:rsidR="003C4E40" w:rsidRPr="005C4524" w:rsidTr="00106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Longford County</w:t>
            </w:r>
          </w:p>
        </w:tc>
        <w:tc>
          <w:tcPr>
            <w:tcW w:w="1220" w:type="dxa"/>
            <w:hideMark/>
          </w:tcPr>
          <w:p w:rsidR="003C4E40" w:rsidRPr="00442A2E"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272.85</w:t>
            </w:r>
          </w:p>
        </w:tc>
        <w:tc>
          <w:tcPr>
            <w:tcW w:w="136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3.54</w:t>
            </w:r>
          </w:p>
        </w:tc>
        <w:tc>
          <w:tcPr>
            <w:tcW w:w="144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0.33</w:t>
            </w:r>
          </w:p>
        </w:tc>
        <w:tc>
          <w:tcPr>
            <w:tcW w:w="164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405,001</w:t>
            </w:r>
          </w:p>
        </w:tc>
        <w:tc>
          <w:tcPr>
            <w:tcW w:w="1360" w:type="dxa"/>
            <w:hideMark/>
          </w:tcPr>
          <w:p w:rsidR="003C4E40" w:rsidRPr="00442A2E" w:rsidRDefault="003C4E40"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2,684.41</w:t>
            </w:r>
          </w:p>
        </w:tc>
      </w:tr>
      <w:tr w:rsidR="003C4E40" w:rsidRPr="005C4524" w:rsidTr="0010610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Louth County</w:t>
            </w:r>
          </w:p>
        </w:tc>
        <w:tc>
          <w:tcPr>
            <w:tcW w:w="122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606.05</w:t>
            </w:r>
          </w:p>
        </w:tc>
        <w:tc>
          <w:tcPr>
            <w:tcW w:w="136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3.71</w:t>
            </w:r>
          </w:p>
        </w:tc>
        <w:tc>
          <w:tcPr>
            <w:tcW w:w="144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0.5</w:t>
            </w:r>
            <w:r w:rsidR="00A72016">
              <w:rPr>
                <w:rFonts w:eastAsia="Times New Roman" w:cstheme="minorHAnsi"/>
                <w:color w:val="000000"/>
                <w:lang w:eastAsia="en-IE"/>
              </w:rPr>
              <w:t>2</w:t>
            </w:r>
          </w:p>
        </w:tc>
        <w:tc>
          <w:tcPr>
            <w:tcW w:w="164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c>
          <w:tcPr>
            <w:tcW w:w="1360" w:type="dxa"/>
            <w:hideMark/>
          </w:tcPr>
          <w:p w:rsidR="003C4E40" w:rsidRPr="005C4524" w:rsidRDefault="003C4E40"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2,495.00</w:t>
            </w:r>
          </w:p>
        </w:tc>
      </w:tr>
      <w:tr w:rsidR="003C4E40" w:rsidRPr="005C4524" w:rsidTr="00106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Mayo County</w:t>
            </w:r>
          </w:p>
        </w:tc>
        <w:tc>
          <w:tcPr>
            <w:tcW w:w="122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927.01</w:t>
            </w:r>
          </w:p>
        </w:tc>
        <w:tc>
          <w:tcPr>
            <w:tcW w:w="136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3.09</w:t>
            </w:r>
          </w:p>
        </w:tc>
        <w:tc>
          <w:tcPr>
            <w:tcW w:w="144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r w:rsidR="00A72016">
              <w:rPr>
                <w:rFonts w:eastAsia="Times New Roman" w:cstheme="minorHAnsi"/>
                <w:color w:val="000000"/>
                <w:lang w:eastAsia="en-IE"/>
              </w:rPr>
              <w:t>24</w:t>
            </w:r>
          </w:p>
        </w:tc>
        <w:tc>
          <w:tcPr>
            <w:tcW w:w="164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1,679,000</w:t>
            </w:r>
          </w:p>
        </w:tc>
        <w:tc>
          <w:tcPr>
            <w:tcW w:w="1360" w:type="dxa"/>
            <w:hideMark/>
          </w:tcPr>
          <w:p w:rsidR="003C4E40" w:rsidRPr="005C4524" w:rsidRDefault="003C4E40"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2,648.34</w:t>
            </w:r>
          </w:p>
        </w:tc>
      </w:tr>
      <w:tr w:rsidR="003C4E40" w:rsidRPr="005C4524" w:rsidTr="0010610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Meath County</w:t>
            </w:r>
          </w:p>
        </w:tc>
        <w:tc>
          <w:tcPr>
            <w:tcW w:w="122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621.98</w:t>
            </w:r>
          </w:p>
        </w:tc>
        <w:tc>
          <w:tcPr>
            <w:tcW w:w="136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3.72</w:t>
            </w:r>
          </w:p>
        </w:tc>
        <w:tc>
          <w:tcPr>
            <w:tcW w:w="144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0.37</w:t>
            </w:r>
          </w:p>
        </w:tc>
        <w:tc>
          <w:tcPr>
            <w:tcW w:w="164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1,793,412</w:t>
            </w:r>
          </w:p>
        </w:tc>
        <w:tc>
          <w:tcPr>
            <w:tcW w:w="1360" w:type="dxa"/>
            <w:hideMark/>
          </w:tcPr>
          <w:p w:rsidR="003C4E40" w:rsidRPr="005C4524" w:rsidRDefault="003C4E40"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3,477.11</w:t>
            </w:r>
          </w:p>
        </w:tc>
      </w:tr>
      <w:tr w:rsidR="003C4E40" w:rsidRPr="005C4524" w:rsidTr="00106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Monaghan County</w:t>
            </w:r>
          </w:p>
        </w:tc>
        <w:tc>
          <w:tcPr>
            <w:tcW w:w="122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362.74</w:t>
            </w:r>
          </w:p>
        </w:tc>
        <w:tc>
          <w:tcPr>
            <w:tcW w:w="136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3.53</w:t>
            </w:r>
          </w:p>
        </w:tc>
        <w:tc>
          <w:tcPr>
            <w:tcW w:w="144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0.15</w:t>
            </w:r>
          </w:p>
        </w:tc>
        <w:tc>
          <w:tcPr>
            <w:tcW w:w="164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398,227</w:t>
            </w:r>
          </w:p>
        </w:tc>
        <w:tc>
          <w:tcPr>
            <w:tcW w:w="1360" w:type="dxa"/>
            <w:hideMark/>
          </w:tcPr>
          <w:p w:rsidR="003C4E40" w:rsidRPr="005C4524" w:rsidRDefault="003C4E40"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3,639.71</w:t>
            </w:r>
          </w:p>
        </w:tc>
      </w:tr>
      <w:tr w:rsidR="003C4E40" w:rsidRPr="005C4524" w:rsidTr="0010610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Offaly County</w:t>
            </w:r>
          </w:p>
        </w:tc>
        <w:tc>
          <w:tcPr>
            <w:tcW w:w="122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374.79</w:t>
            </w:r>
          </w:p>
        </w:tc>
        <w:tc>
          <w:tcPr>
            <w:tcW w:w="136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3.12</w:t>
            </w:r>
          </w:p>
        </w:tc>
        <w:tc>
          <w:tcPr>
            <w:tcW w:w="144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0.30</w:t>
            </w:r>
          </w:p>
        </w:tc>
        <w:tc>
          <w:tcPr>
            <w:tcW w:w="164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774,354</w:t>
            </w:r>
          </w:p>
        </w:tc>
        <w:tc>
          <w:tcPr>
            <w:tcW w:w="1360" w:type="dxa"/>
            <w:hideMark/>
          </w:tcPr>
          <w:p w:rsidR="003C4E40" w:rsidRPr="00442A2E" w:rsidRDefault="003C4E40"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3,026.00</w:t>
            </w:r>
          </w:p>
        </w:tc>
      </w:tr>
      <w:tr w:rsidR="003C4E40" w:rsidRPr="005C4524" w:rsidTr="00106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Roscommon County</w:t>
            </w:r>
          </w:p>
        </w:tc>
        <w:tc>
          <w:tcPr>
            <w:tcW w:w="122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407.89</w:t>
            </w:r>
          </w:p>
        </w:tc>
        <w:tc>
          <w:tcPr>
            <w:tcW w:w="136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2.97</w:t>
            </w:r>
          </w:p>
        </w:tc>
        <w:tc>
          <w:tcPr>
            <w:tcW w:w="144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0.28</w:t>
            </w:r>
          </w:p>
        </w:tc>
        <w:tc>
          <w:tcPr>
            <w:tcW w:w="1640" w:type="dxa"/>
            <w:hideMark/>
          </w:tcPr>
          <w:p w:rsidR="003C4E40" w:rsidRPr="00442A2E"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135,000</w:t>
            </w:r>
          </w:p>
        </w:tc>
        <w:tc>
          <w:tcPr>
            <w:tcW w:w="1360" w:type="dxa"/>
            <w:hideMark/>
          </w:tcPr>
          <w:p w:rsidR="003C4E40" w:rsidRPr="005C4524" w:rsidRDefault="003C4E40"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3,037.00</w:t>
            </w:r>
          </w:p>
        </w:tc>
      </w:tr>
      <w:tr w:rsidR="003C4E40" w:rsidRPr="005C4524" w:rsidTr="0010610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Sligo County</w:t>
            </w:r>
          </w:p>
        </w:tc>
        <w:tc>
          <w:tcPr>
            <w:tcW w:w="122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414.44</w:t>
            </w:r>
          </w:p>
        </w:tc>
        <w:tc>
          <w:tcPr>
            <w:tcW w:w="136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3.55</w:t>
            </w:r>
          </w:p>
        </w:tc>
        <w:tc>
          <w:tcPr>
            <w:tcW w:w="144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0.25</w:t>
            </w:r>
          </w:p>
        </w:tc>
        <w:tc>
          <w:tcPr>
            <w:tcW w:w="164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244,291</w:t>
            </w:r>
          </w:p>
        </w:tc>
        <w:tc>
          <w:tcPr>
            <w:tcW w:w="1360" w:type="dxa"/>
            <w:hideMark/>
          </w:tcPr>
          <w:p w:rsidR="003C4E40" w:rsidRPr="005C4524" w:rsidRDefault="003C4E40"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2,913.00</w:t>
            </w:r>
          </w:p>
        </w:tc>
      </w:tr>
      <w:tr w:rsidR="003C4E40" w:rsidRPr="005C4524" w:rsidTr="00106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South Dublin County</w:t>
            </w:r>
          </w:p>
        </w:tc>
        <w:tc>
          <w:tcPr>
            <w:tcW w:w="122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1,055.69</w:t>
            </w:r>
          </w:p>
        </w:tc>
        <w:tc>
          <w:tcPr>
            <w:tcW w:w="136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3.73</w:t>
            </w:r>
          </w:p>
        </w:tc>
        <w:tc>
          <w:tcPr>
            <w:tcW w:w="144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0.45</w:t>
            </w:r>
          </w:p>
        </w:tc>
        <w:tc>
          <w:tcPr>
            <w:tcW w:w="1640" w:type="dxa"/>
            <w:hideMark/>
          </w:tcPr>
          <w:p w:rsidR="003C4E40" w:rsidRPr="00442A2E"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5,066,374</w:t>
            </w:r>
          </w:p>
        </w:tc>
        <w:tc>
          <w:tcPr>
            <w:tcW w:w="1360" w:type="dxa"/>
            <w:hideMark/>
          </w:tcPr>
          <w:p w:rsidR="003C4E40" w:rsidRPr="005C4524" w:rsidRDefault="003C4E40"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3,613.85</w:t>
            </w:r>
          </w:p>
        </w:tc>
      </w:tr>
      <w:tr w:rsidR="003C4E40" w:rsidRPr="005C4524" w:rsidTr="0010610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Tipperary County</w:t>
            </w:r>
          </w:p>
        </w:tc>
        <w:tc>
          <w:tcPr>
            <w:tcW w:w="122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1,002.33</w:t>
            </w:r>
          </w:p>
        </w:tc>
        <w:tc>
          <w:tcPr>
            <w:tcW w:w="136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3.73</w:t>
            </w:r>
          </w:p>
        </w:tc>
        <w:tc>
          <w:tcPr>
            <w:tcW w:w="144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0.30</w:t>
            </w:r>
          </w:p>
        </w:tc>
        <w:tc>
          <w:tcPr>
            <w:tcW w:w="164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914,200</w:t>
            </w:r>
          </w:p>
        </w:tc>
        <w:tc>
          <w:tcPr>
            <w:tcW w:w="1360" w:type="dxa"/>
            <w:hideMark/>
          </w:tcPr>
          <w:p w:rsidR="003C4E40" w:rsidRPr="005C4524" w:rsidRDefault="003C4E40"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2,533.00</w:t>
            </w:r>
          </w:p>
        </w:tc>
      </w:tr>
      <w:tr w:rsidR="003C4E40" w:rsidRPr="005C4524" w:rsidTr="00106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Waterford City &amp; County</w:t>
            </w:r>
          </w:p>
        </w:tc>
        <w:tc>
          <w:tcPr>
            <w:tcW w:w="122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773.13</w:t>
            </w:r>
          </w:p>
        </w:tc>
        <w:tc>
          <w:tcPr>
            <w:tcW w:w="136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2.77</w:t>
            </w:r>
          </w:p>
        </w:tc>
        <w:tc>
          <w:tcPr>
            <w:tcW w:w="144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0.41</w:t>
            </w:r>
          </w:p>
        </w:tc>
        <w:tc>
          <w:tcPr>
            <w:tcW w:w="164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1,171,104</w:t>
            </w:r>
          </w:p>
        </w:tc>
        <w:tc>
          <w:tcPr>
            <w:tcW w:w="1360" w:type="dxa"/>
            <w:hideMark/>
          </w:tcPr>
          <w:p w:rsidR="003C4E40" w:rsidRPr="005C4524" w:rsidRDefault="003C4E40"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3,424.00</w:t>
            </w:r>
          </w:p>
        </w:tc>
      </w:tr>
      <w:tr w:rsidR="003C4E40" w:rsidRPr="005C4524" w:rsidTr="0010610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Westmeath County</w:t>
            </w:r>
          </w:p>
        </w:tc>
        <w:tc>
          <w:tcPr>
            <w:tcW w:w="122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480.54</w:t>
            </w:r>
          </w:p>
        </w:tc>
        <w:tc>
          <w:tcPr>
            <w:tcW w:w="136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2.46</w:t>
            </w:r>
          </w:p>
        </w:tc>
        <w:tc>
          <w:tcPr>
            <w:tcW w:w="144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0.34</w:t>
            </w:r>
          </w:p>
        </w:tc>
        <w:tc>
          <w:tcPr>
            <w:tcW w:w="164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667,790</w:t>
            </w:r>
          </w:p>
        </w:tc>
        <w:tc>
          <w:tcPr>
            <w:tcW w:w="1360" w:type="dxa"/>
            <w:hideMark/>
          </w:tcPr>
          <w:p w:rsidR="003C4E40" w:rsidRPr="005C4524" w:rsidRDefault="003C4E40"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2,654.00</w:t>
            </w:r>
          </w:p>
        </w:tc>
      </w:tr>
      <w:tr w:rsidR="003C4E40" w:rsidRPr="005C4524" w:rsidTr="00106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Wexford County</w:t>
            </w:r>
          </w:p>
        </w:tc>
        <w:tc>
          <w:tcPr>
            <w:tcW w:w="122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746.00</w:t>
            </w:r>
          </w:p>
        </w:tc>
        <w:tc>
          <w:tcPr>
            <w:tcW w:w="1360" w:type="dxa"/>
            <w:hideMark/>
          </w:tcPr>
          <w:p w:rsidR="003C4E40" w:rsidRPr="005C4524" w:rsidRDefault="00A72016"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Pr>
                <w:rFonts w:eastAsia="Times New Roman" w:cstheme="minorHAnsi"/>
                <w:color w:val="000000"/>
                <w:lang w:eastAsia="en-IE"/>
              </w:rPr>
              <w:t>2.84</w:t>
            </w:r>
          </w:p>
        </w:tc>
        <w:tc>
          <w:tcPr>
            <w:tcW w:w="1440" w:type="dxa"/>
            <w:hideMark/>
          </w:tcPr>
          <w:p w:rsidR="003C4E40" w:rsidRPr="005C4524"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0.3</w:t>
            </w:r>
            <w:r w:rsidR="00A72016">
              <w:rPr>
                <w:rFonts w:eastAsia="Times New Roman" w:cstheme="minorHAnsi"/>
                <w:color w:val="000000"/>
                <w:lang w:eastAsia="en-IE"/>
              </w:rPr>
              <w:t>5</w:t>
            </w:r>
          </w:p>
        </w:tc>
        <w:tc>
          <w:tcPr>
            <w:tcW w:w="1640" w:type="dxa"/>
            <w:hideMark/>
          </w:tcPr>
          <w:p w:rsidR="003C4E40" w:rsidRPr="00442A2E" w:rsidRDefault="003C4E40"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1,818,084</w:t>
            </w:r>
          </w:p>
        </w:tc>
        <w:tc>
          <w:tcPr>
            <w:tcW w:w="1360" w:type="dxa"/>
            <w:hideMark/>
          </w:tcPr>
          <w:p w:rsidR="003C4E40" w:rsidRPr="005C4524" w:rsidRDefault="003C4E40"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3,148.00</w:t>
            </w:r>
          </w:p>
        </w:tc>
      </w:tr>
      <w:tr w:rsidR="003C4E40" w:rsidRPr="005C4524" w:rsidTr="0010610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hideMark/>
          </w:tcPr>
          <w:p w:rsidR="003C4E40" w:rsidRPr="005C4524" w:rsidRDefault="003C4E40" w:rsidP="009554B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Wicklow County</w:t>
            </w:r>
          </w:p>
        </w:tc>
        <w:tc>
          <w:tcPr>
            <w:tcW w:w="122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678.65</w:t>
            </w:r>
          </w:p>
        </w:tc>
        <w:tc>
          <w:tcPr>
            <w:tcW w:w="136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2.</w:t>
            </w:r>
            <w:r w:rsidR="00A72016">
              <w:rPr>
                <w:rFonts w:eastAsia="Times New Roman" w:cstheme="minorHAnsi"/>
                <w:color w:val="000000"/>
                <w:lang w:eastAsia="en-IE"/>
              </w:rPr>
              <w:t>37</w:t>
            </w:r>
          </w:p>
        </w:tc>
        <w:tc>
          <w:tcPr>
            <w:tcW w:w="1440" w:type="dxa"/>
            <w:hideMark/>
          </w:tcPr>
          <w:p w:rsidR="003C4E40" w:rsidRPr="005C4524"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0.</w:t>
            </w:r>
            <w:r w:rsidR="00A72016">
              <w:rPr>
                <w:rFonts w:eastAsia="Times New Roman" w:cstheme="minorHAnsi"/>
                <w:color w:val="000000"/>
                <w:lang w:eastAsia="en-IE"/>
              </w:rPr>
              <w:t>30</w:t>
            </w:r>
          </w:p>
        </w:tc>
        <w:tc>
          <w:tcPr>
            <w:tcW w:w="1640" w:type="dxa"/>
            <w:hideMark/>
          </w:tcPr>
          <w:p w:rsidR="003C4E40" w:rsidRPr="00442A2E" w:rsidRDefault="003C4E40" w:rsidP="009554B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787,662</w:t>
            </w:r>
            <w:r w:rsidR="006E2A4D">
              <w:rPr>
                <w:rFonts w:eastAsia="Times New Roman" w:cstheme="minorHAnsi"/>
                <w:color w:val="000000"/>
                <w:vertAlign w:val="superscript"/>
                <w:lang w:eastAsia="en-IE"/>
              </w:rPr>
              <w:t>a</w:t>
            </w:r>
          </w:p>
        </w:tc>
        <w:tc>
          <w:tcPr>
            <w:tcW w:w="1360" w:type="dxa"/>
            <w:hideMark/>
          </w:tcPr>
          <w:p w:rsidR="003C4E40" w:rsidRPr="005C4524" w:rsidRDefault="003C4E40"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3,341.00</w:t>
            </w:r>
          </w:p>
        </w:tc>
      </w:tr>
      <w:tr w:rsidR="006B34C6" w:rsidRPr="006B34C6" w:rsidTr="00106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0" w:type="dxa"/>
            <w:noWrap/>
          </w:tcPr>
          <w:p w:rsidR="006B34C6" w:rsidRPr="006B34C6" w:rsidRDefault="006B34C6" w:rsidP="009554B2">
            <w:pPr>
              <w:rPr>
                <w:rFonts w:asciiTheme="minorHAnsi" w:eastAsia="Times New Roman" w:hAnsiTheme="minorHAnsi" w:cstheme="minorHAnsi"/>
                <w:color w:val="000000"/>
                <w:lang w:eastAsia="en-IE"/>
              </w:rPr>
            </w:pPr>
            <w:r w:rsidRPr="006B34C6">
              <w:rPr>
                <w:rFonts w:asciiTheme="minorHAnsi" w:eastAsia="Times New Roman" w:hAnsiTheme="minorHAnsi" w:cstheme="minorHAnsi"/>
                <w:color w:val="000000"/>
                <w:lang w:eastAsia="en-IE"/>
              </w:rPr>
              <w:t>Totals</w:t>
            </w:r>
          </w:p>
        </w:tc>
        <w:tc>
          <w:tcPr>
            <w:tcW w:w="1220" w:type="dxa"/>
          </w:tcPr>
          <w:p w:rsidR="006B34C6" w:rsidRPr="006B34C6" w:rsidRDefault="00515C84" w:rsidP="0064781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lang w:eastAsia="en-IE"/>
              </w:rPr>
            </w:pPr>
            <w:r>
              <w:rPr>
                <w:rFonts w:eastAsia="Times New Roman" w:cstheme="minorHAnsi"/>
                <w:b/>
                <w:color w:val="000000"/>
                <w:lang w:eastAsia="en-IE"/>
              </w:rPr>
              <w:t>26</w:t>
            </w:r>
            <w:r w:rsidR="00CF3DE2">
              <w:rPr>
                <w:rFonts w:eastAsia="Times New Roman" w:cstheme="minorHAnsi"/>
                <w:b/>
                <w:color w:val="000000"/>
                <w:lang w:eastAsia="en-IE"/>
              </w:rPr>
              <w:t>,</w:t>
            </w:r>
            <w:r>
              <w:rPr>
                <w:rFonts w:eastAsia="Times New Roman" w:cstheme="minorHAnsi"/>
                <w:b/>
                <w:color w:val="000000"/>
                <w:lang w:eastAsia="en-IE"/>
              </w:rPr>
              <w:t>80</w:t>
            </w:r>
            <w:r w:rsidR="0064781E">
              <w:rPr>
                <w:rFonts w:eastAsia="Times New Roman" w:cstheme="minorHAnsi"/>
                <w:b/>
                <w:color w:val="000000"/>
                <w:lang w:eastAsia="en-IE"/>
              </w:rPr>
              <w:t>6</w:t>
            </w:r>
            <w:r>
              <w:rPr>
                <w:rFonts w:eastAsia="Times New Roman" w:cstheme="minorHAnsi"/>
                <w:b/>
                <w:color w:val="000000"/>
                <w:lang w:eastAsia="en-IE"/>
              </w:rPr>
              <w:t>.86</w:t>
            </w:r>
          </w:p>
        </w:tc>
        <w:tc>
          <w:tcPr>
            <w:tcW w:w="1360" w:type="dxa"/>
          </w:tcPr>
          <w:p w:rsidR="006B34C6" w:rsidRPr="006B34C6" w:rsidRDefault="006B34C6"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lang w:eastAsia="en-IE"/>
              </w:rPr>
            </w:pPr>
          </w:p>
        </w:tc>
        <w:tc>
          <w:tcPr>
            <w:tcW w:w="1440" w:type="dxa"/>
          </w:tcPr>
          <w:p w:rsidR="006B34C6" w:rsidRPr="006B34C6" w:rsidRDefault="006B34C6"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lang w:eastAsia="en-IE"/>
              </w:rPr>
            </w:pPr>
          </w:p>
        </w:tc>
        <w:tc>
          <w:tcPr>
            <w:tcW w:w="1640" w:type="dxa"/>
          </w:tcPr>
          <w:p w:rsidR="006B34C6" w:rsidRPr="006B34C6" w:rsidRDefault="006B34C6" w:rsidP="00955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lang w:eastAsia="en-IE"/>
              </w:rPr>
            </w:pPr>
            <w:r w:rsidRPr="006B34C6">
              <w:rPr>
                <w:rFonts w:eastAsia="Times New Roman" w:cstheme="minorHAnsi"/>
                <w:b/>
                <w:color w:val="000000"/>
                <w:lang w:eastAsia="en-IE"/>
              </w:rPr>
              <w:t>45,957,765</w:t>
            </w:r>
          </w:p>
        </w:tc>
        <w:tc>
          <w:tcPr>
            <w:tcW w:w="1360" w:type="dxa"/>
          </w:tcPr>
          <w:p w:rsidR="006B34C6" w:rsidRPr="006B34C6" w:rsidRDefault="006B34C6"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lang w:eastAsia="en-IE"/>
              </w:rPr>
            </w:pPr>
          </w:p>
        </w:tc>
      </w:tr>
    </w:tbl>
    <w:p w:rsidR="00201EC9" w:rsidRDefault="00201EC9" w:rsidP="00E80676">
      <w:pPr>
        <w:spacing w:after="0" w:line="240" w:lineRule="auto"/>
        <w:rPr>
          <w:rFonts w:eastAsia="Times New Roman" w:cstheme="minorHAnsi"/>
          <w:b/>
          <w:bCs/>
          <w:color w:val="000000"/>
          <w:lang w:eastAsia="en-IE"/>
        </w:rPr>
      </w:pPr>
    </w:p>
    <w:p w:rsidR="00C070BF" w:rsidRPr="009660A3" w:rsidRDefault="006E2A4D" w:rsidP="009660A3">
      <w:pPr>
        <w:spacing w:after="0" w:line="240" w:lineRule="auto"/>
        <w:jc w:val="both"/>
        <w:rPr>
          <w:rFonts w:eastAsia="Times New Roman" w:cstheme="minorHAnsi"/>
          <w:bCs/>
          <w:color w:val="000000"/>
          <w:sz w:val="18"/>
          <w:szCs w:val="18"/>
          <w:lang w:eastAsia="en-IE"/>
        </w:rPr>
      </w:pPr>
      <w:proofErr w:type="gramStart"/>
      <w:r>
        <w:rPr>
          <w:rFonts w:eastAsia="Times New Roman" w:cstheme="minorHAnsi"/>
          <w:bCs/>
          <w:color w:val="000000"/>
          <w:sz w:val="18"/>
          <w:szCs w:val="18"/>
          <w:vertAlign w:val="superscript"/>
          <w:lang w:eastAsia="en-IE"/>
        </w:rPr>
        <w:t>a</w:t>
      </w:r>
      <w:proofErr w:type="gramEnd"/>
      <w:r w:rsidR="00C070BF" w:rsidRPr="009660A3">
        <w:rPr>
          <w:rFonts w:eastAsia="Times New Roman" w:cstheme="minorHAnsi"/>
          <w:bCs/>
          <w:color w:val="000000"/>
          <w:sz w:val="18"/>
          <w:szCs w:val="18"/>
          <w:vertAlign w:val="superscript"/>
          <w:lang w:eastAsia="en-IE"/>
        </w:rPr>
        <w:t xml:space="preserve"> </w:t>
      </w:r>
      <w:r w:rsidR="00C070BF" w:rsidRPr="009660A3">
        <w:rPr>
          <w:rFonts w:eastAsia="Times New Roman" w:cstheme="minorHAnsi"/>
          <w:bCs/>
          <w:color w:val="000000"/>
          <w:sz w:val="18"/>
          <w:szCs w:val="18"/>
          <w:u w:val="single"/>
          <w:lang w:eastAsia="en-IE"/>
        </w:rPr>
        <w:t>Wicklow:</w:t>
      </w:r>
      <w:r w:rsidR="00C070BF" w:rsidRPr="009660A3">
        <w:rPr>
          <w:rFonts w:eastAsia="Times New Roman" w:cstheme="minorHAnsi"/>
          <w:bCs/>
          <w:color w:val="000000"/>
          <w:sz w:val="18"/>
          <w:szCs w:val="18"/>
          <w:lang w:eastAsia="en-IE"/>
        </w:rPr>
        <w:t xml:space="preserve"> On site web analytics for rebuilt site www.wicklow.ie from April 14 pro rata for full year.</w:t>
      </w:r>
    </w:p>
    <w:p w:rsidR="009B5DD7" w:rsidRPr="00B97E75" w:rsidRDefault="009B5DD7" w:rsidP="00E80676">
      <w:pPr>
        <w:spacing w:after="0" w:line="240" w:lineRule="auto"/>
        <w:rPr>
          <w:rFonts w:eastAsia="Times New Roman" w:cstheme="minorHAnsi"/>
          <w:b/>
          <w:bCs/>
          <w:color w:val="000000"/>
          <w:lang w:eastAsia="en-IE"/>
        </w:rPr>
      </w:pPr>
    </w:p>
    <w:tbl>
      <w:tblPr>
        <w:tblW w:w="5640" w:type="dxa"/>
        <w:tblLook w:val="04A0" w:firstRow="1" w:lastRow="0" w:firstColumn="1" w:lastColumn="0" w:noHBand="0" w:noVBand="1"/>
      </w:tblPr>
      <w:tblGrid>
        <w:gridCol w:w="2260"/>
        <w:gridCol w:w="1760"/>
        <w:gridCol w:w="1620"/>
      </w:tblGrid>
      <w:tr w:rsidR="009B5DD7" w:rsidRPr="00B97E75" w:rsidTr="00E17A00">
        <w:trPr>
          <w:trHeight w:val="300"/>
        </w:trPr>
        <w:tc>
          <w:tcPr>
            <w:tcW w:w="5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Summary Statistics for Whole Time Equivalent Numbers</w:t>
            </w:r>
          </w:p>
        </w:tc>
      </w:tr>
      <w:tr w:rsidR="009B5DD7" w:rsidRPr="00B97E75" w:rsidTr="00E17A00">
        <w:trPr>
          <w:trHeight w:val="300"/>
        </w:trPr>
        <w:tc>
          <w:tcPr>
            <w:tcW w:w="4020" w:type="dxa"/>
            <w:gridSpan w:val="2"/>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9B5DD7" w:rsidRPr="00B97E75" w:rsidRDefault="009B5DD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Total Number of WTE Staff in LA</w:t>
            </w:r>
          </w:p>
          <w:p w:rsidR="009B5DD7" w:rsidRPr="00B97E75" w:rsidRDefault="009B5DD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 </w:t>
            </w:r>
          </w:p>
        </w:tc>
        <w:tc>
          <w:tcPr>
            <w:tcW w:w="1620" w:type="dxa"/>
            <w:tcBorders>
              <w:top w:val="nil"/>
              <w:left w:val="nil"/>
              <w:bottom w:val="single" w:sz="4" w:space="0" w:color="auto"/>
              <w:right w:val="single" w:sz="4" w:space="0" w:color="auto"/>
            </w:tcBorders>
            <w:shd w:val="clear" w:color="auto" w:fill="B6DDE8" w:themeFill="accent5" w:themeFillTint="66"/>
            <w:vAlign w:val="center"/>
            <w:hideMark/>
          </w:tcPr>
          <w:p w:rsidR="009B5DD7" w:rsidRPr="00B97E75" w:rsidRDefault="009B5DD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2014</w:t>
            </w:r>
          </w:p>
        </w:tc>
      </w:tr>
      <w:tr w:rsidR="009B5DD7" w:rsidRPr="00B97E75" w:rsidTr="00E17A00">
        <w:trPr>
          <w:trHeight w:val="30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1760" w:type="dxa"/>
            <w:tcBorders>
              <w:top w:val="nil"/>
              <w:left w:val="nil"/>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620" w:type="dxa"/>
            <w:tcBorders>
              <w:top w:val="nil"/>
              <w:left w:val="nil"/>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31</w:t>
            </w:r>
          </w:p>
        </w:tc>
      </w:tr>
      <w:tr w:rsidR="009B5DD7" w:rsidRPr="00B97E75" w:rsidTr="00E17A00">
        <w:trPr>
          <w:trHeight w:val="30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760" w:type="dxa"/>
            <w:tcBorders>
              <w:top w:val="nil"/>
              <w:left w:val="nil"/>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620" w:type="dxa"/>
            <w:tcBorders>
              <w:top w:val="nil"/>
              <w:left w:val="nil"/>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0</w:t>
            </w:r>
          </w:p>
        </w:tc>
      </w:tr>
      <w:tr w:rsidR="009B5DD7" w:rsidRPr="00B97E75" w:rsidTr="00E17A00">
        <w:trPr>
          <w:trHeight w:val="30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1760" w:type="dxa"/>
            <w:tcBorders>
              <w:top w:val="nil"/>
              <w:left w:val="nil"/>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620" w:type="dxa"/>
            <w:tcBorders>
              <w:top w:val="nil"/>
              <w:left w:val="nil"/>
              <w:bottom w:val="single" w:sz="4" w:space="0" w:color="auto"/>
              <w:right w:val="single" w:sz="4" w:space="0" w:color="auto"/>
            </w:tcBorders>
            <w:shd w:val="clear" w:color="auto" w:fill="auto"/>
            <w:vAlign w:val="center"/>
            <w:hideMark/>
          </w:tcPr>
          <w:p w:rsidR="009B5DD7" w:rsidRPr="00B97E75" w:rsidRDefault="00515C84" w:rsidP="00E17A00">
            <w:pPr>
              <w:spacing w:after="0" w:line="240" w:lineRule="auto"/>
              <w:rPr>
                <w:rFonts w:eastAsia="Times New Roman" w:cstheme="minorHAnsi"/>
                <w:b/>
                <w:bCs/>
                <w:color w:val="000000"/>
                <w:lang w:eastAsia="en-IE"/>
              </w:rPr>
            </w:pPr>
            <w:r>
              <w:rPr>
                <w:rFonts w:eastAsia="Times New Roman" w:cstheme="minorHAnsi"/>
                <w:b/>
                <w:bCs/>
                <w:color w:val="000000"/>
                <w:lang w:eastAsia="en-IE"/>
              </w:rPr>
              <w:t>712.81</w:t>
            </w:r>
          </w:p>
        </w:tc>
      </w:tr>
      <w:tr w:rsidR="009B5DD7" w:rsidRPr="00B97E75" w:rsidTr="00E17A00">
        <w:trPr>
          <w:trHeight w:val="30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760" w:type="dxa"/>
            <w:tcBorders>
              <w:top w:val="nil"/>
              <w:left w:val="nil"/>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620" w:type="dxa"/>
            <w:tcBorders>
              <w:top w:val="nil"/>
              <w:left w:val="nil"/>
              <w:bottom w:val="single" w:sz="4" w:space="0" w:color="auto"/>
              <w:right w:val="single" w:sz="4" w:space="0" w:color="auto"/>
            </w:tcBorders>
            <w:shd w:val="clear" w:color="auto" w:fill="auto"/>
            <w:vAlign w:val="center"/>
            <w:hideMark/>
          </w:tcPr>
          <w:p w:rsidR="009B5DD7" w:rsidRPr="00B97E75" w:rsidRDefault="00515C84" w:rsidP="0064781E">
            <w:pPr>
              <w:spacing w:after="0" w:line="240" w:lineRule="auto"/>
              <w:rPr>
                <w:rFonts w:eastAsia="Times New Roman" w:cstheme="minorHAnsi"/>
                <w:color w:val="000000"/>
                <w:lang w:eastAsia="en-IE"/>
              </w:rPr>
            </w:pPr>
            <w:r>
              <w:rPr>
                <w:rFonts w:eastAsia="Times New Roman" w:cstheme="minorHAnsi"/>
                <w:color w:val="000000"/>
                <w:lang w:eastAsia="en-IE"/>
              </w:rPr>
              <w:t>864.</w:t>
            </w:r>
            <w:r w:rsidR="0064781E">
              <w:rPr>
                <w:rFonts w:eastAsia="Times New Roman" w:cstheme="minorHAnsi"/>
                <w:color w:val="000000"/>
                <w:lang w:eastAsia="en-IE"/>
              </w:rPr>
              <w:t>74</w:t>
            </w:r>
          </w:p>
        </w:tc>
      </w:tr>
    </w:tbl>
    <w:p w:rsidR="009B5DD7" w:rsidRPr="00B97E75" w:rsidRDefault="009B5DD7" w:rsidP="00E80676">
      <w:pPr>
        <w:spacing w:after="0" w:line="240" w:lineRule="auto"/>
        <w:rPr>
          <w:rFonts w:eastAsia="Times New Roman" w:cstheme="minorHAnsi"/>
          <w:b/>
          <w:bCs/>
          <w:color w:val="000000"/>
          <w:lang w:eastAsia="en-IE"/>
        </w:rPr>
      </w:pPr>
    </w:p>
    <w:p w:rsidR="009B5DD7" w:rsidRPr="00B97E75" w:rsidRDefault="009B5DD7" w:rsidP="00E80676">
      <w:pPr>
        <w:spacing w:after="0" w:line="240" w:lineRule="auto"/>
        <w:rPr>
          <w:rFonts w:eastAsia="Times New Roman" w:cstheme="minorHAnsi"/>
          <w:b/>
          <w:bCs/>
          <w:color w:val="000000"/>
          <w:lang w:eastAsia="en-IE"/>
        </w:rPr>
      </w:pPr>
    </w:p>
    <w:tbl>
      <w:tblPr>
        <w:tblW w:w="9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9"/>
        <w:gridCol w:w="1693"/>
        <w:gridCol w:w="898"/>
        <w:gridCol w:w="1300"/>
        <w:gridCol w:w="1408"/>
        <w:gridCol w:w="1300"/>
        <w:gridCol w:w="1300"/>
      </w:tblGrid>
      <w:tr w:rsidR="006E7957" w:rsidRPr="00B97E75" w:rsidTr="00E17A00">
        <w:trPr>
          <w:trHeight w:val="323"/>
        </w:trPr>
        <w:tc>
          <w:tcPr>
            <w:tcW w:w="9208" w:type="dxa"/>
            <w:gridSpan w:val="7"/>
            <w:shd w:val="clear" w:color="auto" w:fill="auto"/>
            <w:vAlign w:val="center"/>
            <w:hideMark/>
          </w:tcPr>
          <w:p w:rsidR="006E7957" w:rsidRPr="00B97E75" w:rsidRDefault="006E795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 xml:space="preserve">Summary </w:t>
            </w:r>
            <w:r w:rsidR="004E52C7">
              <w:rPr>
                <w:rFonts w:eastAsia="Times New Roman" w:cstheme="minorHAnsi"/>
                <w:b/>
                <w:bCs/>
                <w:color w:val="000000"/>
                <w:lang w:val="en-US" w:eastAsia="en-IE"/>
              </w:rPr>
              <w:t xml:space="preserve">Sick-Leave </w:t>
            </w:r>
            <w:r w:rsidRPr="00B97E75">
              <w:rPr>
                <w:rFonts w:eastAsia="Times New Roman" w:cstheme="minorHAnsi"/>
                <w:b/>
                <w:bCs/>
                <w:color w:val="000000"/>
                <w:lang w:val="en-US" w:eastAsia="en-IE"/>
              </w:rPr>
              <w:t>Statistics 2010 - 2014</w:t>
            </w:r>
          </w:p>
        </w:tc>
      </w:tr>
      <w:tr w:rsidR="006E7957" w:rsidRPr="00B97E75" w:rsidTr="00E17A00">
        <w:trPr>
          <w:trHeight w:val="887"/>
        </w:trPr>
        <w:tc>
          <w:tcPr>
            <w:tcW w:w="3002" w:type="dxa"/>
            <w:gridSpan w:val="2"/>
            <w:shd w:val="clear" w:color="auto" w:fill="B6DDE8" w:themeFill="accent5" w:themeFillTint="66"/>
            <w:vAlign w:val="center"/>
            <w:hideMark/>
          </w:tcPr>
          <w:p w:rsidR="006E7957" w:rsidRPr="00B97E75" w:rsidRDefault="006E795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 xml:space="preserve">Percentage of </w:t>
            </w:r>
            <w:r w:rsidR="006E2A4D">
              <w:rPr>
                <w:rFonts w:eastAsia="Times New Roman" w:cstheme="minorHAnsi"/>
                <w:b/>
                <w:bCs/>
                <w:color w:val="000000"/>
                <w:lang w:val="en-US" w:eastAsia="en-IE"/>
              </w:rPr>
              <w:t xml:space="preserve">paid </w:t>
            </w:r>
            <w:r w:rsidRPr="00B97E75">
              <w:rPr>
                <w:rFonts w:eastAsia="Times New Roman" w:cstheme="minorHAnsi"/>
                <w:b/>
                <w:bCs/>
                <w:color w:val="000000"/>
                <w:lang w:val="en-US" w:eastAsia="en-IE"/>
              </w:rPr>
              <w:t xml:space="preserve">working days lost to sickness absence through </w:t>
            </w:r>
            <w:r w:rsidR="00E46F1F">
              <w:rPr>
                <w:rFonts w:eastAsia="Times New Roman" w:cstheme="minorHAnsi"/>
                <w:b/>
                <w:bCs/>
                <w:color w:val="000000"/>
                <w:lang w:val="en-US" w:eastAsia="en-IE"/>
              </w:rPr>
              <w:t xml:space="preserve">medically </w:t>
            </w:r>
            <w:r w:rsidRPr="00B97E75">
              <w:rPr>
                <w:rFonts w:eastAsia="Times New Roman" w:cstheme="minorHAnsi"/>
                <w:b/>
                <w:bCs/>
                <w:color w:val="000000"/>
                <w:lang w:val="en-US" w:eastAsia="en-IE"/>
              </w:rPr>
              <w:t>certified leave</w:t>
            </w:r>
          </w:p>
        </w:tc>
        <w:tc>
          <w:tcPr>
            <w:tcW w:w="898" w:type="dxa"/>
            <w:shd w:val="clear" w:color="auto" w:fill="B6DDE8" w:themeFill="accent5" w:themeFillTint="66"/>
            <w:vAlign w:val="center"/>
            <w:hideMark/>
          </w:tcPr>
          <w:p w:rsidR="006E7957" w:rsidRPr="00B97E75" w:rsidRDefault="006E7957" w:rsidP="00E17A00">
            <w:pPr>
              <w:spacing w:after="0" w:line="240" w:lineRule="auto"/>
              <w:rPr>
                <w:rFonts w:eastAsia="Times New Roman" w:cstheme="minorHAnsi"/>
                <w:b/>
                <w:bCs/>
                <w:color w:val="000000"/>
                <w:lang w:val="en-US" w:eastAsia="en-IE"/>
              </w:rPr>
            </w:pPr>
          </w:p>
          <w:p w:rsidR="006E7957" w:rsidRPr="00B97E75" w:rsidRDefault="006E7957" w:rsidP="00E17A00">
            <w:pPr>
              <w:spacing w:after="0" w:line="240" w:lineRule="auto"/>
              <w:rPr>
                <w:rFonts w:eastAsia="Times New Roman" w:cstheme="minorHAnsi"/>
                <w:b/>
                <w:bCs/>
                <w:color w:val="000000"/>
                <w:lang w:val="en-US" w:eastAsia="en-IE"/>
              </w:rPr>
            </w:pPr>
          </w:p>
          <w:p w:rsidR="006E7957" w:rsidRPr="00B97E75" w:rsidRDefault="006E795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2010</w:t>
            </w:r>
          </w:p>
        </w:tc>
        <w:tc>
          <w:tcPr>
            <w:tcW w:w="1300" w:type="dxa"/>
            <w:shd w:val="clear" w:color="auto" w:fill="B6DDE8" w:themeFill="accent5" w:themeFillTint="66"/>
            <w:vAlign w:val="center"/>
            <w:hideMark/>
          </w:tcPr>
          <w:p w:rsidR="006E7957" w:rsidRPr="00B97E75" w:rsidRDefault="006E7957" w:rsidP="00E17A00">
            <w:pPr>
              <w:spacing w:after="0" w:line="240" w:lineRule="auto"/>
              <w:rPr>
                <w:rFonts w:eastAsia="Times New Roman" w:cstheme="minorHAnsi"/>
                <w:b/>
                <w:bCs/>
                <w:color w:val="000000"/>
                <w:lang w:val="en-US" w:eastAsia="en-IE"/>
              </w:rPr>
            </w:pPr>
          </w:p>
          <w:p w:rsidR="006E7957" w:rsidRPr="00B97E75" w:rsidRDefault="006E7957" w:rsidP="00E17A00">
            <w:pPr>
              <w:spacing w:after="0" w:line="240" w:lineRule="auto"/>
              <w:rPr>
                <w:rFonts w:eastAsia="Times New Roman" w:cstheme="minorHAnsi"/>
                <w:b/>
                <w:bCs/>
                <w:color w:val="000000"/>
                <w:lang w:val="en-US" w:eastAsia="en-IE"/>
              </w:rPr>
            </w:pPr>
          </w:p>
          <w:p w:rsidR="006E7957" w:rsidRPr="00B97E75" w:rsidRDefault="006E795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2011</w:t>
            </w:r>
          </w:p>
        </w:tc>
        <w:tc>
          <w:tcPr>
            <w:tcW w:w="1408" w:type="dxa"/>
            <w:shd w:val="clear" w:color="auto" w:fill="B6DDE8" w:themeFill="accent5" w:themeFillTint="66"/>
            <w:vAlign w:val="center"/>
            <w:hideMark/>
          </w:tcPr>
          <w:p w:rsidR="006E7957" w:rsidRPr="00B97E75" w:rsidRDefault="006E7957" w:rsidP="00E17A00">
            <w:pPr>
              <w:spacing w:after="0" w:line="240" w:lineRule="auto"/>
              <w:rPr>
                <w:rFonts w:eastAsia="Times New Roman" w:cstheme="minorHAnsi"/>
                <w:b/>
                <w:bCs/>
                <w:color w:val="000000"/>
                <w:lang w:val="en-US" w:eastAsia="en-IE"/>
              </w:rPr>
            </w:pPr>
          </w:p>
          <w:p w:rsidR="006E7957" w:rsidRPr="00B97E75" w:rsidRDefault="006E7957" w:rsidP="00E17A00">
            <w:pPr>
              <w:spacing w:after="0" w:line="240" w:lineRule="auto"/>
              <w:rPr>
                <w:rFonts w:eastAsia="Times New Roman" w:cstheme="minorHAnsi"/>
                <w:b/>
                <w:bCs/>
                <w:color w:val="000000"/>
                <w:lang w:val="en-US" w:eastAsia="en-IE"/>
              </w:rPr>
            </w:pPr>
          </w:p>
          <w:p w:rsidR="006E7957" w:rsidRPr="00B97E75" w:rsidRDefault="006E795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2012</w:t>
            </w:r>
          </w:p>
        </w:tc>
        <w:tc>
          <w:tcPr>
            <w:tcW w:w="1300" w:type="dxa"/>
            <w:shd w:val="clear" w:color="auto" w:fill="B6DDE8" w:themeFill="accent5" w:themeFillTint="66"/>
            <w:vAlign w:val="center"/>
            <w:hideMark/>
          </w:tcPr>
          <w:p w:rsidR="006E7957" w:rsidRPr="00B97E75" w:rsidRDefault="006E7957" w:rsidP="00E17A00">
            <w:pPr>
              <w:spacing w:after="0" w:line="240" w:lineRule="auto"/>
              <w:rPr>
                <w:rFonts w:eastAsia="Times New Roman" w:cstheme="minorHAnsi"/>
                <w:b/>
                <w:bCs/>
                <w:color w:val="000000"/>
                <w:lang w:val="en-US" w:eastAsia="en-IE"/>
              </w:rPr>
            </w:pPr>
          </w:p>
          <w:p w:rsidR="006E7957" w:rsidRPr="00B97E75" w:rsidRDefault="006E7957" w:rsidP="00E17A00">
            <w:pPr>
              <w:spacing w:after="0" w:line="240" w:lineRule="auto"/>
              <w:rPr>
                <w:rFonts w:eastAsia="Times New Roman" w:cstheme="minorHAnsi"/>
                <w:b/>
                <w:bCs/>
                <w:color w:val="000000"/>
                <w:lang w:val="en-US" w:eastAsia="en-IE"/>
              </w:rPr>
            </w:pPr>
          </w:p>
          <w:p w:rsidR="006E7957" w:rsidRPr="00B97E75" w:rsidRDefault="006E795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2013</w:t>
            </w:r>
          </w:p>
        </w:tc>
        <w:tc>
          <w:tcPr>
            <w:tcW w:w="1300" w:type="dxa"/>
            <w:shd w:val="clear" w:color="auto" w:fill="B6DDE8" w:themeFill="accent5" w:themeFillTint="66"/>
            <w:vAlign w:val="center"/>
            <w:hideMark/>
          </w:tcPr>
          <w:p w:rsidR="006E7957" w:rsidRPr="00B97E75" w:rsidRDefault="006E7957" w:rsidP="00E17A00">
            <w:pPr>
              <w:spacing w:after="0" w:line="240" w:lineRule="auto"/>
              <w:rPr>
                <w:rFonts w:eastAsia="Times New Roman" w:cstheme="minorHAnsi"/>
                <w:b/>
                <w:bCs/>
                <w:color w:val="000000"/>
                <w:lang w:val="en-US" w:eastAsia="en-IE"/>
              </w:rPr>
            </w:pPr>
          </w:p>
          <w:p w:rsidR="006E7957" w:rsidRPr="00B97E75" w:rsidRDefault="006E7957" w:rsidP="00E17A00">
            <w:pPr>
              <w:spacing w:after="0" w:line="240" w:lineRule="auto"/>
              <w:rPr>
                <w:rFonts w:eastAsia="Times New Roman" w:cstheme="minorHAnsi"/>
                <w:b/>
                <w:bCs/>
                <w:color w:val="000000"/>
                <w:lang w:val="en-US" w:eastAsia="en-IE"/>
              </w:rPr>
            </w:pPr>
          </w:p>
          <w:p w:rsidR="006E7957" w:rsidRPr="00B97E75" w:rsidRDefault="006E795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2014</w:t>
            </w:r>
          </w:p>
        </w:tc>
      </w:tr>
      <w:tr w:rsidR="006E7957" w:rsidRPr="00B97E75" w:rsidTr="00E17A00">
        <w:trPr>
          <w:trHeight w:val="323"/>
        </w:trPr>
        <w:tc>
          <w:tcPr>
            <w:tcW w:w="1309"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N</w:t>
            </w:r>
          </w:p>
        </w:tc>
        <w:tc>
          <w:tcPr>
            <w:tcW w:w="1693"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Valid</w:t>
            </w:r>
          </w:p>
        </w:tc>
        <w:tc>
          <w:tcPr>
            <w:tcW w:w="898"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34</w:t>
            </w:r>
          </w:p>
        </w:tc>
        <w:tc>
          <w:tcPr>
            <w:tcW w:w="1300"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34</w:t>
            </w:r>
          </w:p>
        </w:tc>
        <w:tc>
          <w:tcPr>
            <w:tcW w:w="1408"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34</w:t>
            </w:r>
          </w:p>
        </w:tc>
        <w:tc>
          <w:tcPr>
            <w:tcW w:w="1300"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34</w:t>
            </w:r>
          </w:p>
        </w:tc>
        <w:tc>
          <w:tcPr>
            <w:tcW w:w="1300"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31</w:t>
            </w:r>
          </w:p>
        </w:tc>
      </w:tr>
      <w:tr w:rsidR="006E7957" w:rsidRPr="00B97E75" w:rsidTr="00E17A00">
        <w:trPr>
          <w:trHeight w:val="323"/>
        </w:trPr>
        <w:tc>
          <w:tcPr>
            <w:tcW w:w="1309"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1693"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Missing</w:t>
            </w:r>
          </w:p>
        </w:tc>
        <w:tc>
          <w:tcPr>
            <w:tcW w:w="898"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0</w:t>
            </w:r>
          </w:p>
        </w:tc>
        <w:tc>
          <w:tcPr>
            <w:tcW w:w="1300"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0</w:t>
            </w:r>
          </w:p>
        </w:tc>
        <w:tc>
          <w:tcPr>
            <w:tcW w:w="1408"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0</w:t>
            </w:r>
          </w:p>
        </w:tc>
        <w:tc>
          <w:tcPr>
            <w:tcW w:w="1300"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0</w:t>
            </w:r>
          </w:p>
        </w:tc>
        <w:tc>
          <w:tcPr>
            <w:tcW w:w="1300"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0</w:t>
            </w:r>
          </w:p>
        </w:tc>
      </w:tr>
      <w:tr w:rsidR="006E7957" w:rsidRPr="00B97E75" w:rsidTr="00E17A00">
        <w:trPr>
          <w:trHeight w:val="323"/>
        </w:trPr>
        <w:tc>
          <w:tcPr>
            <w:tcW w:w="1309" w:type="dxa"/>
            <w:shd w:val="clear" w:color="auto" w:fill="auto"/>
            <w:vAlign w:val="center"/>
            <w:hideMark/>
          </w:tcPr>
          <w:p w:rsidR="006E7957" w:rsidRPr="00B97E75" w:rsidRDefault="006E795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Average</w:t>
            </w:r>
          </w:p>
        </w:tc>
        <w:tc>
          <w:tcPr>
            <w:tcW w:w="1693" w:type="dxa"/>
            <w:shd w:val="clear" w:color="auto" w:fill="auto"/>
            <w:vAlign w:val="center"/>
            <w:hideMark/>
          </w:tcPr>
          <w:p w:rsidR="006E7957" w:rsidRPr="00B97E75" w:rsidRDefault="006E795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Median</w:t>
            </w:r>
          </w:p>
        </w:tc>
        <w:tc>
          <w:tcPr>
            <w:tcW w:w="898" w:type="dxa"/>
            <w:shd w:val="clear" w:color="auto" w:fill="auto"/>
            <w:vAlign w:val="center"/>
            <w:hideMark/>
          </w:tcPr>
          <w:p w:rsidR="006E7957" w:rsidRPr="00B97E75" w:rsidRDefault="006E795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GB" w:eastAsia="en-IE"/>
              </w:rPr>
              <w:t>4.46</w:t>
            </w:r>
          </w:p>
        </w:tc>
        <w:tc>
          <w:tcPr>
            <w:tcW w:w="1300" w:type="dxa"/>
            <w:shd w:val="clear" w:color="auto" w:fill="auto"/>
            <w:vAlign w:val="center"/>
            <w:hideMark/>
          </w:tcPr>
          <w:p w:rsidR="006E7957" w:rsidRPr="00B97E75" w:rsidRDefault="006E795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4.44</w:t>
            </w:r>
          </w:p>
        </w:tc>
        <w:tc>
          <w:tcPr>
            <w:tcW w:w="1408" w:type="dxa"/>
            <w:shd w:val="clear" w:color="auto" w:fill="auto"/>
            <w:vAlign w:val="center"/>
            <w:hideMark/>
          </w:tcPr>
          <w:p w:rsidR="006E7957" w:rsidRPr="00B97E75" w:rsidRDefault="006E795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4.26</w:t>
            </w:r>
          </w:p>
        </w:tc>
        <w:tc>
          <w:tcPr>
            <w:tcW w:w="1300" w:type="dxa"/>
            <w:shd w:val="clear" w:color="auto" w:fill="auto"/>
            <w:vAlign w:val="center"/>
            <w:hideMark/>
          </w:tcPr>
          <w:p w:rsidR="006E7957" w:rsidRPr="00B97E75" w:rsidRDefault="006E795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4.15</w:t>
            </w:r>
          </w:p>
        </w:tc>
        <w:tc>
          <w:tcPr>
            <w:tcW w:w="1300" w:type="dxa"/>
            <w:shd w:val="clear" w:color="auto" w:fill="auto"/>
            <w:vAlign w:val="center"/>
            <w:hideMark/>
          </w:tcPr>
          <w:p w:rsidR="006E7957" w:rsidRPr="00B97E75" w:rsidRDefault="006E795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3.53</w:t>
            </w:r>
          </w:p>
        </w:tc>
      </w:tr>
      <w:tr w:rsidR="006E7957" w:rsidRPr="00B97E75" w:rsidTr="00E17A00">
        <w:trPr>
          <w:trHeight w:val="323"/>
        </w:trPr>
        <w:tc>
          <w:tcPr>
            <w:tcW w:w="1309"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1693"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Mean</w:t>
            </w:r>
          </w:p>
        </w:tc>
        <w:tc>
          <w:tcPr>
            <w:tcW w:w="898"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4.41</w:t>
            </w:r>
          </w:p>
        </w:tc>
        <w:tc>
          <w:tcPr>
            <w:tcW w:w="1300"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4.55</w:t>
            </w:r>
          </w:p>
        </w:tc>
        <w:tc>
          <w:tcPr>
            <w:tcW w:w="1408"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4.32</w:t>
            </w:r>
          </w:p>
        </w:tc>
        <w:tc>
          <w:tcPr>
            <w:tcW w:w="1300"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4.23</w:t>
            </w:r>
          </w:p>
        </w:tc>
        <w:tc>
          <w:tcPr>
            <w:tcW w:w="1300"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3.</w:t>
            </w:r>
            <w:r w:rsidR="00A61F45">
              <w:rPr>
                <w:rFonts w:eastAsia="Times New Roman" w:cstheme="minorHAnsi"/>
                <w:color w:val="000000"/>
                <w:lang w:val="en-US" w:eastAsia="en-IE"/>
              </w:rPr>
              <w:t>3</w:t>
            </w:r>
            <w:r w:rsidR="005E04E7">
              <w:rPr>
                <w:rFonts w:eastAsia="Times New Roman" w:cstheme="minorHAnsi"/>
                <w:color w:val="000000"/>
                <w:lang w:val="en-US" w:eastAsia="en-IE"/>
              </w:rPr>
              <w:t>7</w:t>
            </w:r>
          </w:p>
        </w:tc>
      </w:tr>
      <w:tr w:rsidR="006E7957" w:rsidRPr="00B97E75" w:rsidTr="00E17A00">
        <w:trPr>
          <w:trHeight w:val="1102"/>
        </w:trPr>
        <w:tc>
          <w:tcPr>
            <w:tcW w:w="3002" w:type="dxa"/>
            <w:gridSpan w:val="2"/>
            <w:shd w:val="clear" w:color="auto" w:fill="B6DDE8" w:themeFill="accent5" w:themeFillTint="66"/>
            <w:vAlign w:val="center"/>
            <w:hideMark/>
          </w:tcPr>
          <w:p w:rsidR="006E7957" w:rsidRPr="00B97E75" w:rsidRDefault="006E7957" w:rsidP="004E1F6C">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 xml:space="preserve">Percentage of </w:t>
            </w:r>
            <w:r w:rsidR="006E2A4D">
              <w:rPr>
                <w:rFonts w:eastAsia="Times New Roman" w:cstheme="minorHAnsi"/>
                <w:b/>
                <w:bCs/>
                <w:color w:val="000000"/>
                <w:lang w:val="en-US" w:eastAsia="en-IE"/>
              </w:rPr>
              <w:t xml:space="preserve">paid </w:t>
            </w:r>
            <w:r w:rsidRPr="00B97E75">
              <w:rPr>
                <w:rFonts w:eastAsia="Times New Roman" w:cstheme="minorHAnsi"/>
                <w:b/>
                <w:bCs/>
                <w:color w:val="000000"/>
                <w:lang w:val="en-US" w:eastAsia="en-IE"/>
              </w:rPr>
              <w:t xml:space="preserve">working days lost to sickness absence through </w:t>
            </w:r>
            <w:r w:rsidR="00E46F1F">
              <w:rPr>
                <w:rFonts w:eastAsia="Times New Roman" w:cstheme="minorHAnsi"/>
                <w:b/>
                <w:bCs/>
                <w:color w:val="000000"/>
                <w:lang w:val="en-US" w:eastAsia="en-IE"/>
              </w:rPr>
              <w:t>self</w:t>
            </w:r>
            <w:r w:rsidR="004E1F6C">
              <w:rPr>
                <w:rFonts w:eastAsia="Times New Roman" w:cstheme="minorHAnsi"/>
                <w:b/>
                <w:bCs/>
                <w:color w:val="000000"/>
                <w:lang w:val="en-US" w:eastAsia="en-IE"/>
              </w:rPr>
              <w:t>-</w:t>
            </w:r>
            <w:r w:rsidRPr="00B97E75">
              <w:rPr>
                <w:rFonts w:eastAsia="Times New Roman" w:cstheme="minorHAnsi"/>
                <w:b/>
                <w:bCs/>
                <w:color w:val="000000"/>
                <w:lang w:val="en-US" w:eastAsia="en-IE"/>
              </w:rPr>
              <w:t>certified leave</w:t>
            </w:r>
          </w:p>
        </w:tc>
        <w:tc>
          <w:tcPr>
            <w:tcW w:w="898" w:type="dxa"/>
            <w:shd w:val="clear" w:color="auto" w:fill="B6DDE8" w:themeFill="accent5" w:themeFillTint="66"/>
            <w:noWrap/>
            <w:vAlign w:val="center"/>
            <w:hideMark/>
          </w:tcPr>
          <w:p w:rsidR="006E7957" w:rsidRPr="00B97E75" w:rsidRDefault="006E7957" w:rsidP="00E17A00">
            <w:pPr>
              <w:spacing w:after="0" w:line="240" w:lineRule="auto"/>
              <w:rPr>
                <w:rFonts w:eastAsia="Times New Roman" w:cstheme="minorHAnsi"/>
                <w:b/>
                <w:bCs/>
                <w:color w:val="000000"/>
                <w:lang w:val="en-US" w:eastAsia="en-IE"/>
              </w:rPr>
            </w:pPr>
          </w:p>
          <w:p w:rsidR="006E7957" w:rsidRPr="00B97E75" w:rsidRDefault="006E7957" w:rsidP="00E17A00">
            <w:pPr>
              <w:spacing w:after="0" w:line="240" w:lineRule="auto"/>
              <w:rPr>
                <w:rFonts w:eastAsia="Times New Roman" w:cstheme="minorHAnsi"/>
                <w:b/>
                <w:bCs/>
                <w:color w:val="000000"/>
                <w:lang w:val="en-US" w:eastAsia="en-IE"/>
              </w:rPr>
            </w:pPr>
          </w:p>
          <w:p w:rsidR="006E7957" w:rsidRPr="00B97E75" w:rsidRDefault="006E7957" w:rsidP="00E17A00">
            <w:pPr>
              <w:spacing w:after="0" w:line="240" w:lineRule="auto"/>
              <w:rPr>
                <w:rFonts w:eastAsia="Times New Roman" w:cstheme="minorHAnsi"/>
                <w:b/>
                <w:bCs/>
                <w:color w:val="000000"/>
                <w:lang w:val="en-US" w:eastAsia="en-IE"/>
              </w:rPr>
            </w:pPr>
          </w:p>
          <w:p w:rsidR="006E7957" w:rsidRPr="00B97E75" w:rsidRDefault="006E795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2010</w:t>
            </w:r>
          </w:p>
        </w:tc>
        <w:tc>
          <w:tcPr>
            <w:tcW w:w="1300" w:type="dxa"/>
            <w:shd w:val="clear" w:color="auto" w:fill="B6DDE8" w:themeFill="accent5" w:themeFillTint="66"/>
            <w:noWrap/>
            <w:vAlign w:val="center"/>
            <w:hideMark/>
          </w:tcPr>
          <w:p w:rsidR="006E7957" w:rsidRPr="00B97E75" w:rsidRDefault="006E7957" w:rsidP="00E17A00">
            <w:pPr>
              <w:spacing w:after="0" w:line="240" w:lineRule="auto"/>
              <w:rPr>
                <w:rFonts w:eastAsia="Times New Roman" w:cstheme="minorHAnsi"/>
                <w:b/>
                <w:bCs/>
                <w:color w:val="000000"/>
                <w:lang w:val="en-US" w:eastAsia="en-IE"/>
              </w:rPr>
            </w:pPr>
          </w:p>
          <w:p w:rsidR="006E7957" w:rsidRPr="00B97E75" w:rsidRDefault="006E7957" w:rsidP="00E17A00">
            <w:pPr>
              <w:spacing w:after="0" w:line="240" w:lineRule="auto"/>
              <w:rPr>
                <w:rFonts w:eastAsia="Times New Roman" w:cstheme="minorHAnsi"/>
                <w:b/>
                <w:bCs/>
                <w:color w:val="000000"/>
                <w:lang w:val="en-US" w:eastAsia="en-IE"/>
              </w:rPr>
            </w:pPr>
          </w:p>
          <w:p w:rsidR="006E7957" w:rsidRPr="00B97E75" w:rsidRDefault="006E7957" w:rsidP="00E17A00">
            <w:pPr>
              <w:spacing w:after="0" w:line="240" w:lineRule="auto"/>
              <w:rPr>
                <w:rFonts w:eastAsia="Times New Roman" w:cstheme="minorHAnsi"/>
                <w:b/>
                <w:bCs/>
                <w:color w:val="000000"/>
                <w:lang w:val="en-US" w:eastAsia="en-IE"/>
              </w:rPr>
            </w:pPr>
          </w:p>
          <w:p w:rsidR="006E7957" w:rsidRPr="00B97E75" w:rsidRDefault="006E795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2011</w:t>
            </w:r>
          </w:p>
        </w:tc>
        <w:tc>
          <w:tcPr>
            <w:tcW w:w="1408" w:type="dxa"/>
            <w:shd w:val="clear" w:color="auto" w:fill="B6DDE8" w:themeFill="accent5" w:themeFillTint="66"/>
            <w:noWrap/>
            <w:vAlign w:val="center"/>
            <w:hideMark/>
          </w:tcPr>
          <w:p w:rsidR="006E7957" w:rsidRPr="00B97E75" w:rsidRDefault="006E7957" w:rsidP="00E17A00">
            <w:pPr>
              <w:spacing w:after="0" w:line="240" w:lineRule="auto"/>
              <w:rPr>
                <w:rFonts w:eastAsia="Times New Roman" w:cstheme="minorHAnsi"/>
                <w:b/>
                <w:bCs/>
                <w:color w:val="000000"/>
                <w:lang w:val="en-US" w:eastAsia="en-IE"/>
              </w:rPr>
            </w:pPr>
          </w:p>
          <w:p w:rsidR="006E7957" w:rsidRPr="00B97E75" w:rsidRDefault="006E7957" w:rsidP="00E17A00">
            <w:pPr>
              <w:spacing w:after="0" w:line="240" w:lineRule="auto"/>
              <w:rPr>
                <w:rFonts w:eastAsia="Times New Roman" w:cstheme="minorHAnsi"/>
                <w:b/>
                <w:bCs/>
                <w:color w:val="000000"/>
                <w:lang w:val="en-US" w:eastAsia="en-IE"/>
              </w:rPr>
            </w:pPr>
          </w:p>
          <w:p w:rsidR="006E7957" w:rsidRPr="00B97E75" w:rsidRDefault="006E7957" w:rsidP="00E17A00">
            <w:pPr>
              <w:spacing w:after="0" w:line="240" w:lineRule="auto"/>
              <w:rPr>
                <w:rFonts w:eastAsia="Times New Roman" w:cstheme="minorHAnsi"/>
                <w:b/>
                <w:bCs/>
                <w:color w:val="000000"/>
                <w:lang w:val="en-US" w:eastAsia="en-IE"/>
              </w:rPr>
            </w:pPr>
          </w:p>
          <w:p w:rsidR="006E7957" w:rsidRPr="00B97E75" w:rsidRDefault="006E795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2012</w:t>
            </w:r>
          </w:p>
        </w:tc>
        <w:tc>
          <w:tcPr>
            <w:tcW w:w="1300" w:type="dxa"/>
            <w:shd w:val="clear" w:color="auto" w:fill="B6DDE8" w:themeFill="accent5" w:themeFillTint="66"/>
            <w:noWrap/>
            <w:vAlign w:val="center"/>
            <w:hideMark/>
          </w:tcPr>
          <w:p w:rsidR="006E7957" w:rsidRPr="00B97E75" w:rsidRDefault="006E7957" w:rsidP="00E17A00">
            <w:pPr>
              <w:spacing w:after="0" w:line="240" w:lineRule="auto"/>
              <w:rPr>
                <w:rFonts w:eastAsia="Times New Roman" w:cstheme="minorHAnsi"/>
                <w:b/>
                <w:bCs/>
                <w:color w:val="000000"/>
                <w:lang w:val="en-US" w:eastAsia="en-IE"/>
              </w:rPr>
            </w:pPr>
          </w:p>
          <w:p w:rsidR="006E7957" w:rsidRPr="00B97E75" w:rsidRDefault="006E7957" w:rsidP="00E17A00">
            <w:pPr>
              <w:spacing w:after="0" w:line="240" w:lineRule="auto"/>
              <w:rPr>
                <w:rFonts w:eastAsia="Times New Roman" w:cstheme="minorHAnsi"/>
                <w:b/>
                <w:bCs/>
                <w:color w:val="000000"/>
                <w:lang w:val="en-US" w:eastAsia="en-IE"/>
              </w:rPr>
            </w:pPr>
          </w:p>
          <w:p w:rsidR="006E7957" w:rsidRPr="00B97E75" w:rsidRDefault="006E7957" w:rsidP="00E17A00">
            <w:pPr>
              <w:spacing w:after="0" w:line="240" w:lineRule="auto"/>
              <w:rPr>
                <w:rFonts w:eastAsia="Times New Roman" w:cstheme="minorHAnsi"/>
                <w:b/>
                <w:bCs/>
                <w:color w:val="000000"/>
                <w:lang w:val="en-US" w:eastAsia="en-IE"/>
              </w:rPr>
            </w:pPr>
          </w:p>
          <w:p w:rsidR="006E7957" w:rsidRPr="00B97E75" w:rsidRDefault="006E795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2013</w:t>
            </w:r>
          </w:p>
        </w:tc>
        <w:tc>
          <w:tcPr>
            <w:tcW w:w="1300" w:type="dxa"/>
            <w:shd w:val="clear" w:color="auto" w:fill="B6DDE8" w:themeFill="accent5" w:themeFillTint="66"/>
            <w:noWrap/>
            <w:vAlign w:val="center"/>
            <w:hideMark/>
          </w:tcPr>
          <w:p w:rsidR="006E7957" w:rsidRPr="00B97E75" w:rsidRDefault="006E7957" w:rsidP="00E17A00">
            <w:pPr>
              <w:spacing w:after="0" w:line="240" w:lineRule="auto"/>
              <w:rPr>
                <w:rFonts w:eastAsia="Times New Roman" w:cstheme="minorHAnsi"/>
                <w:b/>
                <w:bCs/>
                <w:color w:val="000000"/>
                <w:lang w:val="en-US" w:eastAsia="en-IE"/>
              </w:rPr>
            </w:pPr>
          </w:p>
          <w:p w:rsidR="006E7957" w:rsidRPr="00B97E75" w:rsidRDefault="006E7957" w:rsidP="00E17A00">
            <w:pPr>
              <w:spacing w:after="0" w:line="240" w:lineRule="auto"/>
              <w:rPr>
                <w:rFonts w:eastAsia="Times New Roman" w:cstheme="minorHAnsi"/>
                <w:b/>
                <w:bCs/>
                <w:color w:val="000000"/>
                <w:lang w:val="en-US" w:eastAsia="en-IE"/>
              </w:rPr>
            </w:pPr>
          </w:p>
          <w:p w:rsidR="006E7957" w:rsidRPr="00B97E75" w:rsidRDefault="006E7957" w:rsidP="00E17A00">
            <w:pPr>
              <w:spacing w:after="0" w:line="240" w:lineRule="auto"/>
              <w:rPr>
                <w:rFonts w:eastAsia="Times New Roman" w:cstheme="minorHAnsi"/>
                <w:b/>
                <w:bCs/>
                <w:color w:val="000000"/>
                <w:lang w:val="en-US" w:eastAsia="en-IE"/>
              </w:rPr>
            </w:pPr>
          </w:p>
          <w:p w:rsidR="006E7957" w:rsidRPr="00B97E75" w:rsidRDefault="006E795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2014</w:t>
            </w:r>
          </w:p>
        </w:tc>
      </w:tr>
      <w:tr w:rsidR="006E7957" w:rsidRPr="00B97E75" w:rsidTr="00E17A00">
        <w:trPr>
          <w:trHeight w:val="323"/>
        </w:trPr>
        <w:tc>
          <w:tcPr>
            <w:tcW w:w="1309"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N</w:t>
            </w:r>
          </w:p>
        </w:tc>
        <w:tc>
          <w:tcPr>
            <w:tcW w:w="1693"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Valid</w:t>
            </w:r>
          </w:p>
        </w:tc>
        <w:tc>
          <w:tcPr>
            <w:tcW w:w="898"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34</w:t>
            </w:r>
          </w:p>
        </w:tc>
        <w:tc>
          <w:tcPr>
            <w:tcW w:w="1300"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34</w:t>
            </w:r>
          </w:p>
        </w:tc>
        <w:tc>
          <w:tcPr>
            <w:tcW w:w="1408"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34</w:t>
            </w:r>
          </w:p>
        </w:tc>
        <w:tc>
          <w:tcPr>
            <w:tcW w:w="1300"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34</w:t>
            </w:r>
          </w:p>
        </w:tc>
        <w:tc>
          <w:tcPr>
            <w:tcW w:w="1300"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31</w:t>
            </w:r>
          </w:p>
        </w:tc>
      </w:tr>
      <w:tr w:rsidR="006E7957" w:rsidRPr="00B97E75" w:rsidTr="00E17A00">
        <w:trPr>
          <w:trHeight w:val="385"/>
        </w:trPr>
        <w:tc>
          <w:tcPr>
            <w:tcW w:w="1309"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1693"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Missing</w:t>
            </w:r>
          </w:p>
        </w:tc>
        <w:tc>
          <w:tcPr>
            <w:tcW w:w="898"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val="en-US" w:eastAsia="en-IE"/>
              </w:rPr>
            </w:pPr>
            <w:r w:rsidRPr="00B97E75">
              <w:rPr>
                <w:rFonts w:eastAsia="Times New Roman" w:cstheme="minorHAnsi"/>
                <w:color w:val="000000"/>
                <w:lang w:val="en-US" w:eastAsia="en-IE"/>
              </w:rPr>
              <w:t>0</w:t>
            </w:r>
          </w:p>
        </w:tc>
        <w:tc>
          <w:tcPr>
            <w:tcW w:w="1300"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val="en-US" w:eastAsia="en-IE"/>
              </w:rPr>
            </w:pPr>
            <w:r w:rsidRPr="00B97E75">
              <w:rPr>
                <w:rFonts w:eastAsia="Times New Roman" w:cstheme="minorHAnsi"/>
                <w:color w:val="000000"/>
                <w:lang w:val="en-US" w:eastAsia="en-IE"/>
              </w:rPr>
              <w:t>0</w:t>
            </w:r>
          </w:p>
        </w:tc>
        <w:tc>
          <w:tcPr>
            <w:tcW w:w="1408"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0</w:t>
            </w:r>
          </w:p>
        </w:tc>
        <w:tc>
          <w:tcPr>
            <w:tcW w:w="1300"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0</w:t>
            </w:r>
          </w:p>
        </w:tc>
        <w:tc>
          <w:tcPr>
            <w:tcW w:w="1300"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0</w:t>
            </w:r>
          </w:p>
        </w:tc>
      </w:tr>
      <w:tr w:rsidR="006E7957" w:rsidRPr="00B97E75" w:rsidTr="00E17A00">
        <w:trPr>
          <w:trHeight w:val="323"/>
        </w:trPr>
        <w:tc>
          <w:tcPr>
            <w:tcW w:w="1309" w:type="dxa"/>
            <w:shd w:val="clear" w:color="auto" w:fill="auto"/>
            <w:vAlign w:val="center"/>
            <w:hideMark/>
          </w:tcPr>
          <w:p w:rsidR="006E7957" w:rsidRPr="00B97E75" w:rsidRDefault="006E795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Average</w:t>
            </w:r>
          </w:p>
        </w:tc>
        <w:tc>
          <w:tcPr>
            <w:tcW w:w="1693" w:type="dxa"/>
            <w:shd w:val="clear" w:color="auto" w:fill="auto"/>
            <w:vAlign w:val="center"/>
            <w:hideMark/>
          </w:tcPr>
          <w:p w:rsidR="006E7957" w:rsidRPr="00B97E75" w:rsidRDefault="006E795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Median</w:t>
            </w:r>
          </w:p>
        </w:tc>
        <w:tc>
          <w:tcPr>
            <w:tcW w:w="898" w:type="dxa"/>
            <w:shd w:val="clear" w:color="auto" w:fill="auto"/>
            <w:vAlign w:val="center"/>
            <w:hideMark/>
          </w:tcPr>
          <w:p w:rsidR="006E7957" w:rsidRPr="00B97E75" w:rsidRDefault="006E795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0.61</w:t>
            </w:r>
          </w:p>
        </w:tc>
        <w:tc>
          <w:tcPr>
            <w:tcW w:w="1300" w:type="dxa"/>
            <w:shd w:val="clear" w:color="auto" w:fill="auto"/>
            <w:vAlign w:val="center"/>
            <w:hideMark/>
          </w:tcPr>
          <w:p w:rsidR="006E7957" w:rsidRPr="00B97E75" w:rsidRDefault="006E795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0.65</w:t>
            </w:r>
          </w:p>
        </w:tc>
        <w:tc>
          <w:tcPr>
            <w:tcW w:w="1408" w:type="dxa"/>
            <w:shd w:val="clear" w:color="auto" w:fill="auto"/>
            <w:vAlign w:val="center"/>
            <w:hideMark/>
          </w:tcPr>
          <w:p w:rsidR="006E7957" w:rsidRPr="00B97E75" w:rsidRDefault="006E795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0.54</w:t>
            </w:r>
          </w:p>
        </w:tc>
        <w:tc>
          <w:tcPr>
            <w:tcW w:w="1300" w:type="dxa"/>
            <w:shd w:val="clear" w:color="auto" w:fill="auto"/>
            <w:vAlign w:val="center"/>
            <w:hideMark/>
          </w:tcPr>
          <w:p w:rsidR="006E7957" w:rsidRPr="00B97E75" w:rsidRDefault="006E795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0.36</w:t>
            </w:r>
          </w:p>
        </w:tc>
        <w:tc>
          <w:tcPr>
            <w:tcW w:w="1300" w:type="dxa"/>
            <w:shd w:val="clear" w:color="auto" w:fill="auto"/>
            <w:vAlign w:val="center"/>
            <w:hideMark/>
          </w:tcPr>
          <w:p w:rsidR="006E7957" w:rsidRPr="00B97E75" w:rsidRDefault="006E795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0.34</w:t>
            </w:r>
          </w:p>
        </w:tc>
      </w:tr>
      <w:tr w:rsidR="006E7957" w:rsidRPr="00B97E75" w:rsidTr="00E17A00">
        <w:trPr>
          <w:trHeight w:val="323"/>
        </w:trPr>
        <w:tc>
          <w:tcPr>
            <w:tcW w:w="1309"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1693"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Mean</w:t>
            </w:r>
          </w:p>
        </w:tc>
        <w:tc>
          <w:tcPr>
            <w:tcW w:w="898"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0.65</w:t>
            </w:r>
          </w:p>
        </w:tc>
        <w:tc>
          <w:tcPr>
            <w:tcW w:w="1300"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0.67</w:t>
            </w:r>
          </w:p>
        </w:tc>
        <w:tc>
          <w:tcPr>
            <w:tcW w:w="1408"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0.58</w:t>
            </w:r>
          </w:p>
        </w:tc>
        <w:tc>
          <w:tcPr>
            <w:tcW w:w="1300"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0.38</w:t>
            </w:r>
          </w:p>
        </w:tc>
        <w:tc>
          <w:tcPr>
            <w:tcW w:w="1300" w:type="dxa"/>
            <w:shd w:val="clear" w:color="auto" w:fill="auto"/>
            <w:vAlign w:val="center"/>
            <w:hideMark/>
          </w:tcPr>
          <w:p w:rsidR="006E7957" w:rsidRPr="00B97E75" w:rsidRDefault="006E795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0.35</w:t>
            </w:r>
          </w:p>
        </w:tc>
      </w:tr>
    </w:tbl>
    <w:p w:rsidR="00137C7C" w:rsidRDefault="00137C7C" w:rsidP="00E80676">
      <w:pPr>
        <w:spacing w:after="0" w:line="240" w:lineRule="auto"/>
        <w:rPr>
          <w:rFonts w:eastAsia="Times New Roman" w:cstheme="minorHAnsi"/>
          <w:b/>
          <w:bCs/>
          <w:color w:val="000000"/>
          <w:lang w:eastAsia="en-IE"/>
        </w:rPr>
      </w:pPr>
    </w:p>
    <w:p w:rsidR="004E5F9A" w:rsidRPr="00B97E75" w:rsidRDefault="004E5F9A" w:rsidP="00E80676">
      <w:pPr>
        <w:spacing w:after="0" w:line="240" w:lineRule="auto"/>
        <w:rPr>
          <w:rFonts w:eastAsia="Times New Roman" w:cstheme="minorHAnsi"/>
          <w:b/>
          <w:bCs/>
          <w:color w:val="000000"/>
          <w:lang w:eastAsia="en-IE"/>
        </w:rPr>
      </w:pPr>
    </w:p>
    <w:tbl>
      <w:tblPr>
        <w:tblW w:w="4551" w:type="dxa"/>
        <w:tblLook w:val="04A0" w:firstRow="1" w:lastRow="0" w:firstColumn="1" w:lastColumn="0" w:noHBand="0" w:noVBand="1"/>
      </w:tblPr>
      <w:tblGrid>
        <w:gridCol w:w="1433"/>
        <w:gridCol w:w="1417"/>
        <w:gridCol w:w="1701"/>
      </w:tblGrid>
      <w:tr w:rsidR="009B5DD7" w:rsidRPr="00B97E75" w:rsidTr="00E17A00">
        <w:trPr>
          <w:trHeight w:val="555"/>
        </w:trPr>
        <w:tc>
          <w:tcPr>
            <w:tcW w:w="45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 xml:space="preserve">Summary Statistics for </w:t>
            </w:r>
            <w:r w:rsidR="004E52C7">
              <w:rPr>
                <w:rFonts w:eastAsia="Times New Roman" w:cstheme="minorHAnsi"/>
                <w:b/>
                <w:bCs/>
                <w:color w:val="000000"/>
                <w:lang w:eastAsia="en-IE"/>
              </w:rPr>
              <w:t>Website Visits</w:t>
            </w:r>
            <w:r w:rsidRPr="00B97E75">
              <w:rPr>
                <w:rFonts w:eastAsia="Times New Roman" w:cstheme="minorHAnsi"/>
                <w:b/>
                <w:bCs/>
                <w:color w:val="000000"/>
                <w:lang w:eastAsia="en-IE"/>
              </w:rPr>
              <w:t xml:space="preserve"> 2014</w:t>
            </w:r>
          </w:p>
        </w:tc>
      </w:tr>
      <w:tr w:rsidR="009B5DD7" w:rsidRPr="00B97E75" w:rsidTr="00E17A00">
        <w:trPr>
          <w:trHeight w:val="693"/>
        </w:trPr>
        <w:tc>
          <w:tcPr>
            <w:tcW w:w="285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9B5DD7" w:rsidRPr="00B97E75" w:rsidRDefault="009B5DD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Total Number of Page Visits to the LA website</w:t>
            </w:r>
          </w:p>
        </w:tc>
        <w:tc>
          <w:tcPr>
            <w:tcW w:w="1701" w:type="dxa"/>
            <w:tcBorders>
              <w:top w:val="nil"/>
              <w:left w:val="nil"/>
              <w:bottom w:val="single" w:sz="4" w:space="0" w:color="auto"/>
              <w:right w:val="single" w:sz="4" w:space="0" w:color="auto"/>
            </w:tcBorders>
            <w:shd w:val="clear" w:color="auto" w:fill="B6DDE8" w:themeFill="accent5" w:themeFillTint="66"/>
            <w:vAlign w:val="center"/>
            <w:hideMark/>
          </w:tcPr>
          <w:p w:rsidR="009B5DD7" w:rsidRPr="00B97E75" w:rsidRDefault="009B5DD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2014</w:t>
            </w:r>
          </w:p>
        </w:tc>
      </w:tr>
      <w:tr w:rsidR="009B5DD7" w:rsidRPr="00B97E75" w:rsidTr="00E17A00">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N</w:t>
            </w:r>
          </w:p>
        </w:tc>
        <w:tc>
          <w:tcPr>
            <w:tcW w:w="1417" w:type="dxa"/>
            <w:tcBorders>
              <w:top w:val="nil"/>
              <w:left w:val="nil"/>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Valid</w:t>
            </w:r>
          </w:p>
        </w:tc>
        <w:tc>
          <w:tcPr>
            <w:tcW w:w="1701" w:type="dxa"/>
            <w:tcBorders>
              <w:top w:val="nil"/>
              <w:left w:val="nil"/>
              <w:bottom w:val="single" w:sz="4" w:space="0" w:color="auto"/>
              <w:right w:val="single" w:sz="4" w:space="0" w:color="auto"/>
            </w:tcBorders>
            <w:shd w:val="clear" w:color="auto" w:fill="auto"/>
            <w:vAlign w:val="center"/>
            <w:hideMark/>
          </w:tcPr>
          <w:p w:rsidR="009B5DD7" w:rsidRPr="00B97E75" w:rsidRDefault="00D32973" w:rsidP="00D32973">
            <w:pPr>
              <w:spacing w:after="0" w:line="240" w:lineRule="auto"/>
              <w:jc w:val="right"/>
              <w:rPr>
                <w:rFonts w:eastAsia="Times New Roman" w:cstheme="minorHAnsi"/>
                <w:color w:val="000000"/>
                <w:lang w:eastAsia="en-IE"/>
              </w:rPr>
            </w:pPr>
            <w:r>
              <w:rPr>
                <w:rFonts w:eastAsia="Times New Roman" w:cstheme="minorHAnsi"/>
                <w:color w:val="000000"/>
                <w:lang w:val="en-US" w:eastAsia="en-IE"/>
              </w:rPr>
              <w:t>30</w:t>
            </w:r>
          </w:p>
        </w:tc>
      </w:tr>
      <w:tr w:rsidR="009B5DD7" w:rsidRPr="00B97E75" w:rsidTr="00E17A00">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1417" w:type="dxa"/>
            <w:tcBorders>
              <w:top w:val="nil"/>
              <w:left w:val="nil"/>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Missing</w:t>
            </w:r>
          </w:p>
        </w:tc>
        <w:tc>
          <w:tcPr>
            <w:tcW w:w="1701" w:type="dxa"/>
            <w:tcBorders>
              <w:top w:val="nil"/>
              <w:left w:val="nil"/>
              <w:bottom w:val="single" w:sz="4" w:space="0" w:color="auto"/>
              <w:right w:val="single" w:sz="4" w:space="0" w:color="auto"/>
            </w:tcBorders>
            <w:shd w:val="clear" w:color="auto" w:fill="auto"/>
            <w:vAlign w:val="center"/>
            <w:hideMark/>
          </w:tcPr>
          <w:p w:rsidR="009B5DD7" w:rsidRPr="00B97E75" w:rsidRDefault="00D32973" w:rsidP="00D32973">
            <w:pPr>
              <w:spacing w:after="0" w:line="240" w:lineRule="auto"/>
              <w:jc w:val="right"/>
              <w:rPr>
                <w:rFonts w:eastAsia="Times New Roman" w:cstheme="minorHAnsi"/>
                <w:color w:val="000000"/>
                <w:lang w:eastAsia="en-IE"/>
              </w:rPr>
            </w:pPr>
            <w:r>
              <w:rPr>
                <w:rFonts w:eastAsia="Times New Roman" w:cstheme="minorHAnsi"/>
                <w:color w:val="000000"/>
                <w:lang w:val="en-US" w:eastAsia="en-IE"/>
              </w:rPr>
              <w:t>1</w:t>
            </w:r>
          </w:p>
        </w:tc>
      </w:tr>
      <w:tr w:rsidR="009B5DD7" w:rsidRPr="00B97E75" w:rsidTr="00E17A00">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Average</w:t>
            </w:r>
          </w:p>
        </w:tc>
        <w:tc>
          <w:tcPr>
            <w:tcW w:w="1417" w:type="dxa"/>
            <w:tcBorders>
              <w:top w:val="nil"/>
              <w:left w:val="nil"/>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Median</w:t>
            </w:r>
          </w:p>
        </w:tc>
        <w:tc>
          <w:tcPr>
            <w:tcW w:w="1701" w:type="dxa"/>
            <w:tcBorders>
              <w:top w:val="nil"/>
              <w:left w:val="nil"/>
              <w:bottom w:val="single" w:sz="4" w:space="0" w:color="auto"/>
              <w:right w:val="single" w:sz="4" w:space="0" w:color="auto"/>
            </w:tcBorders>
            <w:shd w:val="clear" w:color="auto" w:fill="auto"/>
            <w:vAlign w:val="center"/>
            <w:hideMark/>
          </w:tcPr>
          <w:p w:rsidR="009B5DD7" w:rsidRPr="00B97E75" w:rsidRDefault="009B5DD7" w:rsidP="00D32973">
            <w:pPr>
              <w:spacing w:after="0" w:line="240" w:lineRule="auto"/>
              <w:jc w:val="right"/>
              <w:rPr>
                <w:rFonts w:eastAsia="Times New Roman" w:cstheme="minorHAnsi"/>
                <w:b/>
                <w:bCs/>
                <w:color w:val="000000"/>
                <w:lang w:eastAsia="en-IE"/>
              </w:rPr>
            </w:pPr>
            <w:r w:rsidRPr="00B97E75">
              <w:rPr>
                <w:rFonts w:eastAsia="Times New Roman" w:cstheme="minorHAnsi"/>
                <w:b/>
                <w:bCs/>
                <w:color w:val="000000"/>
                <w:lang w:val="en-GB" w:eastAsia="en-IE"/>
              </w:rPr>
              <w:t>994,260</w:t>
            </w:r>
          </w:p>
        </w:tc>
      </w:tr>
      <w:tr w:rsidR="009B5DD7" w:rsidRPr="00B97E75" w:rsidTr="00E17A00">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1417" w:type="dxa"/>
            <w:tcBorders>
              <w:top w:val="nil"/>
              <w:left w:val="nil"/>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Mean</w:t>
            </w:r>
          </w:p>
        </w:tc>
        <w:tc>
          <w:tcPr>
            <w:tcW w:w="1701" w:type="dxa"/>
            <w:tcBorders>
              <w:top w:val="nil"/>
              <w:left w:val="nil"/>
              <w:bottom w:val="single" w:sz="4" w:space="0" w:color="auto"/>
              <w:right w:val="single" w:sz="4" w:space="0" w:color="auto"/>
            </w:tcBorders>
            <w:shd w:val="clear" w:color="auto" w:fill="auto"/>
            <w:vAlign w:val="center"/>
            <w:hideMark/>
          </w:tcPr>
          <w:p w:rsidR="009B5DD7" w:rsidRPr="00B97E75" w:rsidRDefault="009B5DD7" w:rsidP="00D32973">
            <w:pPr>
              <w:spacing w:after="0" w:line="240" w:lineRule="auto"/>
              <w:jc w:val="right"/>
              <w:rPr>
                <w:rFonts w:eastAsia="Times New Roman" w:cstheme="minorHAnsi"/>
                <w:color w:val="000000"/>
                <w:lang w:eastAsia="en-IE"/>
              </w:rPr>
            </w:pPr>
            <w:r w:rsidRPr="00B97E75">
              <w:rPr>
                <w:rFonts w:eastAsia="Times New Roman" w:cstheme="minorHAnsi"/>
                <w:color w:val="000000"/>
                <w:lang w:val="en-US" w:eastAsia="en-IE"/>
              </w:rPr>
              <w:t>1,531,926</w:t>
            </w:r>
          </w:p>
        </w:tc>
      </w:tr>
      <w:tr w:rsidR="009B5DD7" w:rsidRPr="00B97E75" w:rsidTr="00E17A00">
        <w:trPr>
          <w:trHeight w:val="780"/>
        </w:trPr>
        <w:tc>
          <w:tcPr>
            <w:tcW w:w="285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9B5DD7" w:rsidRPr="00B97E75" w:rsidRDefault="009B5DD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Overall cost of ICT provision per WTE</w:t>
            </w:r>
            <w:r w:rsidR="00E17A00">
              <w:rPr>
                <w:rFonts w:eastAsia="Times New Roman" w:cstheme="minorHAnsi"/>
                <w:b/>
                <w:bCs/>
                <w:color w:val="000000"/>
                <w:lang w:eastAsia="en-IE"/>
              </w:rPr>
              <w:t xml:space="preserve"> (€)</w:t>
            </w:r>
          </w:p>
        </w:tc>
        <w:tc>
          <w:tcPr>
            <w:tcW w:w="1701" w:type="dxa"/>
            <w:tcBorders>
              <w:top w:val="nil"/>
              <w:left w:val="nil"/>
              <w:bottom w:val="single" w:sz="4" w:space="0" w:color="auto"/>
              <w:right w:val="single" w:sz="4" w:space="0" w:color="auto"/>
            </w:tcBorders>
            <w:shd w:val="clear" w:color="auto" w:fill="B6DDE8" w:themeFill="accent5" w:themeFillTint="66"/>
            <w:vAlign w:val="center"/>
            <w:hideMark/>
          </w:tcPr>
          <w:p w:rsidR="009B5DD7" w:rsidRPr="00B97E75" w:rsidRDefault="009B5DD7" w:rsidP="00E17A00">
            <w:pPr>
              <w:spacing w:after="0" w:line="240" w:lineRule="auto"/>
              <w:jc w:val="right"/>
              <w:rPr>
                <w:rFonts w:eastAsia="Times New Roman" w:cstheme="minorHAnsi"/>
                <w:b/>
                <w:bCs/>
                <w:color w:val="000000"/>
                <w:lang w:eastAsia="en-IE"/>
              </w:rPr>
            </w:pPr>
            <w:r w:rsidRPr="00B97E75">
              <w:rPr>
                <w:rFonts w:eastAsia="Times New Roman" w:cstheme="minorHAnsi"/>
                <w:b/>
                <w:bCs/>
                <w:color w:val="000000"/>
                <w:lang w:val="en-US" w:eastAsia="en-IE"/>
              </w:rPr>
              <w:t>2014</w:t>
            </w:r>
          </w:p>
        </w:tc>
      </w:tr>
      <w:tr w:rsidR="009B5DD7" w:rsidRPr="00B97E75" w:rsidTr="00E17A00">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N</w:t>
            </w:r>
          </w:p>
        </w:tc>
        <w:tc>
          <w:tcPr>
            <w:tcW w:w="1417" w:type="dxa"/>
            <w:tcBorders>
              <w:top w:val="nil"/>
              <w:left w:val="nil"/>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Valid</w:t>
            </w:r>
          </w:p>
        </w:tc>
        <w:tc>
          <w:tcPr>
            <w:tcW w:w="1701" w:type="dxa"/>
            <w:tcBorders>
              <w:top w:val="nil"/>
              <w:left w:val="nil"/>
              <w:bottom w:val="single" w:sz="4" w:space="0" w:color="auto"/>
              <w:right w:val="single" w:sz="4" w:space="0" w:color="auto"/>
            </w:tcBorders>
            <w:shd w:val="clear" w:color="auto" w:fill="auto"/>
            <w:vAlign w:val="center"/>
            <w:hideMark/>
          </w:tcPr>
          <w:p w:rsidR="009B5DD7" w:rsidRPr="00B97E75" w:rsidRDefault="00CF3DE2" w:rsidP="00E17A00">
            <w:pPr>
              <w:spacing w:after="0" w:line="240" w:lineRule="auto"/>
              <w:jc w:val="right"/>
              <w:rPr>
                <w:rFonts w:eastAsia="Times New Roman" w:cstheme="minorHAnsi"/>
                <w:color w:val="000000"/>
                <w:lang w:eastAsia="en-IE"/>
              </w:rPr>
            </w:pPr>
            <w:r>
              <w:rPr>
                <w:rFonts w:eastAsia="Times New Roman" w:cstheme="minorHAnsi"/>
                <w:color w:val="000000"/>
                <w:lang w:val="en-US" w:eastAsia="en-IE"/>
              </w:rPr>
              <w:t>31</w:t>
            </w:r>
          </w:p>
        </w:tc>
      </w:tr>
      <w:tr w:rsidR="009B5DD7" w:rsidRPr="00B97E75" w:rsidTr="00E17A00">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1417" w:type="dxa"/>
            <w:tcBorders>
              <w:top w:val="nil"/>
              <w:left w:val="nil"/>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Missing</w:t>
            </w:r>
          </w:p>
        </w:tc>
        <w:tc>
          <w:tcPr>
            <w:tcW w:w="1701" w:type="dxa"/>
            <w:tcBorders>
              <w:top w:val="nil"/>
              <w:left w:val="nil"/>
              <w:bottom w:val="single" w:sz="4" w:space="0" w:color="auto"/>
              <w:right w:val="single" w:sz="4" w:space="0" w:color="auto"/>
            </w:tcBorders>
            <w:shd w:val="clear" w:color="auto" w:fill="auto"/>
            <w:vAlign w:val="center"/>
            <w:hideMark/>
          </w:tcPr>
          <w:p w:rsidR="009B5DD7" w:rsidRPr="00B97E75" w:rsidRDefault="00CF3DE2" w:rsidP="00E17A00">
            <w:pPr>
              <w:spacing w:after="0" w:line="240" w:lineRule="auto"/>
              <w:jc w:val="right"/>
              <w:rPr>
                <w:rFonts w:eastAsia="Times New Roman" w:cstheme="minorHAnsi"/>
                <w:color w:val="000000"/>
                <w:lang w:eastAsia="en-IE"/>
              </w:rPr>
            </w:pPr>
            <w:r>
              <w:rPr>
                <w:rFonts w:eastAsia="Times New Roman" w:cstheme="minorHAnsi"/>
                <w:color w:val="000000"/>
                <w:lang w:val="en-US" w:eastAsia="en-IE"/>
              </w:rPr>
              <w:t>0</w:t>
            </w:r>
          </w:p>
        </w:tc>
      </w:tr>
      <w:tr w:rsidR="009B5DD7" w:rsidRPr="00B97E75" w:rsidTr="00E17A00">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Average</w:t>
            </w:r>
          </w:p>
        </w:tc>
        <w:tc>
          <w:tcPr>
            <w:tcW w:w="1417" w:type="dxa"/>
            <w:tcBorders>
              <w:top w:val="nil"/>
              <w:left w:val="nil"/>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rPr>
                <w:rFonts w:eastAsia="Times New Roman" w:cstheme="minorHAnsi"/>
                <w:b/>
                <w:bCs/>
                <w:color w:val="000000"/>
                <w:lang w:eastAsia="en-IE"/>
              </w:rPr>
            </w:pPr>
            <w:r w:rsidRPr="00B97E75">
              <w:rPr>
                <w:rFonts w:eastAsia="Times New Roman" w:cstheme="minorHAnsi"/>
                <w:b/>
                <w:bCs/>
                <w:color w:val="000000"/>
                <w:lang w:val="en-US" w:eastAsia="en-IE"/>
              </w:rPr>
              <w:t>Median</w:t>
            </w:r>
          </w:p>
        </w:tc>
        <w:tc>
          <w:tcPr>
            <w:tcW w:w="1701" w:type="dxa"/>
            <w:tcBorders>
              <w:top w:val="nil"/>
              <w:left w:val="nil"/>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jc w:val="right"/>
              <w:rPr>
                <w:rFonts w:eastAsia="Times New Roman" w:cstheme="minorHAnsi"/>
                <w:b/>
                <w:bCs/>
                <w:color w:val="000000"/>
                <w:lang w:eastAsia="en-IE"/>
              </w:rPr>
            </w:pPr>
            <w:r w:rsidRPr="00B97E75">
              <w:rPr>
                <w:rFonts w:eastAsia="Times New Roman" w:cstheme="minorHAnsi"/>
                <w:b/>
                <w:bCs/>
                <w:color w:val="000000"/>
                <w:lang w:val="en-GB" w:eastAsia="en-IE"/>
              </w:rPr>
              <w:t>2,913</w:t>
            </w:r>
          </w:p>
        </w:tc>
      </w:tr>
      <w:tr w:rsidR="009B5DD7" w:rsidRPr="00B97E75" w:rsidTr="00E17A00">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 </w:t>
            </w:r>
          </w:p>
        </w:tc>
        <w:tc>
          <w:tcPr>
            <w:tcW w:w="1417" w:type="dxa"/>
            <w:tcBorders>
              <w:top w:val="nil"/>
              <w:left w:val="nil"/>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rPr>
                <w:rFonts w:eastAsia="Times New Roman" w:cstheme="minorHAnsi"/>
                <w:color w:val="000000"/>
                <w:lang w:eastAsia="en-IE"/>
              </w:rPr>
            </w:pPr>
            <w:r w:rsidRPr="00B97E75">
              <w:rPr>
                <w:rFonts w:eastAsia="Times New Roman" w:cstheme="minorHAnsi"/>
                <w:color w:val="000000"/>
                <w:lang w:val="en-US" w:eastAsia="en-IE"/>
              </w:rPr>
              <w:t>Mean</w:t>
            </w:r>
          </w:p>
        </w:tc>
        <w:tc>
          <w:tcPr>
            <w:tcW w:w="1701" w:type="dxa"/>
            <w:tcBorders>
              <w:top w:val="nil"/>
              <w:left w:val="nil"/>
              <w:bottom w:val="single" w:sz="4" w:space="0" w:color="auto"/>
              <w:right w:val="single" w:sz="4" w:space="0" w:color="auto"/>
            </w:tcBorders>
            <w:shd w:val="clear" w:color="auto" w:fill="auto"/>
            <w:vAlign w:val="center"/>
            <w:hideMark/>
          </w:tcPr>
          <w:p w:rsidR="009B5DD7" w:rsidRPr="00B97E75" w:rsidRDefault="009B5DD7" w:rsidP="00E17A00">
            <w:pPr>
              <w:spacing w:after="0" w:line="240" w:lineRule="auto"/>
              <w:jc w:val="right"/>
              <w:rPr>
                <w:rFonts w:eastAsia="Times New Roman" w:cstheme="minorHAnsi"/>
                <w:color w:val="000000"/>
                <w:lang w:eastAsia="en-IE"/>
              </w:rPr>
            </w:pPr>
            <w:r w:rsidRPr="00B97E75">
              <w:rPr>
                <w:rFonts w:eastAsia="Times New Roman" w:cstheme="minorHAnsi"/>
                <w:color w:val="000000"/>
                <w:lang w:val="en-US" w:eastAsia="en-IE"/>
              </w:rPr>
              <w:t>2,932</w:t>
            </w:r>
          </w:p>
        </w:tc>
      </w:tr>
    </w:tbl>
    <w:p w:rsidR="00201EC9" w:rsidRPr="00B97E75" w:rsidRDefault="00201EC9" w:rsidP="00E80676">
      <w:pPr>
        <w:spacing w:after="0" w:line="240" w:lineRule="auto"/>
        <w:rPr>
          <w:rFonts w:eastAsia="Times New Roman" w:cstheme="minorHAnsi"/>
          <w:b/>
          <w:bCs/>
          <w:color w:val="000000"/>
          <w:lang w:eastAsia="en-IE"/>
        </w:rPr>
      </w:pPr>
    </w:p>
    <w:p w:rsidR="00E74952" w:rsidRPr="009507EE" w:rsidRDefault="009B5DD7" w:rsidP="0076731A">
      <w:pPr>
        <w:pStyle w:val="PISectionHeading"/>
      </w:pPr>
      <w:bookmarkStart w:id="10" w:name="_Toc436926486"/>
      <w:r w:rsidRPr="009507EE">
        <w:lastRenderedPageBreak/>
        <w:t>Se</w:t>
      </w:r>
      <w:r w:rsidR="00B70292" w:rsidRPr="009507EE">
        <w:t>ction 1</w:t>
      </w:r>
      <w:r w:rsidR="007C12D5">
        <w:t>0</w:t>
      </w:r>
      <w:r w:rsidR="00E74952" w:rsidRPr="009507EE">
        <w:t>: Finance</w:t>
      </w:r>
      <w:bookmarkEnd w:id="10"/>
    </w:p>
    <w:p w:rsidR="000271F2" w:rsidRPr="00B97E75" w:rsidRDefault="00B70292" w:rsidP="00ED3121">
      <w:pPr>
        <w:pStyle w:val="PITableHeading"/>
        <w:rPr>
          <w:rFonts w:asciiTheme="minorHAnsi" w:hAnsiTheme="minorHAnsi" w:cstheme="minorHAnsi"/>
          <w:sz w:val="22"/>
          <w:szCs w:val="22"/>
        </w:rPr>
      </w:pPr>
      <w:r>
        <w:rPr>
          <w:rFonts w:asciiTheme="minorHAnsi" w:hAnsiTheme="minorHAnsi" w:cstheme="minorHAnsi"/>
          <w:sz w:val="22"/>
          <w:szCs w:val="22"/>
        </w:rPr>
        <w:t>Table 22</w:t>
      </w:r>
      <w:r w:rsidR="000271F2" w:rsidRPr="00B97E75">
        <w:rPr>
          <w:rFonts w:asciiTheme="minorHAnsi" w:hAnsiTheme="minorHAnsi" w:cstheme="minorHAnsi"/>
          <w:sz w:val="22"/>
          <w:szCs w:val="22"/>
        </w:rPr>
        <w:t xml:space="preserve">: </w:t>
      </w:r>
      <w:r w:rsidR="00A60093" w:rsidRPr="003E001D">
        <w:rPr>
          <w:rFonts w:asciiTheme="minorHAnsi" w:hAnsiTheme="minorHAnsi" w:cstheme="minorHAnsi"/>
          <w:b w:val="0"/>
          <w:sz w:val="22"/>
          <w:szCs w:val="22"/>
        </w:rPr>
        <w:t>Five</w:t>
      </w:r>
      <w:r w:rsidR="000271F2" w:rsidRPr="003E001D">
        <w:rPr>
          <w:rFonts w:asciiTheme="minorHAnsi" w:hAnsiTheme="minorHAnsi" w:cstheme="minorHAnsi"/>
          <w:b w:val="0"/>
          <w:sz w:val="22"/>
          <w:szCs w:val="22"/>
        </w:rPr>
        <w:t xml:space="preserve"> Year summary of Revenue Account Balances</w:t>
      </w:r>
    </w:p>
    <w:tbl>
      <w:tblPr>
        <w:tblStyle w:val="LightGrid-Accent5"/>
        <w:tblW w:w="5000" w:type="pct"/>
        <w:tblLook w:val="04A0" w:firstRow="1" w:lastRow="0" w:firstColumn="1" w:lastColumn="0" w:noHBand="0" w:noVBand="1"/>
      </w:tblPr>
      <w:tblGrid>
        <w:gridCol w:w="2319"/>
        <w:gridCol w:w="1289"/>
        <w:gridCol w:w="1409"/>
        <w:gridCol w:w="1566"/>
        <w:gridCol w:w="1330"/>
        <w:gridCol w:w="1329"/>
      </w:tblGrid>
      <w:tr w:rsidR="00E13270" w:rsidRPr="00E13270" w:rsidTr="00771880">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107" w:type="pct"/>
            <w:noWrap/>
            <w:vAlign w:val="center"/>
            <w:hideMark/>
          </w:tcPr>
          <w:p w:rsidR="00E13270" w:rsidRPr="00D36D20" w:rsidRDefault="00D36D20" w:rsidP="00771880">
            <w:pPr>
              <w:rPr>
                <w:rFonts w:asciiTheme="minorHAnsi" w:eastAsia="Times New Roman" w:hAnsiTheme="minorHAnsi" w:cstheme="minorHAnsi"/>
                <w:color w:val="000000"/>
                <w:sz w:val="20"/>
                <w:szCs w:val="20"/>
                <w:lang w:eastAsia="en-IE"/>
              </w:rPr>
            </w:pPr>
            <w:r w:rsidRPr="00D36D20">
              <w:rPr>
                <w:rFonts w:asciiTheme="minorHAnsi" w:eastAsia="Times New Roman" w:hAnsiTheme="minorHAnsi" w:cstheme="minorHAnsi"/>
                <w:color w:val="000000"/>
                <w:sz w:val="20"/>
                <w:szCs w:val="20"/>
                <w:lang w:eastAsia="en-IE"/>
              </w:rPr>
              <w:t>Authority</w:t>
            </w:r>
          </w:p>
        </w:tc>
        <w:tc>
          <w:tcPr>
            <w:tcW w:w="727" w:type="pct"/>
            <w:vAlign w:val="center"/>
            <w:hideMark/>
          </w:tcPr>
          <w:p w:rsidR="00E13270" w:rsidRPr="00E13270" w:rsidRDefault="00EB7F97"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en-IE"/>
              </w:rPr>
            </w:pPr>
            <w:r>
              <w:rPr>
                <w:rFonts w:asciiTheme="minorHAnsi" w:eastAsia="Times New Roman" w:hAnsiTheme="minorHAnsi" w:cstheme="minorHAnsi"/>
                <w:color w:val="000000"/>
                <w:sz w:val="20"/>
                <w:szCs w:val="20"/>
                <w:lang w:eastAsia="en-IE"/>
              </w:rPr>
              <w:t xml:space="preserve">Revenue </w:t>
            </w:r>
            <w:r w:rsidR="00E13270" w:rsidRPr="00E13270">
              <w:rPr>
                <w:rFonts w:asciiTheme="minorHAnsi" w:eastAsia="Times New Roman" w:hAnsiTheme="minorHAnsi" w:cstheme="minorHAnsi"/>
                <w:color w:val="000000"/>
                <w:sz w:val="20"/>
                <w:szCs w:val="20"/>
                <w:lang w:eastAsia="en-IE"/>
              </w:rPr>
              <w:t>Balance</w:t>
            </w:r>
            <w:r w:rsidR="00644FAE">
              <w:rPr>
                <w:rFonts w:asciiTheme="minorHAnsi" w:eastAsia="Times New Roman" w:hAnsiTheme="minorHAnsi" w:cstheme="minorHAnsi"/>
                <w:color w:val="000000"/>
                <w:sz w:val="20"/>
                <w:szCs w:val="20"/>
                <w:lang w:eastAsia="en-IE"/>
              </w:rPr>
              <w:t xml:space="preserve"> </w:t>
            </w:r>
            <w:r w:rsidRPr="00E13270">
              <w:rPr>
                <w:rFonts w:asciiTheme="minorHAnsi" w:eastAsia="Times New Roman" w:hAnsiTheme="minorHAnsi" w:cstheme="minorHAnsi"/>
                <w:color w:val="000000"/>
                <w:sz w:val="20"/>
                <w:szCs w:val="20"/>
                <w:lang w:eastAsia="en-IE"/>
              </w:rPr>
              <w:t>2010</w:t>
            </w:r>
            <w:r>
              <w:rPr>
                <w:rFonts w:asciiTheme="minorHAnsi" w:eastAsia="Times New Roman" w:hAnsiTheme="minorHAnsi" w:cstheme="minorHAnsi"/>
                <w:color w:val="000000"/>
                <w:sz w:val="20"/>
                <w:szCs w:val="20"/>
                <w:lang w:eastAsia="en-IE"/>
              </w:rPr>
              <w:t xml:space="preserve"> (</w:t>
            </w:r>
            <w:r w:rsidR="00644FAE">
              <w:rPr>
                <w:rFonts w:asciiTheme="minorHAnsi" w:eastAsia="Times New Roman" w:hAnsiTheme="minorHAnsi" w:cstheme="minorHAnsi"/>
                <w:color w:val="000000"/>
                <w:sz w:val="20"/>
                <w:szCs w:val="20"/>
                <w:lang w:eastAsia="en-IE"/>
              </w:rPr>
              <w:t>€</w:t>
            </w:r>
            <w:r>
              <w:rPr>
                <w:rFonts w:asciiTheme="minorHAnsi" w:eastAsia="Times New Roman" w:hAnsiTheme="minorHAnsi" w:cstheme="minorHAnsi"/>
                <w:color w:val="000000"/>
                <w:sz w:val="20"/>
                <w:szCs w:val="20"/>
                <w:lang w:eastAsia="en-IE"/>
              </w:rPr>
              <w:t>)</w:t>
            </w:r>
          </w:p>
        </w:tc>
        <w:tc>
          <w:tcPr>
            <w:tcW w:w="792" w:type="pct"/>
            <w:vAlign w:val="center"/>
            <w:hideMark/>
          </w:tcPr>
          <w:p w:rsidR="00E13270" w:rsidRPr="00E13270" w:rsidRDefault="00EB7F97"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en-IE"/>
              </w:rPr>
            </w:pPr>
            <w:r>
              <w:rPr>
                <w:rFonts w:asciiTheme="minorHAnsi" w:eastAsia="Times New Roman" w:hAnsiTheme="minorHAnsi" w:cstheme="minorHAnsi"/>
                <w:color w:val="000000"/>
                <w:sz w:val="20"/>
                <w:szCs w:val="20"/>
                <w:lang w:eastAsia="en-IE"/>
              </w:rPr>
              <w:t xml:space="preserve">Revenue </w:t>
            </w:r>
            <w:r w:rsidR="00E13270" w:rsidRPr="00E13270">
              <w:rPr>
                <w:rFonts w:asciiTheme="minorHAnsi" w:eastAsia="Times New Roman" w:hAnsiTheme="minorHAnsi" w:cstheme="minorHAnsi"/>
                <w:color w:val="000000"/>
                <w:sz w:val="20"/>
                <w:szCs w:val="20"/>
                <w:lang w:eastAsia="en-IE"/>
              </w:rPr>
              <w:t>Balance</w:t>
            </w:r>
            <w:r w:rsidR="00644FAE">
              <w:rPr>
                <w:rFonts w:asciiTheme="minorHAnsi" w:eastAsia="Times New Roman" w:hAnsiTheme="minorHAnsi" w:cstheme="minorHAnsi"/>
                <w:color w:val="000000"/>
                <w:sz w:val="20"/>
                <w:szCs w:val="20"/>
                <w:lang w:eastAsia="en-IE"/>
              </w:rPr>
              <w:t xml:space="preserve"> </w:t>
            </w:r>
            <w:r w:rsidRPr="00E13270">
              <w:rPr>
                <w:rFonts w:asciiTheme="minorHAnsi" w:eastAsia="Times New Roman" w:hAnsiTheme="minorHAnsi" w:cstheme="minorHAnsi"/>
                <w:color w:val="000000"/>
                <w:sz w:val="20"/>
                <w:szCs w:val="20"/>
                <w:lang w:eastAsia="en-IE"/>
              </w:rPr>
              <w:t>2011</w:t>
            </w:r>
            <w:r>
              <w:rPr>
                <w:rFonts w:asciiTheme="minorHAnsi" w:eastAsia="Times New Roman" w:hAnsiTheme="minorHAnsi" w:cstheme="minorHAnsi"/>
                <w:color w:val="000000"/>
                <w:sz w:val="20"/>
                <w:szCs w:val="20"/>
                <w:lang w:eastAsia="en-IE"/>
              </w:rPr>
              <w:t xml:space="preserve"> (</w:t>
            </w:r>
            <w:r w:rsidR="00644FAE">
              <w:rPr>
                <w:rFonts w:asciiTheme="minorHAnsi" w:eastAsia="Times New Roman" w:hAnsiTheme="minorHAnsi" w:cstheme="minorHAnsi"/>
                <w:color w:val="000000"/>
                <w:sz w:val="20"/>
                <w:szCs w:val="20"/>
                <w:lang w:eastAsia="en-IE"/>
              </w:rPr>
              <w:t>€</w:t>
            </w:r>
            <w:r>
              <w:rPr>
                <w:rFonts w:asciiTheme="minorHAnsi" w:eastAsia="Times New Roman" w:hAnsiTheme="minorHAnsi" w:cstheme="minorHAnsi"/>
                <w:color w:val="000000"/>
                <w:sz w:val="20"/>
                <w:szCs w:val="20"/>
                <w:lang w:eastAsia="en-IE"/>
              </w:rPr>
              <w:t>)</w:t>
            </w:r>
          </w:p>
        </w:tc>
        <w:tc>
          <w:tcPr>
            <w:tcW w:w="877" w:type="pct"/>
            <w:vAlign w:val="center"/>
            <w:hideMark/>
          </w:tcPr>
          <w:p w:rsidR="00E13270" w:rsidRPr="00E13270" w:rsidRDefault="00EB7F97"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en-IE"/>
              </w:rPr>
            </w:pPr>
            <w:r>
              <w:rPr>
                <w:rFonts w:asciiTheme="minorHAnsi" w:eastAsia="Times New Roman" w:hAnsiTheme="minorHAnsi" w:cstheme="minorHAnsi"/>
                <w:color w:val="000000"/>
                <w:sz w:val="20"/>
                <w:szCs w:val="20"/>
                <w:lang w:eastAsia="en-IE"/>
              </w:rPr>
              <w:t xml:space="preserve">Revenue </w:t>
            </w:r>
            <w:r w:rsidRPr="00E13270">
              <w:rPr>
                <w:rFonts w:asciiTheme="minorHAnsi" w:eastAsia="Times New Roman" w:hAnsiTheme="minorHAnsi" w:cstheme="minorHAnsi"/>
                <w:color w:val="000000"/>
                <w:sz w:val="20"/>
                <w:szCs w:val="20"/>
                <w:lang w:eastAsia="en-IE"/>
              </w:rPr>
              <w:t>Balance</w:t>
            </w:r>
            <w:r>
              <w:rPr>
                <w:rFonts w:asciiTheme="minorHAnsi" w:eastAsia="Times New Roman" w:hAnsiTheme="minorHAnsi" w:cstheme="minorHAnsi"/>
                <w:color w:val="000000"/>
                <w:sz w:val="20"/>
                <w:szCs w:val="20"/>
                <w:lang w:eastAsia="en-IE"/>
              </w:rPr>
              <w:t xml:space="preserve"> </w:t>
            </w:r>
            <w:r w:rsidRPr="00E13270">
              <w:rPr>
                <w:rFonts w:asciiTheme="minorHAnsi" w:eastAsia="Times New Roman" w:hAnsiTheme="minorHAnsi" w:cstheme="minorHAnsi"/>
                <w:color w:val="000000"/>
                <w:sz w:val="20"/>
                <w:szCs w:val="20"/>
                <w:lang w:eastAsia="en-IE"/>
              </w:rPr>
              <w:t>201</w:t>
            </w:r>
            <w:r>
              <w:rPr>
                <w:rFonts w:asciiTheme="minorHAnsi" w:eastAsia="Times New Roman" w:hAnsiTheme="minorHAnsi" w:cstheme="minorHAnsi"/>
                <w:color w:val="000000"/>
                <w:sz w:val="20"/>
                <w:szCs w:val="20"/>
                <w:lang w:eastAsia="en-IE"/>
              </w:rPr>
              <w:t>2 (€)</w:t>
            </w:r>
          </w:p>
        </w:tc>
        <w:tc>
          <w:tcPr>
            <w:tcW w:w="749" w:type="pct"/>
            <w:vAlign w:val="center"/>
            <w:hideMark/>
          </w:tcPr>
          <w:p w:rsidR="00E13270" w:rsidRPr="00E13270" w:rsidRDefault="00EB7F97"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en-IE"/>
              </w:rPr>
            </w:pPr>
            <w:r>
              <w:rPr>
                <w:rFonts w:asciiTheme="minorHAnsi" w:eastAsia="Times New Roman" w:hAnsiTheme="minorHAnsi" w:cstheme="minorHAnsi"/>
                <w:color w:val="000000"/>
                <w:sz w:val="20"/>
                <w:szCs w:val="20"/>
                <w:lang w:eastAsia="en-IE"/>
              </w:rPr>
              <w:t xml:space="preserve">Revenue </w:t>
            </w:r>
            <w:r w:rsidRPr="00E13270">
              <w:rPr>
                <w:rFonts w:asciiTheme="minorHAnsi" w:eastAsia="Times New Roman" w:hAnsiTheme="minorHAnsi" w:cstheme="minorHAnsi"/>
                <w:color w:val="000000"/>
                <w:sz w:val="20"/>
                <w:szCs w:val="20"/>
                <w:lang w:eastAsia="en-IE"/>
              </w:rPr>
              <w:t>Balance</w:t>
            </w:r>
            <w:r>
              <w:rPr>
                <w:rFonts w:asciiTheme="minorHAnsi" w:eastAsia="Times New Roman" w:hAnsiTheme="minorHAnsi" w:cstheme="minorHAnsi"/>
                <w:color w:val="000000"/>
                <w:sz w:val="20"/>
                <w:szCs w:val="20"/>
                <w:lang w:eastAsia="en-IE"/>
              </w:rPr>
              <w:t xml:space="preserve"> </w:t>
            </w:r>
            <w:r w:rsidRPr="00E13270">
              <w:rPr>
                <w:rFonts w:asciiTheme="minorHAnsi" w:eastAsia="Times New Roman" w:hAnsiTheme="minorHAnsi" w:cstheme="minorHAnsi"/>
                <w:color w:val="000000"/>
                <w:sz w:val="20"/>
                <w:szCs w:val="20"/>
                <w:lang w:eastAsia="en-IE"/>
              </w:rPr>
              <w:t>201</w:t>
            </w:r>
            <w:r>
              <w:rPr>
                <w:rFonts w:asciiTheme="minorHAnsi" w:eastAsia="Times New Roman" w:hAnsiTheme="minorHAnsi" w:cstheme="minorHAnsi"/>
                <w:color w:val="000000"/>
                <w:sz w:val="20"/>
                <w:szCs w:val="20"/>
                <w:lang w:eastAsia="en-IE"/>
              </w:rPr>
              <w:t>3 (€)</w:t>
            </w:r>
          </w:p>
        </w:tc>
        <w:tc>
          <w:tcPr>
            <w:tcW w:w="749" w:type="pct"/>
            <w:vAlign w:val="center"/>
            <w:hideMark/>
          </w:tcPr>
          <w:p w:rsidR="00E13270" w:rsidRPr="00E13270" w:rsidRDefault="00EB7F97"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en-IE"/>
              </w:rPr>
            </w:pPr>
            <w:r>
              <w:rPr>
                <w:rFonts w:asciiTheme="minorHAnsi" w:eastAsia="Times New Roman" w:hAnsiTheme="minorHAnsi" w:cstheme="minorHAnsi"/>
                <w:color w:val="000000"/>
                <w:sz w:val="20"/>
                <w:szCs w:val="20"/>
                <w:lang w:eastAsia="en-IE"/>
              </w:rPr>
              <w:t xml:space="preserve">Revenue </w:t>
            </w:r>
            <w:r w:rsidRPr="00E13270">
              <w:rPr>
                <w:rFonts w:asciiTheme="minorHAnsi" w:eastAsia="Times New Roman" w:hAnsiTheme="minorHAnsi" w:cstheme="minorHAnsi"/>
                <w:color w:val="000000"/>
                <w:sz w:val="20"/>
                <w:szCs w:val="20"/>
                <w:lang w:eastAsia="en-IE"/>
              </w:rPr>
              <w:t>Balance</w:t>
            </w:r>
            <w:r>
              <w:rPr>
                <w:rFonts w:asciiTheme="minorHAnsi" w:eastAsia="Times New Roman" w:hAnsiTheme="minorHAnsi" w:cstheme="minorHAnsi"/>
                <w:color w:val="000000"/>
                <w:sz w:val="20"/>
                <w:szCs w:val="20"/>
                <w:lang w:eastAsia="en-IE"/>
              </w:rPr>
              <w:t xml:space="preserve"> </w:t>
            </w:r>
            <w:r w:rsidRPr="00E13270">
              <w:rPr>
                <w:rFonts w:asciiTheme="minorHAnsi" w:eastAsia="Times New Roman" w:hAnsiTheme="minorHAnsi" w:cstheme="minorHAnsi"/>
                <w:color w:val="000000"/>
                <w:sz w:val="20"/>
                <w:szCs w:val="20"/>
                <w:lang w:eastAsia="en-IE"/>
              </w:rPr>
              <w:t>201</w:t>
            </w:r>
            <w:r>
              <w:rPr>
                <w:rFonts w:asciiTheme="minorHAnsi" w:eastAsia="Times New Roman" w:hAnsiTheme="minorHAnsi" w:cstheme="minorHAnsi"/>
                <w:color w:val="000000"/>
                <w:sz w:val="20"/>
                <w:szCs w:val="20"/>
                <w:lang w:eastAsia="en-IE"/>
              </w:rPr>
              <w:t>4 (€)</w:t>
            </w:r>
          </w:p>
        </w:tc>
      </w:tr>
      <w:tr w:rsidR="000271F2" w:rsidRPr="00E13270" w:rsidTr="00EB7F9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 </w:t>
            </w:r>
          </w:p>
        </w:tc>
        <w:tc>
          <w:tcPr>
            <w:tcW w:w="727" w:type="pct"/>
            <w:hideMark/>
          </w:tcPr>
          <w:p w:rsidR="000271F2" w:rsidRPr="00E13270" w:rsidRDefault="000271F2" w:rsidP="000271F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13270">
              <w:rPr>
                <w:rFonts w:eastAsia="Times New Roman" w:cstheme="minorHAnsi"/>
                <w:color w:val="000000"/>
                <w:sz w:val="20"/>
                <w:szCs w:val="20"/>
                <w:lang w:eastAsia="en-IE"/>
              </w:rPr>
              <w:t> </w:t>
            </w:r>
          </w:p>
        </w:tc>
        <w:tc>
          <w:tcPr>
            <w:tcW w:w="792" w:type="pct"/>
            <w:hideMark/>
          </w:tcPr>
          <w:p w:rsidR="000271F2" w:rsidRPr="00E13270" w:rsidRDefault="000271F2" w:rsidP="000271F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13270">
              <w:rPr>
                <w:rFonts w:eastAsia="Times New Roman" w:cstheme="minorHAnsi"/>
                <w:color w:val="000000"/>
                <w:sz w:val="20"/>
                <w:szCs w:val="20"/>
                <w:lang w:eastAsia="en-IE"/>
              </w:rPr>
              <w:t> </w:t>
            </w:r>
          </w:p>
        </w:tc>
        <w:tc>
          <w:tcPr>
            <w:tcW w:w="877" w:type="pct"/>
            <w:noWrap/>
            <w:hideMark/>
          </w:tcPr>
          <w:p w:rsidR="000271F2" w:rsidRPr="00E13270" w:rsidRDefault="000271F2" w:rsidP="000271F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13270">
              <w:rPr>
                <w:rFonts w:eastAsia="Times New Roman" w:cstheme="minorHAnsi"/>
                <w:color w:val="000000"/>
                <w:sz w:val="20"/>
                <w:szCs w:val="20"/>
                <w:lang w:eastAsia="en-IE"/>
              </w:rPr>
              <w:t> </w:t>
            </w:r>
          </w:p>
        </w:tc>
        <w:tc>
          <w:tcPr>
            <w:tcW w:w="749" w:type="pct"/>
            <w:hideMark/>
          </w:tcPr>
          <w:p w:rsidR="000271F2" w:rsidRPr="00E13270" w:rsidRDefault="000271F2" w:rsidP="000271F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13270">
              <w:rPr>
                <w:rFonts w:eastAsia="Times New Roman" w:cstheme="minorHAnsi"/>
                <w:color w:val="000000"/>
                <w:sz w:val="20"/>
                <w:szCs w:val="20"/>
                <w:lang w:eastAsia="en-IE"/>
              </w:rPr>
              <w:t> </w:t>
            </w:r>
          </w:p>
        </w:tc>
        <w:tc>
          <w:tcPr>
            <w:tcW w:w="749" w:type="pct"/>
            <w:noWrap/>
            <w:hideMark/>
          </w:tcPr>
          <w:p w:rsidR="000271F2" w:rsidRPr="00E13270" w:rsidRDefault="000271F2" w:rsidP="000271F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13270">
              <w:rPr>
                <w:rFonts w:eastAsia="Times New Roman" w:cstheme="minorHAnsi"/>
                <w:color w:val="000000"/>
                <w:sz w:val="20"/>
                <w:szCs w:val="20"/>
                <w:lang w:eastAsia="en-IE"/>
              </w:rPr>
              <w:t> </w:t>
            </w:r>
          </w:p>
        </w:tc>
      </w:tr>
      <w:tr w:rsidR="000271F2" w:rsidRPr="00E13270" w:rsidTr="00EB7F9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Carlow County</w:t>
            </w:r>
          </w:p>
        </w:tc>
        <w:tc>
          <w:tcPr>
            <w:tcW w:w="727"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16,164</w:t>
            </w:r>
          </w:p>
        </w:tc>
        <w:tc>
          <w:tcPr>
            <w:tcW w:w="792" w:type="pct"/>
            <w:hideMark/>
          </w:tcPr>
          <w:p w:rsidR="000271F2" w:rsidRPr="00E13270" w:rsidRDefault="000271F2"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13270">
              <w:rPr>
                <w:rFonts w:eastAsia="Times New Roman" w:cstheme="minorHAnsi"/>
                <w:color w:val="000000"/>
                <w:sz w:val="20"/>
                <w:szCs w:val="20"/>
                <w:lang w:eastAsia="en-IE"/>
              </w:rPr>
              <w:t>81,605</w:t>
            </w:r>
          </w:p>
        </w:tc>
        <w:tc>
          <w:tcPr>
            <w:tcW w:w="877" w:type="pct"/>
            <w:hideMark/>
          </w:tcPr>
          <w:p w:rsidR="000271F2" w:rsidRPr="00E13270" w:rsidRDefault="007E754B"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54,410</w:t>
            </w:r>
          </w:p>
        </w:tc>
        <w:tc>
          <w:tcPr>
            <w:tcW w:w="749" w:type="pct"/>
            <w:hideMark/>
          </w:tcPr>
          <w:p w:rsidR="000271F2" w:rsidRPr="00E13270" w:rsidRDefault="007E754B"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100,223</w:t>
            </w:r>
          </w:p>
        </w:tc>
        <w:tc>
          <w:tcPr>
            <w:tcW w:w="749" w:type="pct"/>
            <w:hideMark/>
          </w:tcPr>
          <w:p w:rsidR="000271F2" w:rsidRPr="00E13270" w:rsidRDefault="007E754B"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366,510</w:t>
            </w:r>
          </w:p>
        </w:tc>
      </w:tr>
      <w:tr w:rsidR="000271F2" w:rsidRPr="00E13270" w:rsidTr="00EB7F9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Cavan County</w:t>
            </w:r>
          </w:p>
        </w:tc>
        <w:tc>
          <w:tcPr>
            <w:tcW w:w="727" w:type="pct"/>
            <w:hideMark/>
          </w:tcPr>
          <w:p w:rsidR="000271F2" w:rsidRPr="00E13270" w:rsidRDefault="000271F2"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13270">
              <w:rPr>
                <w:rFonts w:eastAsia="Times New Roman" w:cstheme="minorHAnsi"/>
                <w:color w:val="000000"/>
                <w:sz w:val="20"/>
                <w:szCs w:val="20"/>
                <w:lang w:eastAsia="en-IE"/>
              </w:rPr>
              <w:t>1,915,467</w:t>
            </w:r>
          </w:p>
        </w:tc>
        <w:tc>
          <w:tcPr>
            <w:tcW w:w="792" w:type="pct"/>
            <w:hideMark/>
          </w:tcPr>
          <w:p w:rsidR="000271F2" w:rsidRPr="00E13270" w:rsidRDefault="000271F2"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13270">
              <w:rPr>
                <w:rFonts w:eastAsia="Times New Roman" w:cstheme="minorHAnsi"/>
                <w:color w:val="000000"/>
                <w:sz w:val="20"/>
                <w:szCs w:val="20"/>
                <w:lang w:eastAsia="en-IE"/>
              </w:rPr>
              <w:t>1,916,065</w:t>
            </w:r>
          </w:p>
        </w:tc>
        <w:tc>
          <w:tcPr>
            <w:tcW w:w="877" w:type="pct"/>
            <w:hideMark/>
          </w:tcPr>
          <w:p w:rsidR="000271F2" w:rsidRPr="00E13270" w:rsidRDefault="007E754B"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1,917,053</w:t>
            </w:r>
          </w:p>
        </w:tc>
        <w:tc>
          <w:tcPr>
            <w:tcW w:w="749" w:type="pct"/>
            <w:hideMark/>
          </w:tcPr>
          <w:p w:rsidR="000271F2" w:rsidRPr="00E13270" w:rsidRDefault="007E754B"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1,742,633</w:t>
            </w:r>
          </w:p>
        </w:tc>
        <w:tc>
          <w:tcPr>
            <w:tcW w:w="749" w:type="pct"/>
            <w:hideMark/>
          </w:tcPr>
          <w:p w:rsidR="000271F2" w:rsidRPr="00E13270" w:rsidRDefault="007E754B"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1,742,757</w:t>
            </w:r>
          </w:p>
        </w:tc>
      </w:tr>
      <w:tr w:rsidR="000271F2" w:rsidRPr="00E13270" w:rsidTr="00EB7F9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Clare County</w:t>
            </w:r>
          </w:p>
        </w:tc>
        <w:tc>
          <w:tcPr>
            <w:tcW w:w="727"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834,554</w:t>
            </w:r>
          </w:p>
        </w:tc>
        <w:tc>
          <w:tcPr>
            <w:tcW w:w="792"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1,031,196</w:t>
            </w:r>
          </w:p>
        </w:tc>
        <w:tc>
          <w:tcPr>
            <w:tcW w:w="877" w:type="pct"/>
            <w:hideMark/>
          </w:tcPr>
          <w:p w:rsidR="000271F2" w:rsidRPr="00E13270" w:rsidRDefault="00644FAE" w:rsidP="007E754B">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1,390,003</w:t>
            </w:r>
          </w:p>
        </w:tc>
        <w:tc>
          <w:tcPr>
            <w:tcW w:w="749"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1,411,673</w:t>
            </w:r>
          </w:p>
        </w:tc>
        <w:tc>
          <w:tcPr>
            <w:tcW w:w="749"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800,990</w:t>
            </w:r>
          </w:p>
        </w:tc>
      </w:tr>
      <w:tr w:rsidR="000271F2" w:rsidRPr="00E13270" w:rsidTr="00EB7F9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Cork City</w:t>
            </w:r>
          </w:p>
        </w:tc>
        <w:tc>
          <w:tcPr>
            <w:tcW w:w="727" w:type="pct"/>
            <w:hideMark/>
          </w:tcPr>
          <w:p w:rsidR="000271F2" w:rsidRPr="00E13270" w:rsidRDefault="000271F2"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13270">
              <w:rPr>
                <w:rFonts w:eastAsia="Times New Roman" w:cstheme="minorHAnsi"/>
                <w:color w:val="000000"/>
                <w:sz w:val="20"/>
                <w:szCs w:val="20"/>
                <w:lang w:eastAsia="en-IE"/>
              </w:rPr>
              <w:t>400,584</w:t>
            </w:r>
          </w:p>
        </w:tc>
        <w:tc>
          <w:tcPr>
            <w:tcW w:w="792" w:type="pct"/>
            <w:hideMark/>
          </w:tcPr>
          <w:p w:rsidR="000271F2" w:rsidRPr="00E13270" w:rsidRDefault="000271F2"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13270">
              <w:rPr>
                <w:rFonts w:eastAsia="Times New Roman" w:cstheme="minorHAnsi"/>
                <w:color w:val="000000"/>
                <w:sz w:val="20"/>
                <w:szCs w:val="20"/>
                <w:lang w:eastAsia="en-IE"/>
              </w:rPr>
              <w:t>458,945</w:t>
            </w:r>
          </w:p>
        </w:tc>
        <w:tc>
          <w:tcPr>
            <w:tcW w:w="877" w:type="pct"/>
            <w:hideMark/>
          </w:tcPr>
          <w:p w:rsidR="000271F2" w:rsidRPr="00E13270" w:rsidRDefault="007E754B"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549,743</w:t>
            </w:r>
          </w:p>
        </w:tc>
        <w:tc>
          <w:tcPr>
            <w:tcW w:w="749" w:type="pct"/>
            <w:hideMark/>
          </w:tcPr>
          <w:p w:rsidR="000271F2" w:rsidRPr="00E13270" w:rsidRDefault="000271F2" w:rsidP="007E754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13270">
              <w:rPr>
                <w:rFonts w:eastAsia="Times New Roman" w:cstheme="minorHAnsi"/>
                <w:color w:val="000000"/>
                <w:sz w:val="20"/>
                <w:szCs w:val="20"/>
                <w:lang w:eastAsia="en-IE"/>
              </w:rPr>
              <w:t>734,369</w:t>
            </w:r>
          </w:p>
        </w:tc>
        <w:tc>
          <w:tcPr>
            <w:tcW w:w="749" w:type="pct"/>
            <w:hideMark/>
          </w:tcPr>
          <w:p w:rsidR="000271F2" w:rsidRPr="00E13270" w:rsidRDefault="007E754B"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772,919</w:t>
            </w:r>
          </w:p>
        </w:tc>
      </w:tr>
      <w:tr w:rsidR="000271F2" w:rsidRPr="00E13270" w:rsidTr="00EB7F9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Cork County</w:t>
            </w:r>
          </w:p>
        </w:tc>
        <w:tc>
          <w:tcPr>
            <w:tcW w:w="727" w:type="pct"/>
            <w:hideMark/>
          </w:tcPr>
          <w:p w:rsidR="000271F2" w:rsidRPr="00E13270" w:rsidRDefault="000271F2"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13270">
              <w:rPr>
                <w:rFonts w:eastAsia="Times New Roman" w:cstheme="minorHAnsi"/>
                <w:color w:val="000000"/>
                <w:sz w:val="20"/>
                <w:szCs w:val="20"/>
                <w:lang w:eastAsia="en-IE"/>
              </w:rPr>
              <w:t>20,564,757</w:t>
            </w:r>
          </w:p>
        </w:tc>
        <w:tc>
          <w:tcPr>
            <w:tcW w:w="792" w:type="pct"/>
            <w:hideMark/>
          </w:tcPr>
          <w:p w:rsidR="000271F2" w:rsidRPr="00E13270" w:rsidRDefault="000271F2"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13270">
              <w:rPr>
                <w:rFonts w:eastAsia="Times New Roman" w:cstheme="minorHAnsi"/>
                <w:color w:val="000000"/>
                <w:sz w:val="20"/>
                <w:szCs w:val="20"/>
                <w:lang w:eastAsia="en-IE"/>
              </w:rPr>
              <w:t>21,014,047</w:t>
            </w:r>
          </w:p>
        </w:tc>
        <w:tc>
          <w:tcPr>
            <w:tcW w:w="877" w:type="pct"/>
            <w:hideMark/>
          </w:tcPr>
          <w:p w:rsidR="000271F2" w:rsidRPr="00E13270" w:rsidRDefault="007E754B"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16,278,256</w:t>
            </w:r>
          </w:p>
        </w:tc>
        <w:tc>
          <w:tcPr>
            <w:tcW w:w="749" w:type="pct"/>
            <w:hideMark/>
          </w:tcPr>
          <w:p w:rsidR="000271F2" w:rsidRPr="00E13270" w:rsidRDefault="000271F2"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13270">
              <w:rPr>
                <w:rFonts w:eastAsia="Times New Roman" w:cstheme="minorHAnsi"/>
                <w:color w:val="000000"/>
                <w:sz w:val="20"/>
                <w:szCs w:val="20"/>
                <w:lang w:eastAsia="en-IE"/>
              </w:rPr>
              <w:t>11,277</w:t>
            </w:r>
            <w:r w:rsidR="007E754B">
              <w:rPr>
                <w:rFonts w:eastAsia="Times New Roman" w:cstheme="minorHAnsi"/>
                <w:color w:val="000000"/>
                <w:sz w:val="20"/>
                <w:szCs w:val="20"/>
                <w:lang w:eastAsia="en-IE"/>
              </w:rPr>
              <w:t>,149</w:t>
            </w:r>
          </w:p>
        </w:tc>
        <w:tc>
          <w:tcPr>
            <w:tcW w:w="749" w:type="pct"/>
            <w:hideMark/>
          </w:tcPr>
          <w:p w:rsidR="000271F2" w:rsidRPr="00E13270" w:rsidRDefault="007E754B"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10,601,829</w:t>
            </w:r>
          </w:p>
        </w:tc>
      </w:tr>
      <w:tr w:rsidR="000271F2" w:rsidRPr="00E13270" w:rsidTr="00EB7F97">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Donegal County</w:t>
            </w:r>
          </w:p>
        </w:tc>
        <w:tc>
          <w:tcPr>
            <w:tcW w:w="727"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11,616,173</w:t>
            </w:r>
          </w:p>
        </w:tc>
        <w:tc>
          <w:tcPr>
            <w:tcW w:w="792"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10,660,644</w:t>
            </w:r>
          </w:p>
        </w:tc>
        <w:tc>
          <w:tcPr>
            <w:tcW w:w="877"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15,581,989</w:t>
            </w:r>
          </w:p>
        </w:tc>
        <w:tc>
          <w:tcPr>
            <w:tcW w:w="749"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15,752,132</w:t>
            </w:r>
          </w:p>
        </w:tc>
        <w:tc>
          <w:tcPr>
            <w:tcW w:w="749"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14,966,588</w:t>
            </w:r>
          </w:p>
        </w:tc>
      </w:tr>
      <w:tr w:rsidR="000271F2" w:rsidRPr="00E13270" w:rsidTr="00EB7F9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Dublin City</w:t>
            </w:r>
          </w:p>
        </w:tc>
        <w:tc>
          <w:tcPr>
            <w:tcW w:w="727" w:type="pct"/>
            <w:hideMark/>
          </w:tcPr>
          <w:p w:rsidR="000271F2" w:rsidRPr="00E13270" w:rsidRDefault="000271F2"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13270">
              <w:rPr>
                <w:rFonts w:eastAsia="Times New Roman" w:cstheme="minorHAnsi"/>
                <w:color w:val="000000"/>
                <w:sz w:val="20"/>
                <w:szCs w:val="20"/>
                <w:lang w:eastAsia="en-IE"/>
              </w:rPr>
              <w:t>15,384,124</w:t>
            </w:r>
          </w:p>
        </w:tc>
        <w:tc>
          <w:tcPr>
            <w:tcW w:w="792" w:type="pct"/>
            <w:hideMark/>
          </w:tcPr>
          <w:p w:rsidR="000271F2" w:rsidRPr="00E13270" w:rsidRDefault="007E754B"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20,113,211</w:t>
            </w:r>
          </w:p>
        </w:tc>
        <w:tc>
          <w:tcPr>
            <w:tcW w:w="877" w:type="pct"/>
            <w:hideMark/>
          </w:tcPr>
          <w:p w:rsidR="000271F2" w:rsidRPr="00E13270" w:rsidRDefault="000271F2" w:rsidP="007E754B">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13270">
              <w:rPr>
                <w:rFonts w:eastAsia="Times New Roman" w:cstheme="minorHAnsi"/>
                <w:color w:val="000000"/>
                <w:sz w:val="20"/>
                <w:szCs w:val="20"/>
                <w:lang w:eastAsia="en-IE"/>
              </w:rPr>
              <w:t>16,186,509</w:t>
            </w:r>
          </w:p>
        </w:tc>
        <w:tc>
          <w:tcPr>
            <w:tcW w:w="749" w:type="pct"/>
            <w:hideMark/>
          </w:tcPr>
          <w:p w:rsidR="000271F2" w:rsidRPr="00E13270" w:rsidRDefault="007E754B"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16,576,645</w:t>
            </w:r>
          </w:p>
        </w:tc>
        <w:tc>
          <w:tcPr>
            <w:tcW w:w="749" w:type="pct"/>
            <w:hideMark/>
          </w:tcPr>
          <w:p w:rsidR="000271F2" w:rsidRPr="00E13270" w:rsidRDefault="007E754B"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28,354,582</w:t>
            </w:r>
          </w:p>
        </w:tc>
      </w:tr>
      <w:tr w:rsidR="000271F2" w:rsidRPr="00E13270" w:rsidTr="00EB7F9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 xml:space="preserve">Dun Laoghaire </w:t>
            </w:r>
            <w:proofErr w:type="spellStart"/>
            <w:r w:rsidRPr="00E13270">
              <w:rPr>
                <w:rFonts w:asciiTheme="minorHAnsi" w:eastAsia="Times New Roman" w:hAnsiTheme="minorHAnsi" w:cstheme="minorHAnsi"/>
                <w:color w:val="000000"/>
                <w:sz w:val="20"/>
                <w:szCs w:val="20"/>
                <w:lang w:eastAsia="en-IE"/>
              </w:rPr>
              <w:t>Rathdown</w:t>
            </w:r>
            <w:proofErr w:type="spellEnd"/>
          </w:p>
        </w:tc>
        <w:tc>
          <w:tcPr>
            <w:tcW w:w="727" w:type="pct"/>
            <w:hideMark/>
          </w:tcPr>
          <w:p w:rsidR="000271F2" w:rsidRPr="00E13270" w:rsidRDefault="000271F2"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13270">
              <w:rPr>
                <w:rFonts w:eastAsia="Times New Roman" w:cstheme="minorHAnsi"/>
                <w:color w:val="000000"/>
                <w:sz w:val="20"/>
                <w:szCs w:val="20"/>
                <w:lang w:eastAsia="en-IE"/>
              </w:rPr>
              <w:t>9,109,484</w:t>
            </w:r>
          </w:p>
        </w:tc>
        <w:tc>
          <w:tcPr>
            <w:tcW w:w="792" w:type="pct"/>
            <w:hideMark/>
          </w:tcPr>
          <w:p w:rsidR="000271F2" w:rsidRPr="00E13270" w:rsidRDefault="007E754B"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9,550,465</w:t>
            </w:r>
          </w:p>
        </w:tc>
        <w:tc>
          <w:tcPr>
            <w:tcW w:w="877" w:type="pct"/>
            <w:hideMark/>
          </w:tcPr>
          <w:p w:rsidR="000271F2" w:rsidRPr="00E13270" w:rsidRDefault="000271F2"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13270">
              <w:rPr>
                <w:rFonts w:eastAsia="Times New Roman" w:cstheme="minorHAnsi"/>
                <w:color w:val="000000"/>
                <w:sz w:val="20"/>
                <w:szCs w:val="20"/>
                <w:lang w:eastAsia="en-IE"/>
              </w:rPr>
              <w:t>9,601,934</w:t>
            </w:r>
          </w:p>
        </w:tc>
        <w:tc>
          <w:tcPr>
            <w:tcW w:w="749" w:type="pct"/>
            <w:hideMark/>
          </w:tcPr>
          <w:p w:rsidR="000271F2" w:rsidRPr="00E13270" w:rsidRDefault="007E754B"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9,648,543</w:t>
            </w:r>
          </w:p>
        </w:tc>
        <w:tc>
          <w:tcPr>
            <w:tcW w:w="749" w:type="pct"/>
            <w:hideMark/>
          </w:tcPr>
          <w:p w:rsidR="000271F2" w:rsidRPr="00E13270" w:rsidRDefault="007E754B" w:rsidP="007E754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9,699,927</w:t>
            </w:r>
          </w:p>
        </w:tc>
      </w:tr>
      <w:tr w:rsidR="000271F2" w:rsidRPr="00E13270" w:rsidTr="00EB7F9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proofErr w:type="spellStart"/>
            <w:r w:rsidRPr="00E13270">
              <w:rPr>
                <w:rFonts w:asciiTheme="minorHAnsi" w:eastAsia="Times New Roman" w:hAnsiTheme="minorHAnsi" w:cstheme="minorHAnsi"/>
                <w:color w:val="000000"/>
                <w:sz w:val="20"/>
                <w:szCs w:val="20"/>
                <w:lang w:eastAsia="en-IE"/>
              </w:rPr>
              <w:t>Fingal</w:t>
            </w:r>
            <w:proofErr w:type="spellEnd"/>
            <w:r w:rsidRPr="00E13270">
              <w:rPr>
                <w:rFonts w:asciiTheme="minorHAnsi" w:eastAsia="Times New Roman" w:hAnsiTheme="minorHAnsi" w:cstheme="minorHAnsi"/>
                <w:color w:val="000000"/>
                <w:sz w:val="20"/>
                <w:szCs w:val="20"/>
                <w:lang w:eastAsia="en-IE"/>
              </w:rPr>
              <w:t xml:space="preserve"> County</w:t>
            </w:r>
          </w:p>
        </w:tc>
        <w:tc>
          <w:tcPr>
            <w:tcW w:w="727" w:type="pct"/>
            <w:hideMark/>
          </w:tcPr>
          <w:p w:rsidR="000271F2" w:rsidRPr="00E13270" w:rsidRDefault="000271F2"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13270">
              <w:rPr>
                <w:rFonts w:eastAsia="Times New Roman" w:cstheme="minorHAnsi"/>
                <w:color w:val="000000"/>
                <w:sz w:val="20"/>
                <w:szCs w:val="20"/>
                <w:lang w:eastAsia="en-IE"/>
              </w:rPr>
              <w:t>17,650,810</w:t>
            </w:r>
          </w:p>
        </w:tc>
        <w:tc>
          <w:tcPr>
            <w:tcW w:w="792" w:type="pct"/>
            <w:hideMark/>
          </w:tcPr>
          <w:p w:rsidR="000271F2" w:rsidRPr="00E13270" w:rsidRDefault="007E754B"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17,673,622</w:t>
            </w:r>
          </w:p>
        </w:tc>
        <w:tc>
          <w:tcPr>
            <w:tcW w:w="877" w:type="pct"/>
            <w:hideMark/>
          </w:tcPr>
          <w:p w:rsidR="000271F2" w:rsidRPr="00E13270" w:rsidRDefault="007E754B"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17,476,011</w:t>
            </w:r>
          </w:p>
        </w:tc>
        <w:tc>
          <w:tcPr>
            <w:tcW w:w="749" w:type="pct"/>
            <w:hideMark/>
          </w:tcPr>
          <w:p w:rsidR="000271F2" w:rsidRPr="00E13270" w:rsidRDefault="007E754B"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15,947,275</w:t>
            </w:r>
          </w:p>
        </w:tc>
        <w:tc>
          <w:tcPr>
            <w:tcW w:w="749" w:type="pct"/>
            <w:hideMark/>
          </w:tcPr>
          <w:p w:rsidR="000271F2" w:rsidRPr="00E13270" w:rsidRDefault="007E754B"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15,967,583</w:t>
            </w:r>
          </w:p>
        </w:tc>
      </w:tr>
      <w:tr w:rsidR="000271F2" w:rsidRPr="00E13270" w:rsidTr="00EB7F9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Galway City</w:t>
            </w:r>
          </w:p>
        </w:tc>
        <w:tc>
          <w:tcPr>
            <w:tcW w:w="727"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67,743</w:t>
            </w:r>
          </w:p>
        </w:tc>
        <w:tc>
          <w:tcPr>
            <w:tcW w:w="792" w:type="pct"/>
            <w:hideMark/>
          </w:tcPr>
          <w:p w:rsidR="000271F2" w:rsidRPr="00E13270" w:rsidRDefault="007E754B"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44,603</w:t>
            </w:r>
          </w:p>
        </w:tc>
        <w:tc>
          <w:tcPr>
            <w:tcW w:w="877" w:type="pct"/>
            <w:hideMark/>
          </w:tcPr>
          <w:p w:rsidR="000271F2" w:rsidRPr="00E13270" w:rsidRDefault="007E754B"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61,283</w:t>
            </w:r>
          </w:p>
        </w:tc>
        <w:tc>
          <w:tcPr>
            <w:tcW w:w="749" w:type="pct"/>
            <w:hideMark/>
          </w:tcPr>
          <w:p w:rsidR="000271F2" w:rsidRPr="00E13270" w:rsidRDefault="007E754B"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192,170</w:t>
            </w:r>
          </w:p>
        </w:tc>
        <w:tc>
          <w:tcPr>
            <w:tcW w:w="749" w:type="pct"/>
            <w:hideMark/>
          </w:tcPr>
          <w:p w:rsidR="000271F2" w:rsidRPr="00E13270" w:rsidRDefault="007E754B"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254,693</w:t>
            </w:r>
          </w:p>
        </w:tc>
      </w:tr>
      <w:tr w:rsidR="000271F2" w:rsidRPr="00E13270" w:rsidTr="00EB7F9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Galway County</w:t>
            </w:r>
          </w:p>
        </w:tc>
        <w:tc>
          <w:tcPr>
            <w:tcW w:w="727"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1,372,635</w:t>
            </w:r>
          </w:p>
        </w:tc>
        <w:tc>
          <w:tcPr>
            <w:tcW w:w="792"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1,390,913</w:t>
            </w:r>
          </w:p>
        </w:tc>
        <w:tc>
          <w:tcPr>
            <w:tcW w:w="877" w:type="pct"/>
            <w:hideMark/>
          </w:tcPr>
          <w:p w:rsidR="000271F2" w:rsidRPr="00E13270" w:rsidRDefault="00644FAE" w:rsidP="007E754B">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1,884,518</w:t>
            </w:r>
          </w:p>
        </w:tc>
        <w:tc>
          <w:tcPr>
            <w:tcW w:w="749"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1,898,994</w:t>
            </w:r>
          </w:p>
        </w:tc>
        <w:tc>
          <w:tcPr>
            <w:tcW w:w="749" w:type="pct"/>
            <w:hideMark/>
          </w:tcPr>
          <w:p w:rsidR="000271F2" w:rsidRPr="00E13270" w:rsidRDefault="00644FAE" w:rsidP="007E754B">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1,891,838</w:t>
            </w:r>
          </w:p>
        </w:tc>
      </w:tr>
      <w:tr w:rsidR="000271F2" w:rsidRPr="00E13270" w:rsidTr="00EB7F9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Kerry County</w:t>
            </w:r>
          </w:p>
        </w:tc>
        <w:tc>
          <w:tcPr>
            <w:tcW w:w="727" w:type="pct"/>
            <w:hideMark/>
          </w:tcPr>
          <w:p w:rsidR="000271F2" w:rsidRPr="00E13270" w:rsidRDefault="000271F2"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13270">
              <w:rPr>
                <w:rFonts w:eastAsia="Times New Roman" w:cstheme="minorHAnsi"/>
                <w:color w:val="000000"/>
                <w:sz w:val="20"/>
                <w:szCs w:val="20"/>
                <w:lang w:eastAsia="en-IE"/>
              </w:rPr>
              <w:t>4,659,570</w:t>
            </w:r>
          </w:p>
        </w:tc>
        <w:tc>
          <w:tcPr>
            <w:tcW w:w="792" w:type="pct"/>
            <w:hideMark/>
          </w:tcPr>
          <w:p w:rsidR="000271F2" w:rsidRPr="00E13270" w:rsidRDefault="007E754B"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5,418,545</w:t>
            </w:r>
          </w:p>
        </w:tc>
        <w:tc>
          <w:tcPr>
            <w:tcW w:w="877" w:type="pct"/>
            <w:hideMark/>
          </w:tcPr>
          <w:p w:rsidR="000271F2" w:rsidRPr="00E13270" w:rsidRDefault="007E754B"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5,847,957</w:t>
            </w:r>
          </w:p>
        </w:tc>
        <w:tc>
          <w:tcPr>
            <w:tcW w:w="749" w:type="pct"/>
            <w:hideMark/>
          </w:tcPr>
          <w:p w:rsidR="000271F2" w:rsidRPr="00E13270" w:rsidRDefault="007E754B"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6,093,078</w:t>
            </w:r>
          </w:p>
        </w:tc>
        <w:tc>
          <w:tcPr>
            <w:tcW w:w="749" w:type="pct"/>
            <w:hideMark/>
          </w:tcPr>
          <w:p w:rsidR="000271F2" w:rsidRPr="00E13270" w:rsidRDefault="007E754B"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6,184,008</w:t>
            </w:r>
          </w:p>
        </w:tc>
      </w:tr>
      <w:tr w:rsidR="000271F2" w:rsidRPr="00E13270" w:rsidTr="00EB7F9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Kildare County</w:t>
            </w:r>
          </w:p>
        </w:tc>
        <w:tc>
          <w:tcPr>
            <w:tcW w:w="727"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3,833,735</w:t>
            </w:r>
          </w:p>
        </w:tc>
        <w:tc>
          <w:tcPr>
            <w:tcW w:w="792"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2,585,424</w:t>
            </w:r>
          </w:p>
        </w:tc>
        <w:tc>
          <w:tcPr>
            <w:tcW w:w="877"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2,251,727</w:t>
            </w:r>
          </w:p>
        </w:tc>
        <w:tc>
          <w:tcPr>
            <w:tcW w:w="749" w:type="pct"/>
            <w:hideMark/>
          </w:tcPr>
          <w:p w:rsidR="000271F2" w:rsidRPr="00E13270" w:rsidRDefault="00644FAE" w:rsidP="007E754B">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1,815,805</w:t>
            </w:r>
          </w:p>
        </w:tc>
        <w:tc>
          <w:tcPr>
            <w:tcW w:w="749"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1,445,710</w:t>
            </w:r>
          </w:p>
        </w:tc>
      </w:tr>
      <w:tr w:rsidR="000271F2" w:rsidRPr="00E13270" w:rsidTr="00EB7F9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Kilkenny County</w:t>
            </w:r>
          </w:p>
        </w:tc>
        <w:tc>
          <w:tcPr>
            <w:tcW w:w="727"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104,307</w:t>
            </w:r>
          </w:p>
        </w:tc>
        <w:tc>
          <w:tcPr>
            <w:tcW w:w="792"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600,931</w:t>
            </w:r>
          </w:p>
        </w:tc>
        <w:tc>
          <w:tcPr>
            <w:tcW w:w="877"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155,280</w:t>
            </w:r>
          </w:p>
        </w:tc>
        <w:tc>
          <w:tcPr>
            <w:tcW w:w="749"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138,666</w:t>
            </w:r>
          </w:p>
        </w:tc>
        <w:tc>
          <w:tcPr>
            <w:tcW w:w="749"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68,390</w:t>
            </w:r>
          </w:p>
        </w:tc>
      </w:tr>
      <w:tr w:rsidR="000271F2" w:rsidRPr="00E13270" w:rsidTr="00EB7F9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Laois County</w:t>
            </w:r>
          </w:p>
        </w:tc>
        <w:tc>
          <w:tcPr>
            <w:tcW w:w="727"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519,500</w:t>
            </w:r>
          </w:p>
        </w:tc>
        <w:tc>
          <w:tcPr>
            <w:tcW w:w="792"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499,962</w:t>
            </w:r>
          </w:p>
        </w:tc>
        <w:tc>
          <w:tcPr>
            <w:tcW w:w="877"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494,535</w:t>
            </w:r>
          </w:p>
        </w:tc>
        <w:tc>
          <w:tcPr>
            <w:tcW w:w="749"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493,027</w:t>
            </w:r>
          </w:p>
        </w:tc>
        <w:tc>
          <w:tcPr>
            <w:tcW w:w="749"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393,286</w:t>
            </w:r>
          </w:p>
        </w:tc>
      </w:tr>
      <w:tr w:rsidR="000271F2" w:rsidRPr="00E13270" w:rsidTr="00EB7F9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Leitrim County</w:t>
            </w:r>
          </w:p>
        </w:tc>
        <w:tc>
          <w:tcPr>
            <w:tcW w:w="727"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123,121</w:t>
            </w:r>
          </w:p>
        </w:tc>
        <w:tc>
          <w:tcPr>
            <w:tcW w:w="792"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117,645</w:t>
            </w:r>
          </w:p>
        </w:tc>
        <w:tc>
          <w:tcPr>
            <w:tcW w:w="877"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1,479,205</w:t>
            </w:r>
          </w:p>
        </w:tc>
        <w:tc>
          <w:tcPr>
            <w:tcW w:w="749"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1,579,451</w:t>
            </w:r>
          </w:p>
        </w:tc>
        <w:tc>
          <w:tcPr>
            <w:tcW w:w="749"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1,426,331</w:t>
            </w:r>
          </w:p>
        </w:tc>
      </w:tr>
      <w:tr w:rsidR="000271F2" w:rsidRPr="00E13270" w:rsidTr="00EB7F9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Limerick City &amp; County</w:t>
            </w:r>
          </w:p>
        </w:tc>
        <w:tc>
          <w:tcPr>
            <w:tcW w:w="727" w:type="pct"/>
            <w:hideMark/>
          </w:tcPr>
          <w:p w:rsidR="000271F2" w:rsidRPr="00E13270" w:rsidRDefault="000271F2"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13270">
              <w:rPr>
                <w:rFonts w:eastAsia="Times New Roman" w:cstheme="minorHAnsi"/>
                <w:color w:val="000000"/>
                <w:sz w:val="20"/>
                <w:szCs w:val="20"/>
                <w:lang w:eastAsia="en-IE"/>
              </w:rPr>
              <w:t>594,107</w:t>
            </w:r>
          </w:p>
        </w:tc>
        <w:tc>
          <w:tcPr>
            <w:tcW w:w="792" w:type="pct"/>
            <w:hideMark/>
          </w:tcPr>
          <w:p w:rsidR="000271F2" w:rsidRPr="00E13270" w:rsidRDefault="007E754B"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112,544</w:t>
            </w:r>
          </w:p>
        </w:tc>
        <w:tc>
          <w:tcPr>
            <w:tcW w:w="877"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22,982</w:t>
            </w:r>
          </w:p>
        </w:tc>
        <w:tc>
          <w:tcPr>
            <w:tcW w:w="749" w:type="pct"/>
            <w:hideMark/>
          </w:tcPr>
          <w:p w:rsidR="000271F2" w:rsidRPr="00E13270" w:rsidRDefault="007E754B" w:rsidP="007E754B">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573,822</w:t>
            </w:r>
          </w:p>
        </w:tc>
        <w:tc>
          <w:tcPr>
            <w:tcW w:w="749" w:type="pct"/>
            <w:hideMark/>
          </w:tcPr>
          <w:p w:rsidR="000271F2" w:rsidRPr="00E13270" w:rsidRDefault="007E754B"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597,517</w:t>
            </w:r>
          </w:p>
        </w:tc>
      </w:tr>
      <w:tr w:rsidR="000271F2" w:rsidRPr="00E13270" w:rsidTr="00EB7F9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Longford County</w:t>
            </w:r>
          </w:p>
        </w:tc>
        <w:tc>
          <w:tcPr>
            <w:tcW w:w="727" w:type="pct"/>
            <w:hideMark/>
          </w:tcPr>
          <w:p w:rsidR="000271F2" w:rsidRPr="00E13270" w:rsidRDefault="000271F2"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13270">
              <w:rPr>
                <w:rFonts w:eastAsia="Times New Roman" w:cstheme="minorHAnsi"/>
                <w:color w:val="000000"/>
                <w:sz w:val="20"/>
                <w:szCs w:val="20"/>
                <w:lang w:eastAsia="en-IE"/>
              </w:rPr>
              <w:t>265,311</w:t>
            </w:r>
          </w:p>
        </w:tc>
        <w:tc>
          <w:tcPr>
            <w:tcW w:w="792"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172,844</w:t>
            </w:r>
          </w:p>
        </w:tc>
        <w:tc>
          <w:tcPr>
            <w:tcW w:w="877"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107,413</w:t>
            </w:r>
          </w:p>
        </w:tc>
        <w:tc>
          <w:tcPr>
            <w:tcW w:w="749" w:type="pct"/>
            <w:hideMark/>
          </w:tcPr>
          <w:p w:rsidR="000271F2" w:rsidRPr="00E13270" w:rsidRDefault="00644FAE" w:rsidP="007E754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109,957</w:t>
            </w:r>
          </w:p>
        </w:tc>
        <w:tc>
          <w:tcPr>
            <w:tcW w:w="749"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34,755</w:t>
            </w:r>
          </w:p>
        </w:tc>
      </w:tr>
      <w:tr w:rsidR="000271F2" w:rsidRPr="00E13270" w:rsidTr="00EB7F9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Louth County</w:t>
            </w:r>
          </w:p>
        </w:tc>
        <w:tc>
          <w:tcPr>
            <w:tcW w:w="727" w:type="pct"/>
            <w:hideMark/>
          </w:tcPr>
          <w:p w:rsidR="000271F2" w:rsidRPr="00E13270" w:rsidRDefault="000271F2"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13270">
              <w:rPr>
                <w:rFonts w:eastAsia="Times New Roman" w:cstheme="minorHAnsi"/>
                <w:color w:val="000000"/>
                <w:sz w:val="20"/>
                <w:szCs w:val="20"/>
                <w:lang w:eastAsia="en-IE"/>
              </w:rPr>
              <w:t>7,459,608</w:t>
            </w:r>
          </w:p>
        </w:tc>
        <w:tc>
          <w:tcPr>
            <w:tcW w:w="792" w:type="pct"/>
            <w:hideMark/>
          </w:tcPr>
          <w:p w:rsidR="000271F2" w:rsidRPr="00E13270" w:rsidRDefault="007E754B"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7,228,037</w:t>
            </w:r>
          </w:p>
        </w:tc>
        <w:tc>
          <w:tcPr>
            <w:tcW w:w="877" w:type="pct"/>
            <w:hideMark/>
          </w:tcPr>
          <w:p w:rsidR="000271F2" w:rsidRPr="00E13270" w:rsidRDefault="007E754B"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4,052,228</w:t>
            </w:r>
          </w:p>
        </w:tc>
        <w:tc>
          <w:tcPr>
            <w:tcW w:w="749" w:type="pct"/>
            <w:hideMark/>
          </w:tcPr>
          <w:p w:rsidR="000271F2" w:rsidRPr="00E13270" w:rsidRDefault="007E754B"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1,442,529</w:t>
            </w:r>
          </w:p>
        </w:tc>
        <w:tc>
          <w:tcPr>
            <w:tcW w:w="749"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2,607,460</w:t>
            </w:r>
          </w:p>
        </w:tc>
      </w:tr>
      <w:tr w:rsidR="000271F2" w:rsidRPr="00E13270" w:rsidTr="00EB7F9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Mayo County</w:t>
            </w:r>
          </w:p>
        </w:tc>
        <w:tc>
          <w:tcPr>
            <w:tcW w:w="727"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1,975,407</w:t>
            </w:r>
          </w:p>
        </w:tc>
        <w:tc>
          <w:tcPr>
            <w:tcW w:w="792"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1,699,872</w:t>
            </w:r>
          </w:p>
        </w:tc>
        <w:tc>
          <w:tcPr>
            <w:tcW w:w="877"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2,524,603</w:t>
            </w:r>
          </w:p>
        </w:tc>
        <w:tc>
          <w:tcPr>
            <w:tcW w:w="749"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5,394,107</w:t>
            </w:r>
          </w:p>
        </w:tc>
        <w:tc>
          <w:tcPr>
            <w:tcW w:w="749" w:type="pct"/>
            <w:hideMark/>
          </w:tcPr>
          <w:p w:rsidR="000271F2" w:rsidRPr="00E13270" w:rsidRDefault="00644FAE" w:rsidP="007E754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5,059,930</w:t>
            </w:r>
          </w:p>
        </w:tc>
      </w:tr>
      <w:tr w:rsidR="000271F2" w:rsidRPr="00E13270" w:rsidTr="00EB7F9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Meath County</w:t>
            </w:r>
          </w:p>
        </w:tc>
        <w:tc>
          <w:tcPr>
            <w:tcW w:w="727"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8,328,417</w:t>
            </w:r>
          </w:p>
        </w:tc>
        <w:tc>
          <w:tcPr>
            <w:tcW w:w="792"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7,149,012</w:t>
            </w:r>
          </w:p>
        </w:tc>
        <w:tc>
          <w:tcPr>
            <w:tcW w:w="877"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7,385,723</w:t>
            </w:r>
          </w:p>
        </w:tc>
        <w:tc>
          <w:tcPr>
            <w:tcW w:w="749"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4,544,412</w:t>
            </w:r>
          </w:p>
        </w:tc>
        <w:tc>
          <w:tcPr>
            <w:tcW w:w="749"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3,837,962</w:t>
            </w:r>
          </w:p>
        </w:tc>
      </w:tr>
      <w:tr w:rsidR="000271F2" w:rsidRPr="00E13270" w:rsidTr="00EB7F9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Monaghan County</w:t>
            </w:r>
          </w:p>
        </w:tc>
        <w:tc>
          <w:tcPr>
            <w:tcW w:w="727"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1,220,210</w:t>
            </w:r>
          </w:p>
        </w:tc>
        <w:tc>
          <w:tcPr>
            <w:tcW w:w="792"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943,259</w:t>
            </w:r>
          </w:p>
        </w:tc>
        <w:tc>
          <w:tcPr>
            <w:tcW w:w="877"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1,485,128</w:t>
            </w:r>
          </w:p>
        </w:tc>
        <w:tc>
          <w:tcPr>
            <w:tcW w:w="749"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3,309,389</w:t>
            </w:r>
          </w:p>
        </w:tc>
        <w:tc>
          <w:tcPr>
            <w:tcW w:w="749"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2,879,914</w:t>
            </w:r>
          </w:p>
        </w:tc>
      </w:tr>
      <w:tr w:rsidR="000271F2" w:rsidRPr="00E13270" w:rsidTr="00EB7F9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Offaly County</w:t>
            </w:r>
          </w:p>
        </w:tc>
        <w:tc>
          <w:tcPr>
            <w:tcW w:w="727"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2,463,992</w:t>
            </w:r>
          </w:p>
        </w:tc>
        <w:tc>
          <w:tcPr>
            <w:tcW w:w="792"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4,609,616</w:t>
            </w:r>
          </w:p>
        </w:tc>
        <w:tc>
          <w:tcPr>
            <w:tcW w:w="877"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5,782,975</w:t>
            </w:r>
          </w:p>
        </w:tc>
        <w:tc>
          <w:tcPr>
            <w:tcW w:w="749"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5,293,325</w:t>
            </w:r>
          </w:p>
        </w:tc>
        <w:tc>
          <w:tcPr>
            <w:tcW w:w="749" w:type="pct"/>
            <w:hideMark/>
          </w:tcPr>
          <w:p w:rsidR="000271F2" w:rsidRPr="00E13270" w:rsidRDefault="00644FAE" w:rsidP="007E754B">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4,731,779</w:t>
            </w:r>
          </w:p>
        </w:tc>
      </w:tr>
      <w:tr w:rsidR="000271F2" w:rsidRPr="00E13270" w:rsidTr="00EB7F9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Roscommon County</w:t>
            </w:r>
          </w:p>
        </w:tc>
        <w:tc>
          <w:tcPr>
            <w:tcW w:w="727" w:type="pct"/>
            <w:hideMark/>
          </w:tcPr>
          <w:p w:rsidR="000271F2" w:rsidRPr="00E13270" w:rsidRDefault="000271F2"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13270">
              <w:rPr>
                <w:rFonts w:eastAsia="Times New Roman" w:cstheme="minorHAnsi"/>
                <w:color w:val="000000"/>
                <w:sz w:val="20"/>
                <w:szCs w:val="20"/>
                <w:lang w:eastAsia="en-IE"/>
              </w:rPr>
              <w:t>72,909</w:t>
            </w:r>
          </w:p>
        </w:tc>
        <w:tc>
          <w:tcPr>
            <w:tcW w:w="792" w:type="pct"/>
            <w:hideMark/>
          </w:tcPr>
          <w:p w:rsidR="000271F2" w:rsidRPr="00E13270" w:rsidRDefault="007E754B"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99,816</w:t>
            </w:r>
          </w:p>
        </w:tc>
        <w:tc>
          <w:tcPr>
            <w:tcW w:w="877" w:type="pct"/>
            <w:hideMark/>
          </w:tcPr>
          <w:p w:rsidR="000271F2" w:rsidRPr="00E13270" w:rsidRDefault="000271F2"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13270">
              <w:rPr>
                <w:rFonts w:eastAsia="Times New Roman" w:cstheme="minorHAnsi"/>
                <w:color w:val="000000"/>
                <w:sz w:val="20"/>
                <w:szCs w:val="20"/>
                <w:lang w:eastAsia="en-IE"/>
              </w:rPr>
              <w:t>110,589</w:t>
            </w:r>
          </w:p>
        </w:tc>
        <w:tc>
          <w:tcPr>
            <w:tcW w:w="749" w:type="pct"/>
            <w:hideMark/>
          </w:tcPr>
          <w:p w:rsidR="000271F2" w:rsidRPr="00E13270" w:rsidRDefault="007E754B"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149,312</w:t>
            </w:r>
          </w:p>
        </w:tc>
        <w:tc>
          <w:tcPr>
            <w:tcW w:w="749" w:type="pct"/>
            <w:hideMark/>
          </w:tcPr>
          <w:p w:rsidR="000271F2" w:rsidRPr="00E13270" w:rsidRDefault="007E754B"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166,812</w:t>
            </w:r>
          </w:p>
        </w:tc>
      </w:tr>
      <w:tr w:rsidR="000271F2" w:rsidRPr="00E13270" w:rsidTr="00EB7F97">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Sligo County</w:t>
            </w:r>
          </w:p>
        </w:tc>
        <w:tc>
          <w:tcPr>
            <w:tcW w:w="727"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11,433,513</w:t>
            </w:r>
          </w:p>
        </w:tc>
        <w:tc>
          <w:tcPr>
            <w:tcW w:w="792"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14,790,779</w:t>
            </w:r>
          </w:p>
        </w:tc>
        <w:tc>
          <w:tcPr>
            <w:tcW w:w="877" w:type="pct"/>
            <w:hideMark/>
          </w:tcPr>
          <w:p w:rsidR="000271F2" w:rsidRPr="00E13270" w:rsidRDefault="00644FAE" w:rsidP="007E754B">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7E754B">
              <w:rPr>
                <w:rFonts w:eastAsia="Times New Roman" w:cstheme="minorHAnsi"/>
                <w:color w:val="FF0000"/>
                <w:sz w:val="20"/>
                <w:szCs w:val="20"/>
                <w:lang w:eastAsia="en-IE"/>
              </w:rPr>
              <w:t>17,512,053</w:t>
            </w:r>
          </w:p>
        </w:tc>
        <w:tc>
          <w:tcPr>
            <w:tcW w:w="749"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26,027,015</w:t>
            </w:r>
          </w:p>
        </w:tc>
        <w:tc>
          <w:tcPr>
            <w:tcW w:w="749"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26,602,276</w:t>
            </w:r>
          </w:p>
        </w:tc>
      </w:tr>
      <w:tr w:rsidR="000271F2" w:rsidRPr="00E13270" w:rsidTr="00EB7F9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South Dublin County</w:t>
            </w:r>
          </w:p>
        </w:tc>
        <w:tc>
          <w:tcPr>
            <w:tcW w:w="727" w:type="pct"/>
            <w:hideMark/>
          </w:tcPr>
          <w:p w:rsidR="000271F2" w:rsidRPr="00E13270" w:rsidRDefault="000271F2"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sidRPr="00E13270">
              <w:rPr>
                <w:rFonts w:eastAsia="Times New Roman" w:cstheme="minorHAnsi"/>
                <w:color w:val="000000"/>
                <w:sz w:val="20"/>
                <w:szCs w:val="20"/>
                <w:lang w:eastAsia="en-IE"/>
              </w:rPr>
              <w:t>12,083,109</w:t>
            </w:r>
          </w:p>
        </w:tc>
        <w:tc>
          <w:tcPr>
            <w:tcW w:w="792" w:type="pct"/>
            <w:hideMark/>
          </w:tcPr>
          <w:p w:rsidR="000271F2" w:rsidRPr="00E13270" w:rsidRDefault="007E754B"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12,093,400</w:t>
            </w:r>
          </w:p>
        </w:tc>
        <w:tc>
          <w:tcPr>
            <w:tcW w:w="877" w:type="pct"/>
            <w:hideMark/>
          </w:tcPr>
          <w:p w:rsidR="000271F2" w:rsidRPr="00E13270" w:rsidRDefault="007E754B"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12,095,145</w:t>
            </w:r>
          </w:p>
        </w:tc>
        <w:tc>
          <w:tcPr>
            <w:tcW w:w="749" w:type="pct"/>
            <w:hideMark/>
          </w:tcPr>
          <w:p w:rsidR="000271F2" w:rsidRPr="00E13270" w:rsidRDefault="007E754B"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10,729,452</w:t>
            </w:r>
          </w:p>
        </w:tc>
        <w:tc>
          <w:tcPr>
            <w:tcW w:w="749" w:type="pct"/>
            <w:hideMark/>
          </w:tcPr>
          <w:p w:rsidR="000271F2" w:rsidRPr="00E13270" w:rsidRDefault="007E754B"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12,051,637</w:t>
            </w:r>
          </w:p>
        </w:tc>
      </w:tr>
      <w:tr w:rsidR="000271F2" w:rsidRPr="00E13270" w:rsidTr="00EB7F9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Tipperary County</w:t>
            </w:r>
          </w:p>
        </w:tc>
        <w:tc>
          <w:tcPr>
            <w:tcW w:w="727" w:type="pct"/>
            <w:hideMark/>
          </w:tcPr>
          <w:p w:rsidR="000271F2" w:rsidRPr="00E13270" w:rsidRDefault="000271F2"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13270">
              <w:rPr>
                <w:rFonts w:eastAsia="Times New Roman" w:cstheme="minorHAnsi"/>
                <w:color w:val="000000"/>
                <w:sz w:val="20"/>
                <w:szCs w:val="20"/>
                <w:lang w:eastAsia="en-IE"/>
              </w:rPr>
              <w:t>5,641,981</w:t>
            </w:r>
          </w:p>
        </w:tc>
        <w:tc>
          <w:tcPr>
            <w:tcW w:w="792" w:type="pct"/>
            <w:hideMark/>
          </w:tcPr>
          <w:p w:rsidR="000271F2" w:rsidRPr="00E13270" w:rsidRDefault="007E754B"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5,579,540</w:t>
            </w:r>
          </w:p>
        </w:tc>
        <w:tc>
          <w:tcPr>
            <w:tcW w:w="877" w:type="pct"/>
            <w:hideMark/>
          </w:tcPr>
          <w:p w:rsidR="000271F2" w:rsidRPr="00E13270" w:rsidRDefault="000271F2"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sidRPr="00E13270">
              <w:rPr>
                <w:rFonts w:eastAsia="Times New Roman" w:cstheme="minorHAnsi"/>
                <w:color w:val="000000"/>
                <w:sz w:val="20"/>
                <w:szCs w:val="20"/>
                <w:lang w:eastAsia="en-IE"/>
              </w:rPr>
              <w:t>5,676,31</w:t>
            </w:r>
            <w:r w:rsidR="007E754B">
              <w:rPr>
                <w:rFonts w:eastAsia="Times New Roman" w:cstheme="minorHAnsi"/>
                <w:color w:val="000000"/>
                <w:sz w:val="20"/>
                <w:szCs w:val="20"/>
                <w:lang w:eastAsia="en-IE"/>
              </w:rPr>
              <w:t>4</w:t>
            </w:r>
          </w:p>
        </w:tc>
        <w:tc>
          <w:tcPr>
            <w:tcW w:w="749" w:type="pct"/>
            <w:hideMark/>
          </w:tcPr>
          <w:p w:rsidR="000271F2" w:rsidRPr="00E13270" w:rsidRDefault="007E754B"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5,503,094</w:t>
            </w:r>
          </w:p>
        </w:tc>
        <w:tc>
          <w:tcPr>
            <w:tcW w:w="749" w:type="pct"/>
            <w:hideMark/>
          </w:tcPr>
          <w:p w:rsidR="000271F2" w:rsidRPr="00E13270" w:rsidRDefault="007E754B"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5,545,536</w:t>
            </w:r>
          </w:p>
        </w:tc>
      </w:tr>
      <w:tr w:rsidR="000271F2" w:rsidRPr="00E13270" w:rsidTr="00EB7F9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Waterford City &amp; County</w:t>
            </w:r>
          </w:p>
        </w:tc>
        <w:tc>
          <w:tcPr>
            <w:tcW w:w="727"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7,571,170</w:t>
            </w:r>
          </w:p>
        </w:tc>
        <w:tc>
          <w:tcPr>
            <w:tcW w:w="792"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7,508,460</w:t>
            </w:r>
          </w:p>
        </w:tc>
        <w:tc>
          <w:tcPr>
            <w:tcW w:w="877"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8,484,387</w:t>
            </w:r>
          </w:p>
        </w:tc>
        <w:tc>
          <w:tcPr>
            <w:tcW w:w="749"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8,886,424</w:t>
            </w:r>
          </w:p>
        </w:tc>
        <w:tc>
          <w:tcPr>
            <w:tcW w:w="749" w:type="pct"/>
            <w:hideMark/>
          </w:tcPr>
          <w:p w:rsidR="000271F2" w:rsidRPr="00E13270" w:rsidRDefault="00644FAE" w:rsidP="007E754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9309DA">
              <w:rPr>
                <w:rFonts w:eastAsia="Times New Roman" w:cstheme="minorHAnsi"/>
                <w:color w:val="FF0000"/>
                <w:sz w:val="20"/>
                <w:szCs w:val="20"/>
                <w:lang w:eastAsia="en-IE"/>
              </w:rPr>
              <w:t>8,567,745</w:t>
            </w:r>
          </w:p>
        </w:tc>
      </w:tr>
      <w:tr w:rsidR="000271F2" w:rsidRPr="00E13270" w:rsidTr="00EB7F9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Westmeath County</w:t>
            </w:r>
          </w:p>
        </w:tc>
        <w:tc>
          <w:tcPr>
            <w:tcW w:w="727"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1,219,398</w:t>
            </w:r>
          </w:p>
        </w:tc>
        <w:tc>
          <w:tcPr>
            <w:tcW w:w="792"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1,039,857</w:t>
            </w:r>
          </w:p>
        </w:tc>
        <w:tc>
          <w:tcPr>
            <w:tcW w:w="877"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982,392</w:t>
            </w:r>
          </w:p>
        </w:tc>
        <w:tc>
          <w:tcPr>
            <w:tcW w:w="749"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951,062</w:t>
            </w:r>
          </w:p>
        </w:tc>
        <w:tc>
          <w:tcPr>
            <w:tcW w:w="749" w:type="pct"/>
            <w:hideMark/>
          </w:tcPr>
          <w:p w:rsidR="000271F2" w:rsidRPr="00E13270" w:rsidRDefault="007E754B"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000000"/>
                <w:sz w:val="20"/>
                <w:szCs w:val="20"/>
                <w:lang w:eastAsia="en-IE"/>
              </w:rPr>
              <w:t>27,702</w:t>
            </w:r>
          </w:p>
        </w:tc>
      </w:tr>
      <w:tr w:rsidR="000271F2" w:rsidRPr="00E13270" w:rsidTr="00EB7F9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Wexford County</w:t>
            </w:r>
          </w:p>
        </w:tc>
        <w:tc>
          <w:tcPr>
            <w:tcW w:w="727" w:type="pct"/>
            <w:hideMark/>
          </w:tcPr>
          <w:p w:rsidR="000271F2" w:rsidRPr="00E13270" w:rsidRDefault="00644FAE" w:rsidP="00E91F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E91F36">
              <w:rPr>
                <w:rFonts w:eastAsia="Times New Roman" w:cstheme="minorHAnsi"/>
                <w:color w:val="FF0000"/>
                <w:sz w:val="20"/>
                <w:szCs w:val="20"/>
                <w:lang w:eastAsia="en-IE"/>
              </w:rPr>
              <w:t>7</w:t>
            </w:r>
            <w:r w:rsidR="007E754B">
              <w:rPr>
                <w:rFonts w:eastAsia="Times New Roman" w:cstheme="minorHAnsi"/>
                <w:color w:val="FF0000"/>
                <w:sz w:val="20"/>
                <w:szCs w:val="20"/>
                <w:lang w:eastAsia="en-IE"/>
              </w:rPr>
              <w:t>,</w:t>
            </w:r>
            <w:r w:rsidR="00E91F36">
              <w:rPr>
                <w:rFonts w:eastAsia="Times New Roman" w:cstheme="minorHAnsi"/>
                <w:color w:val="FF0000"/>
                <w:sz w:val="20"/>
                <w:szCs w:val="20"/>
                <w:lang w:eastAsia="en-IE"/>
              </w:rPr>
              <w:t>668</w:t>
            </w:r>
            <w:r w:rsidR="007E754B">
              <w:rPr>
                <w:rFonts w:eastAsia="Times New Roman" w:cstheme="minorHAnsi"/>
                <w:color w:val="FF0000"/>
                <w:sz w:val="20"/>
                <w:szCs w:val="20"/>
                <w:lang w:eastAsia="en-IE"/>
              </w:rPr>
              <w:t>,</w:t>
            </w:r>
            <w:r w:rsidR="00326A0E">
              <w:rPr>
                <w:rFonts w:eastAsia="Times New Roman" w:cstheme="minorHAnsi"/>
                <w:color w:val="FF0000"/>
                <w:sz w:val="20"/>
                <w:szCs w:val="20"/>
                <w:lang w:eastAsia="en-IE"/>
              </w:rPr>
              <w:t>59</w:t>
            </w:r>
            <w:r w:rsidR="00E91F36">
              <w:rPr>
                <w:rFonts w:eastAsia="Times New Roman" w:cstheme="minorHAnsi"/>
                <w:color w:val="FF0000"/>
                <w:sz w:val="20"/>
                <w:szCs w:val="20"/>
                <w:lang w:eastAsia="en-IE"/>
              </w:rPr>
              <w:t>6</w:t>
            </w:r>
          </w:p>
        </w:tc>
        <w:tc>
          <w:tcPr>
            <w:tcW w:w="792" w:type="pct"/>
            <w:hideMark/>
          </w:tcPr>
          <w:p w:rsidR="000271F2" w:rsidRPr="00E13270" w:rsidRDefault="00644FAE" w:rsidP="00E91F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E91F36">
              <w:rPr>
                <w:rFonts w:eastAsia="Times New Roman" w:cstheme="minorHAnsi"/>
                <w:color w:val="FF0000"/>
                <w:sz w:val="20"/>
                <w:szCs w:val="20"/>
                <w:lang w:eastAsia="en-IE"/>
              </w:rPr>
              <w:t>7</w:t>
            </w:r>
            <w:r w:rsidR="007E754B">
              <w:rPr>
                <w:rFonts w:eastAsia="Times New Roman" w:cstheme="minorHAnsi"/>
                <w:color w:val="FF0000"/>
                <w:sz w:val="20"/>
                <w:szCs w:val="20"/>
                <w:lang w:eastAsia="en-IE"/>
              </w:rPr>
              <w:t>,</w:t>
            </w:r>
            <w:r w:rsidR="00E91F36">
              <w:rPr>
                <w:rFonts w:eastAsia="Times New Roman" w:cstheme="minorHAnsi"/>
                <w:color w:val="FF0000"/>
                <w:sz w:val="20"/>
                <w:szCs w:val="20"/>
                <w:lang w:eastAsia="en-IE"/>
              </w:rPr>
              <w:t>552</w:t>
            </w:r>
            <w:r w:rsidR="007E754B">
              <w:rPr>
                <w:rFonts w:eastAsia="Times New Roman" w:cstheme="minorHAnsi"/>
                <w:color w:val="FF0000"/>
                <w:sz w:val="20"/>
                <w:szCs w:val="20"/>
                <w:lang w:eastAsia="en-IE"/>
              </w:rPr>
              <w:t>,</w:t>
            </w:r>
            <w:r w:rsidR="00E91F36">
              <w:rPr>
                <w:rFonts w:eastAsia="Times New Roman" w:cstheme="minorHAnsi"/>
                <w:color w:val="FF0000"/>
                <w:sz w:val="20"/>
                <w:szCs w:val="20"/>
                <w:lang w:eastAsia="en-IE"/>
              </w:rPr>
              <w:t>979</w:t>
            </w:r>
          </w:p>
        </w:tc>
        <w:tc>
          <w:tcPr>
            <w:tcW w:w="877" w:type="pct"/>
            <w:hideMark/>
          </w:tcPr>
          <w:p w:rsidR="000271F2" w:rsidRPr="00E13270" w:rsidRDefault="00644FAE" w:rsidP="007E754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E91F36">
              <w:rPr>
                <w:rFonts w:eastAsia="Times New Roman" w:cstheme="minorHAnsi"/>
                <w:color w:val="FF0000"/>
                <w:sz w:val="20"/>
                <w:szCs w:val="20"/>
                <w:lang w:eastAsia="en-IE"/>
              </w:rPr>
              <w:t>8</w:t>
            </w:r>
            <w:r w:rsidR="007E754B">
              <w:rPr>
                <w:rFonts w:eastAsia="Times New Roman" w:cstheme="minorHAnsi"/>
                <w:color w:val="FF0000"/>
                <w:sz w:val="20"/>
                <w:szCs w:val="20"/>
                <w:lang w:eastAsia="en-IE"/>
              </w:rPr>
              <w:t>,</w:t>
            </w:r>
            <w:r w:rsidR="00E91F36">
              <w:rPr>
                <w:rFonts w:eastAsia="Times New Roman" w:cstheme="minorHAnsi"/>
                <w:color w:val="FF0000"/>
                <w:sz w:val="20"/>
                <w:szCs w:val="20"/>
                <w:lang w:eastAsia="en-IE"/>
              </w:rPr>
              <w:t>563</w:t>
            </w:r>
            <w:r w:rsidR="007E754B">
              <w:rPr>
                <w:rFonts w:eastAsia="Times New Roman" w:cstheme="minorHAnsi"/>
                <w:color w:val="FF0000"/>
                <w:sz w:val="20"/>
                <w:szCs w:val="20"/>
                <w:lang w:eastAsia="en-IE"/>
              </w:rPr>
              <w:t>,</w:t>
            </w:r>
            <w:r w:rsidR="00E91F36">
              <w:rPr>
                <w:rFonts w:eastAsia="Times New Roman" w:cstheme="minorHAnsi"/>
                <w:color w:val="FF0000"/>
                <w:sz w:val="20"/>
                <w:szCs w:val="20"/>
                <w:lang w:eastAsia="en-IE"/>
              </w:rPr>
              <w:t>365</w:t>
            </w:r>
          </w:p>
        </w:tc>
        <w:tc>
          <w:tcPr>
            <w:tcW w:w="749" w:type="pct"/>
            <w:hideMark/>
          </w:tcPr>
          <w:p w:rsidR="000271F2" w:rsidRPr="00E13270" w:rsidRDefault="00644FAE" w:rsidP="00E91F3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E91F36">
              <w:rPr>
                <w:rFonts w:eastAsia="Times New Roman" w:cstheme="minorHAnsi"/>
                <w:color w:val="FF0000"/>
                <w:sz w:val="20"/>
                <w:szCs w:val="20"/>
                <w:lang w:eastAsia="en-IE"/>
              </w:rPr>
              <w:t>10</w:t>
            </w:r>
            <w:r w:rsidR="007E754B">
              <w:rPr>
                <w:rFonts w:eastAsia="Times New Roman" w:cstheme="minorHAnsi"/>
                <w:color w:val="FF0000"/>
                <w:sz w:val="20"/>
                <w:szCs w:val="20"/>
                <w:lang w:eastAsia="en-IE"/>
              </w:rPr>
              <w:t>,</w:t>
            </w:r>
            <w:r w:rsidR="00E91F36">
              <w:rPr>
                <w:rFonts w:eastAsia="Times New Roman" w:cstheme="minorHAnsi"/>
                <w:color w:val="FF0000"/>
                <w:sz w:val="20"/>
                <w:szCs w:val="20"/>
                <w:lang w:eastAsia="en-IE"/>
              </w:rPr>
              <w:t>267</w:t>
            </w:r>
            <w:r w:rsidR="007E754B">
              <w:rPr>
                <w:rFonts w:eastAsia="Times New Roman" w:cstheme="minorHAnsi"/>
                <w:color w:val="FF0000"/>
                <w:sz w:val="20"/>
                <w:szCs w:val="20"/>
                <w:lang w:eastAsia="en-IE"/>
              </w:rPr>
              <w:t>,</w:t>
            </w:r>
            <w:r w:rsidR="00E91F36">
              <w:rPr>
                <w:rFonts w:eastAsia="Times New Roman" w:cstheme="minorHAnsi"/>
                <w:color w:val="FF0000"/>
                <w:sz w:val="20"/>
                <w:szCs w:val="20"/>
                <w:lang w:eastAsia="en-IE"/>
              </w:rPr>
              <w:t>403</w:t>
            </w:r>
          </w:p>
        </w:tc>
        <w:tc>
          <w:tcPr>
            <w:tcW w:w="749" w:type="pct"/>
            <w:hideMark/>
          </w:tcPr>
          <w:p w:rsidR="000271F2" w:rsidRPr="00E13270" w:rsidRDefault="00644FAE" w:rsidP="00644FA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9,873,539</w:t>
            </w:r>
          </w:p>
        </w:tc>
      </w:tr>
      <w:tr w:rsidR="000271F2" w:rsidRPr="00E13270" w:rsidTr="00EB7F9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7" w:type="pct"/>
            <w:noWrap/>
            <w:hideMark/>
          </w:tcPr>
          <w:p w:rsidR="000271F2" w:rsidRPr="00E13270" w:rsidRDefault="000271F2" w:rsidP="000271F2">
            <w:pPr>
              <w:rPr>
                <w:rFonts w:asciiTheme="minorHAnsi" w:eastAsia="Times New Roman" w:hAnsiTheme="minorHAnsi" w:cstheme="minorHAnsi"/>
                <w:color w:val="000000"/>
                <w:sz w:val="20"/>
                <w:szCs w:val="20"/>
                <w:lang w:eastAsia="en-IE"/>
              </w:rPr>
            </w:pPr>
            <w:r w:rsidRPr="00E13270">
              <w:rPr>
                <w:rFonts w:asciiTheme="minorHAnsi" w:eastAsia="Times New Roman" w:hAnsiTheme="minorHAnsi" w:cstheme="minorHAnsi"/>
                <w:color w:val="000000"/>
                <w:sz w:val="20"/>
                <w:szCs w:val="20"/>
                <w:lang w:eastAsia="en-IE"/>
              </w:rPr>
              <w:t>Wicklow County</w:t>
            </w:r>
          </w:p>
        </w:tc>
        <w:tc>
          <w:tcPr>
            <w:tcW w:w="727"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1,143,247</w:t>
            </w:r>
          </w:p>
        </w:tc>
        <w:tc>
          <w:tcPr>
            <w:tcW w:w="792"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1,420,281</w:t>
            </w:r>
          </w:p>
        </w:tc>
        <w:tc>
          <w:tcPr>
            <w:tcW w:w="877"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1,393,802</w:t>
            </w:r>
          </w:p>
        </w:tc>
        <w:tc>
          <w:tcPr>
            <w:tcW w:w="749"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4,084,330</w:t>
            </w:r>
          </w:p>
        </w:tc>
        <w:tc>
          <w:tcPr>
            <w:tcW w:w="749" w:type="pct"/>
            <w:hideMark/>
          </w:tcPr>
          <w:p w:rsidR="000271F2" w:rsidRPr="00E13270" w:rsidRDefault="00644FAE" w:rsidP="00644FA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eastAsia="en-IE"/>
              </w:rPr>
            </w:pPr>
            <w:r>
              <w:rPr>
                <w:rFonts w:eastAsia="Times New Roman" w:cstheme="minorHAnsi"/>
                <w:color w:val="FF0000"/>
                <w:sz w:val="20"/>
                <w:szCs w:val="20"/>
                <w:lang w:eastAsia="en-IE"/>
              </w:rPr>
              <w:t>-</w:t>
            </w:r>
            <w:r w:rsidR="000271F2" w:rsidRPr="00E13270">
              <w:rPr>
                <w:rFonts w:eastAsia="Times New Roman" w:cstheme="minorHAnsi"/>
                <w:color w:val="FF0000"/>
                <w:sz w:val="20"/>
                <w:szCs w:val="20"/>
                <w:lang w:eastAsia="en-IE"/>
              </w:rPr>
              <w:t>3,783,860</w:t>
            </w:r>
          </w:p>
        </w:tc>
      </w:tr>
    </w:tbl>
    <w:p w:rsidR="00ED3121" w:rsidRPr="00B97E75" w:rsidRDefault="00ED3121" w:rsidP="00E972EB">
      <w:pPr>
        <w:rPr>
          <w:rFonts w:eastAsia="Times New Roman" w:cstheme="minorHAnsi"/>
          <w:b/>
          <w:bCs/>
          <w:i/>
          <w:color w:val="000000"/>
          <w:lang w:eastAsia="en-IE"/>
        </w:rPr>
      </w:pPr>
    </w:p>
    <w:p w:rsidR="00A53F26" w:rsidRPr="009660A3" w:rsidRDefault="00BD46A5" w:rsidP="00A53F26">
      <w:pPr>
        <w:spacing w:after="0" w:line="240" w:lineRule="auto"/>
        <w:jc w:val="both"/>
        <w:rPr>
          <w:rFonts w:eastAsia="Times New Roman" w:cstheme="minorHAnsi"/>
          <w:bCs/>
          <w:i/>
          <w:color w:val="000000"/>
          <w:sz w:val="18"/>
          <w:szCs w:val="18"/>
          <w:lang w:eastAsia="en-IE"/>
        </w:rPr>
      </w:pPr>
      <w:r w:rsidRPr="009660A3">
        <w:rPr>
          <w:rFonts w:eastAsia="Times New Roman" w:cstheme="minorHAnsi"/>
          <w:bCs/>
          <w:i/>
          <w:color w:val="000000"/>
          <w:sz w:val="18"/>
          <w:szCs w:val="18"/>
          <w:lang w:eastAsia="en-IE"/>
        </w:rPr>
        <w:t>In the case of 2014 the unaudited AFS</w:t>
      </w:r>
      <w:r w:rsidR="00D32973">
        <w:rPr>
          <w:rFonts w:eastAsia="Times New Roman" w:cstheme="minorHAnsi"/>
          <w:bCs/>
          <w:i/>
          <w:color w:val="000000"/>
          <w:sz w:val="18"/>
          <w:szCs w:val="18"/>
          <w:lang w:eastAsia="en-IE"/>
        </w:rPr>
        <w:t>s</w:t>
      </w:r>
      <w:r w:rsidR="007E754B">
        <w:rPr>
          <w:rFonts w:eastAsia="Times New Roman" w:cstheme="minorHAnsi"/>
          <w:bCs/>
          <w:i/>
          <w:color w:val="000000"/>
          <w:sz w:val="18"/>
          <w:szCs w:val="18"/>
          <w:lang w:eastAsia="en-IE"/>
        </w:rPr>
        <w:t xml:space="preserve"> were used. </w:t>
      </w:r>
      <w:r w:rsidR="00A53F26">
        <w:rPr>
          <w:rFonts w:eastAsia="Times New Roman" w:cstheme="minorHAnsi"/>
          <w:bCs/>
          <w:i/>
          <w:color w:val="000000"/>
          <w:sz w:val="18"/>
          <w:szCs w:val="18"/>
          <w:lang w:eastAsia="en-IE"/>
        </w:rPr>
        <w:t xml:space="preserve">The balances are the cumulative end year balances, net of transfers to/from reserves, and include the dissolved town and borough councils. </w:t>
      </w:r>
    </w:p>
    <w:p w:rsidR="000271F2" w:rsidRPr="009660A3" w:rsidRDefault="000271F2" w:rsidP="00E972EB">
      <w:pPr>
        <w:rPr>
          <w:rFonts w:eastAsia="Times New Roman" w:cstheme="minorHAnsi"/>
          <w:bCs/>
          <w:i/>
          <w:color w:val="000000"/>
          <w:sz w:val="18"/>
          <w:szCs w:val="18"/>
          <w:lang w:eastAsia="en-IE"/>
        </w:rPr>
      </w:pPr>
    </w:p>
    <w:p w:rsidR="000271F2" w:rsidRDefault="000271F2" w:rsidP="00E972EB">
      <w:pPr>
        <w:rPr>
          <w:rFonts w:eastAsia="Times New Roman" w:cstheme="minorHAnsi"/>
          <w:b/>
          <w:bCs/>
          <w:color w:val="000000"/>
          <w:lang w:eastAsia="en-IE"/>
        </w:rPr>
      </w:pPr>
    </w:p>
    <w:p w:rsidR="00B679C2" w:rsidRDefault="00B679C2" w:rsidP="00E972EB">
      <w:pPr>
        <w:rPr>
          <w:rFonts w:eastAsia="Times New Roman" w:cstheme="minorHAnsi"/>
          <w:b/>
          <w:bCs/>
          <w:color w:val="000000"/>
          <w:lang w:eastAsia="en-IE"/>
        </w:rPr>
      </w:pPr>
    </w:p>
    <w:p w:rsidR="00E13270" w:rsidRDefault="00E13270" w:rsidP="00E972EB">
      <w:pPr>
        <w:rPr>
          <w:rFonts w:eastAsia="Times New Roman" w:cstheme="minorHAnsi"/>
          <w:b/>
          <w:bCs/>
          <w:color w:val="000000"/>
          <w:lang w:eastAsia="en-IE"/>
        </w:rPr>
      </w:pPr>
    </w:p>
    <w:p w:rsidR="00B679C2" w:rsidRPr="00B97E75" w:rsidRDefault="00B679C2" w:rsidP="00E972EB">
      <w:pPr>
        <w:rPr>
          <w:rFonts w:eastAsia="Times New Roman" w:cstheme="minorHAnsi"/>
          <w:b/>
          <w:bCs/>
          <w:color w:val="000000"/>
          <w:lang w:eastAsia="en-IE"/>
        </w:rPr>
      </w:pPr>
    </w:p>
    <w:p w:rsidR="00ED3121" w:rsidRPr="00B97E75" w:rsidRDefault="00ED3121" w:rsidP="00E972EB">
      <w:pPr>
        <w:rPr>
          <w:rFonts w:eastAsia="Times New Roman" w:cstheme="minorHAnsi"/>
          <w:b/>
          <w:bCs/>
          <w:color w:val="000000"/>
          <w:lang w:eastAsia="en-IE"/>
        </w:rPr>
      </w:pPr>
    </w:p>
    <w:tbl>
      <w:tblPr>
        <w:tblW w:w="5964" w:type="dxa"/>
        <w:tblInd w:w="98" w:type="dxa"/>
        <w:tblLook w:val="04A0" w:firstRow="1" w:lastRow="0" w:firstColumn="1" w:lastColumn="0" w:noHBand="0" w:noVBand="1"/>
      </w:tblPr>
      <w:tblGrid>
        <w:gridCol w:w="2460"/>
        <w:gridCol w:w="1540"/>
        <w:gridCol w:w="1964"/>
      </w:tblGrid>
      <w:tr w:rsidR="009E4429" w:rsidRPr="00B97E75" w:rsidTr="00EE2034">
        <w:trPr>
          <w:trHeight w:val="255"/>
        </w:trPr>
        <w:tc>
          <w:tcPr>
            <w:tcW w:w="596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E4429" w:rsidRPr="00B97E75" w:rsidRDefault="009E4429" w:rsidP="00EE2034">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5 Year summary of Revenue Account Balances</w:t>
            </w:r>
          </w:p>
        </w:tc>
      </w:tr>
      <w:tr w:rsidR="009E4429" w:rsidRPr="00B97E75" w:rsidTr="00EE2034">
        <w:trPr>
          <w:trHeight w:val="255"/>
        </w:trPr>
        <w:tc>
          <w:tcPr>
            <w:tcW w:w="400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9E4429" w:rsidRPr="00B97E75" w:rsidRDefault="009E4429" w:rsidP="00EE2034">
            <w:pPr>
              <w:spacing w:after="0" w:line="240" w:lineRule="auto"/>
              <w:rPr>
                <w:rFonts w:eastAsia="Times New Roman" w:cstheme="minorHAnsi"/>
                <w:color w:val="000000"/>
                <w:lang w:eastAsia="en-IE"/>
              </w:rPr>
            </w:pPr>
            <w:r w:rsidRPr="00B97E75">
              <w:rPr>
                <w:rFonts w:eastAsia="Times New Roman" w:cstheme="minorHAnsi"/>
                <w:color w:val="000000"/>
                <w:lang w:eastAsia="en-IE"/>
              </w:rPr>
              <w:t>2010 Balance</w:t>
            </w:r>
          </w:p>
        </w:tc>
        <w:tc>
          <w:tcPr>
            <w:tcW w:w="1964" w:type="dxa"/>
            <w:tcBorders>
              <w:top w:val="nil"/>
              <w:left w:val="nil"/>
              <w:bottom w:val="single" w:sz="8" w:space="0" w:color="auto"/>
              <w:right w:val="single" w:sz="8" w:space="0" w:color="auto"/>
            </w:tcBorders>
            <w:shd w:val="clear" w:color="auto" w:fill="B6DDE8" w:themeFill="accent5" w:themeFillTint="66"/>
            <w:vAlign w:val="center"/>
            <w:hideMark/>
          </w:tcPr>
          <w:p w:rsidR="009E4429" w:rsidRPr="00B97E75" w:rsidRDefault="009E4429" w:rsidP="00EE2034">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 </w:t>
            </w:r>
          </w:p>
        </w:tc>
      </w:tr>
      <w:tr w:rsidR="009E4429" w:rsidRPr="00B97E75" w:rsidTr="00E17A00">
        <w:trPr>
          <w:trHeight w:val="255"/>
        </w:trPr>
        <w:tc>
          <w:tcPr>
            <w:tcW w:w="2460" w:type="dxa"/>
            <w:tcBorders>
              <w:top w:val="nil"/>
              <w:left w:val="single" w:sz="8" w:space="0" w:color="auto"/>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1540" w:type="dxa"/>
            <w:tcBorders>
              <w:top w:val="nil"/>
              <w:left w:val="nil"/>
              <w:bottom w:val="single" w:sz="8" w:space="0" w:color="auto"/>
              <w:right w:val="nil"/>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964" w:type="dxa"/>
            <w:tcBorders>
              <w:top w:val="nil"/>
              <w:left w:val="single" w:sz="8" w:space="0" w:color="auto"/>
              <w:bottom w:val="single" w:sz="8" w:space="0" w:color="auto"/>
              <w:right w:val="single" w:sz="8" w:space="0" w:color="auto"/>
            </w:tcBorders>
            <w:shd w:val="clear" w:color="auto" w:fill="auto"/>
            <w:vAlign w:val="center"/>
            <w:hideMark/>
          </w:tcPr>
          <w:p w:rsidR="009E4429" w:rsidRPr="00B97E75" w:rsidRDefault="009E4429" w:rsidP="00E17A00">
            <w:pPr>
              <w:spacing w:after="0" w:line="240" w:lineRule="auto"/>
              <w:jc w:val="right"/>
              <w:rPr>
                <w:rFonts w:eastAsia="Times New Roman" w:cstheme="minorHAnsi"/>
                <w:color w:val="000000"/>
                <w:lang w:eastAsia="en-IE"/>
              </w:rPr>
            </w:pPr>
            <w:r w:rsidRPr="00B97E75">
              <w:rPr>
                <w:rFonts w:eastAsia="Times New Roman" w:cstheme="minorHAnsi"/>
                <w:color w:val="000000"/>
                <w:lang w:eastAsia="en-IE"/>
              </w:rPr>
              <w:t>31</w:t>
            </w:r>
          </w:p>
        </w:tc>
      </w:tr>
      <w:tr w:rsidR="009E4429" w:rsidRPr="00B97E75" w:rsidTr="00E17A00">
        <w:trPr>
          <w:trHeight w:val="255"/>
        </w:trPr>
        <w:tc>
          <w:tcPr>
            <w:tcW w:w="2460" w:type="dxa"/>
            <w:tcBorders>
              <w:top w:val="nil"/>
              <w:left w:val="single" w:sz="8" w:space="0" w:color="auto"/>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540" w:type="dxa"/>
            <w:tcBorders>
              <w:top w:val="nil"/>
              <w:left w:val="nil"/>
              <w:bottom w:val="single" w:sz="8" w:space="0" w:color="auto"/>
              <w:right w:val="nil"/>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964" w:type="dxa"/>
            <w:tcBorders>
              <w:top w:val="nil"/>
              <w:left w:val="single" w:sz="8" w:space="0" w:color="auto"/>
              <w:bottom w:val="single" w:sz="8" w:space="0" w:color="auto"/>
              <w:right w:val="single" w:sz="8" w:space="0" w:color="auto"/>
            </w:tcBorders>
            <w:shd w:val="clear" w:color="auto" w:fill="auto"/>
            <w:vAlign w:val="center"/>
            <w:hideMark/>
          </w:tcPr>
          <w:p w:rsidR="009E4429" w:rsidRPr="00B97E75" w:rsidRDefault="009E4429" w:rsidP="00E17A00">
            <w:pPr>
              <w:spacing w:after="0" w:line="240" w:lineRule="auto"/>
              <w:jc w:val="right"/>
              <w:rPr>
                <w:rFonts w:eastAsia="Times New Roman" w:cstheme="minorHAnsi"/>
                <w:color w:val="000000"/>
                <w:lang w:eastAsia="en-IE"/>
              </w:rPr>
            </w:pPr>
            <w:r w:rsidRPr="00B97E75">
              <w:rPr>
                <w:rFonts w:eastAsia="Times New Roman" w:cstheme="minorHAnsi"/>
                <w:color w:val="000000"/>
                <w:lang w:eastAsia="en-IE"/>
              </w:rPr>
              <w:t>0</w:t>
            </w:r>
          </w:p>
        </w:tc>
      </w:tr>
      <w:tr w:rsidR="009E4429" w:rsidRPr="00B97E75" w:rsidTr="00E17A00">
        <w:trPr>
          <w:trHeight w:val="255"/>
        </w:trPr>
        <w:tc>
          <w:tcPr>
            <w:tcW w:w="2460" w:type="dxa"/>
            <w:tcBorders>
              <w:top w:val="nil"/>
              <w:left w:val="single" w:sz="8" w:space="0" w:color="auto"/>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1540" w:type="dxa"/>
            <w:tcBorders>
              <w:top w:val="nil"/>
              <w:left w:val="nil"/>
              <w:bottom w:val="single" w:sz="8" w:space="0" w:color="auto"/>
              <w:right w:val="nil"/>
            </w:tcBorders>
            <w:shd w:val="clear" w:color="auto" w:fill="auto"/>
            <w:hideMark/>
          </w:tcPr>
          <w:p w:rsidR="009E4429" w:rsidRPr="00B97E75" w:rsidRDefault="009E4429" w:rsidP="009E442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964" w:type="dxa"/>
            <w:tcBorders>
              <w:top w:val="nil"/>
              <w:left w:val="single" w:sz="8" w:space="0" w:color="auto"/>
              <w:bottom w:val="single" w:sz="8" w:space="0" w:color="auto"/>
              <w:right w:val="single" w:sz="8" w:space="0" w:color="auto"/>
            </w:tcBorders>
            <w:shd w:val="clear" w:color="auto" w:fill="auto"/>
            <w:vAlign w:val="center"/>
            <w:hideMark/>
          </w:tcPr>
          <w:p w:rsidR="009E4429" w:rsidRPr="00B97E75" w:rsidRDefault="00E91F36" w:rsidP="00E17A00">
            <w:pPr>
              <w:spacing w:after="0" w:line="240" w:lineRule="auto"/>
              <w:jc w:val="right"/>
              <w:rPr>
                <w:rFonts w:eastAsia="Times New Roman" w:cstheme="minorHAnsi"/>
                <w:b/>
                <w:bCs/>
                <w:color w:val="000000"/>
                <w:lang w:eastAsia="en-IE"/>
              </w:rPr>
            </w:pPr>
            <w:r>
              <w:rPr>
                <w:rFonts w:eastAsia="Times New Roman" w:cstheme="minorHAnsi"/>
                <w:b/>
                <w:bCs/>
                <w:color w:val="000000"/>
                <w:lang w:eastAsia="en-IE"/>
              </w:rPr>
              <w:t>-€104,307.00</w:t>
            </w:r>
          </w:p>
        </w:tc>
      </w:tr>
      <w:tr w:rsidR="009E4429" w:rsidRPr="00B97E75" w:rsidTr="00E17A00">
        <w:trPr>
          <w:trHeight w:val="255"/>
        </w:trPr>
        <w:tc>
          <w:tcPr>
            <w:tcW w:w="2460" w:type="dxa"/>
            <w:tcBorders>
              <w:top w:val="nil"/>
              <w:left w:val="single" w:sz="8" w:space="0" w:color="auto"/>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540" w:type="dxa"/>
            <w:tcBorders>
              <w:top w:val="nil"/>
              <w:left w:val="nil"/>
              <w:bottom w:val="single" w:sz="8" w:space="0" w:color="auto"/>
              <w:right w:val="nil"/>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964" w:type="dxa"/>
            <w:tcBorders>
              <w:top w:val="nil"/>
              <w:left w:val="single" w:sz="8" w:space="0" w:color="auto"/>
              <w:bottom w:val="single" w:sz="8" w:space="0" w:color="auto"/>
              <w:right w:val="single" w:sz="8" w:space="0" w:color="auto"/>
            </w:tcBorders>
            <w:shd w:val="clear" w:color="auto" w:fill="auto"/>
            <w:vAlign w:val="center"/>
            <w:hideMark/>
          </w:tcPr>
          <w:p w:rsidR="009E4429" w:rsidRPr="00B97E75" w:rsidRDefault="00E91F36" w:rsidP="00E17A00">
            <w:pPr>
              <w:spacing w:after="0" w:line="240" w:lineRule="auto"/>
              <w:jc w:val="right"/>
              <w:rPr>
                <w:rFonts w:eastAsia="Times New Roman" w:cstheme="minorHAnsi"/>
                <w:color w:val="000000"/>
                <w:lang w:eastAsia="en-IE"/>
              </w:rPr>
            </w:pPr>
            <w:r>
              <w:rPr>
                <w:rFonts w:eastAsia="Times New Roman" w:cstheme="minorHAnsi"/>
                <w:color w:val="000000"/>
                <w:lang w:eastAsia="en-IE"/>
              </w:rPr>
              <w:t>€1,106,</w:t>
            </w:r>
            <w:r w:rsidR="00326A0E">
              <w:rPr>
                <w:rFonts w:eastAsia="Times New Roman" w:cstheme="minorHAnsi"/>
                <w:color w:val="000000"/>
                <w:lang w:eastAsia="en-IE"/>
              </w:rPr>
              <w:t>127.06</w:t>
            </w:r>
          </w:p>
        </w:tc>
      </w:tr>
      <w:tr w:rsidR="009E4429" w:rsidRPr="00B97E75" w:rsidTr="00E17A00">
        <w:trPr>
          <w:trHeight w:val="255"/>
        </w:trPr>
        <w:tc>
          <w:tcPr>
            <w:tcW w:w="4000" w:type="dxa"/>
            <w:gridSpan w:val="2"/>
            <w:tcBorders>
              <w:top w:val="single" w:sz="8" w:space="0" w:color="auto"/>
              <w:left w:val="single" w:sz="8" w:space="0" w:color="auto"/>
              <w:bottom w:val="single" w:sz="8" w:space="0" w:color="auto"/>
              <w:right w:val="nil"/>
            </w:tcBorders>
            <w:shd w:val="clear" w:color="auto" w:fill="B6DDE8" w:themeFill="accent5" w:themeFillTint="66"/>
            <w:vAlign w:val="center"/>
            <w:hideMark/>
          </w:tcPr>
          <w:p w:rsidR="009E4429" w:rsidRPr="00B97E75" w:rsidRDefault="009E4429" w:rsidP="00771880">
            <w:pPr>
              <w:spacing w:after="0" w:line="240" w:lineRule="auto"/>
              <w:rPr>
                <w:rFonts w:eastAsia="Times New Roman" w:cstheme="minorHAnsi"/>
                <w:color w:val="000000"/>
                <w:lang w:eastAsia="en-IE"/>
              </w:rPr>
            </w:pPr>
            <w:r w:rsidRPr="00B97E75">
              <w:rPr>
                <w:rFonts w:eastAsia="Times New Roman" w:cstheme="minorHAnsi"/>
                <w:color w:val="000000"/>
                <w:lang w:eastAsia="en-IE"/>
              </w:rPr>
              <w:t>2011 Balance</w:t>
            </w:r>
          </w:p>
        </w:tc>
        <w:tc>
          <w:tcPr>
            <w:tcW w:w="1964" w:type="dxa"/>
            <w:tcBorders>
              <w:top w:val="nil"/>
              <w:left w:val="single" w:sz="8" w:space="0" w:color="auto"/>
              <w:bottom w:val="single" w:sz="8" w:space="0" w:color="auto"/>
              <w:right w:val="single" w:sz="8" w:space="0" w:color="auto"/>
            </w:tcBorders>
            <w:shd w:val="clear" w:color="auto" w:fill="B6DDE8" w:themeFill="accent5" w:themeFillTint="66"/>
            <w:vAlign w:val="center"/>
            <w:hideMark/>
          </w:tcPr>
          <w:p w:rsidR="009E4429" w:rsidRPr="00B97E75" w:rsidRDefault="009E4429" w:rsidP="00E17A00">
            <w:pPr>
              <w:spacing w:after="0" w:line="240" w:lineRule="auto"/>
              <w:jc w:val="right"/>
              <w:rPr>
                <w:rFonts w:eastAsia="Times New Roman" w:cstheme="minorHAnsi"/>
                <w:b/>
                <w:bCs/>
                <w:color w:val="000000"/>
                <w:lang w:eastAsia="en-IE"/>
              </w:rPr>
            </w:pPr>
            <w:r w:rsidRPr="00B97E75">
              <w:rPr>
                <w:rFonts w:eastAsia="Times New Roman" w:cstheme="minorHAnsi"/>
                <w:b/>
                <w:bCs/>
                <w:color w:val="000000"/>
                <w:lang w:eastAsia="en-IE"/>
              </w:rPr>
              <w:t> </w:t>
            </w:r>
          </w:p>
        </w:tc>
      </w:tr>
      <w:tr w:rsidR="009E4429" w:rsidRPr="00B97E75" w:rsidTr="00E17A00">
        <w:trPr>
          <w:trHeight w:val="255"/>
        </w:trPr>
        <w:tc>
          <w:tcPr>
            <w:tcW w:w="2460" w:type="dxa"/>
            <w:tcBorders>
              <w:top w:val="nil"/>
              <w:left w:val="single" w:sz="8" w:space="0" w:color="auto"/>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1540" w:type="dxa"/>
            <w:tcBorders>
              <w:top w:val="nil"/>
              <w:left w:val="nil"/>
              <w:bottom w:val="single" w:sz="8" w:space="0" w:color="auto"/>
              <w:right w:val="nil"/>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964" w:type="dxa"/>
            <w:tcBorders>
              <w:top w:val="nil"/>
              <w:left w:val="single" w:sz="8" w:space="0" w:color="auto"/>
              <w:bottom w:val="single" w:sz="8" w:space="0" w:color="auto"/>
              <w:right w:val="single" w:sz="8" w:space="0" w:color="auto"/>
            </w:tcBorders>
            <w:shd w:val="clear" w:color="auto" w:fill="auto"/>
            <w:vAlign w:val="center"/>
            <w:hideMark/>
          </w:tcPr>
          <w:p w:rsidR="009E4429" w:rsidRPr="00B97E75" w:rsidRDefault="009E4429" w:rsidP="00E17A00">
            <w:pPr>
              <w:spacing w:after="0" w:line="240" w:lineRule="auto"/>
              <w:jc w:val="right"/>
              <w:rPr>
                <w:rFonts w:eastAsia="Times New Roman" w:cstheme="minorHAnsi"/>
                <w:color w:val="000000"/>
                <w:lang w:eastAsia="en-IE"/>
              </w:rPr>
            </w:pPr>
            <w:r w:rsidRPr="00B97E75">
              <w:rPr>
                <w:rFonts w:eastAsia="Times New Roman" w:cstheme="minorHAnsi"/>
                <w:color w:val="000000"/>
                <w:lang w:eastAsia="en-IE"/>
              </w:rPr>
              <w:t>31</w:t>
            </w:r>
          </w:p>
        </w:tc>
      </w:tr>
      <w:tr w:rsidR="009E4429" w:rsidRPr="00B97E75" w:rsidTr="00E17A00">
        <w:trPr>
          <w:trHeight w:val="255"/>
        </w:trPr>
        <w:tc>
          <w:tcPr>
            <w:tcW w:w="2460" w:type="dxa"/>
            <w:tcBorders>
              <w:top w:val="nil"/>
              <w:left w:val="single" w:sz="8" w:space="0" w:color="auto"/>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540" w:type="dxa"/>
            <w:tcBorders>
              <w:top w:val="nil"/>
              <w:left w:val="nil"/>
              <w:bottom w:val="single" w:sz="8" w:space="0" w:color="auto"/>
              <w:right w:val="nil"/>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964" w:type="dxa"/>
            <w:tcBorders>
              <w:top w:val="nil"/>
              <w:left w:val="single" w:sz="8" w:space="0" w:color="auto"/>
              <w:bottom w:val="single" w:sz="8" w:space="0" w:color="auto"/>
              <w:right w:val="single" w:sz="8" w:space="0" w:color="auto"/>
            </w:tcBorders>
            <w:shd w:val="clear" w:color="auto" w:fill="auto"/>
            <w:vAlign w:val="center"/>
            <w:hideMark/>
          </w:tcPr>
          <w:p w:rsidR="009E4429" w:rsidRPr="00B97E75" w:rsidRDefault="009E4429" w:rsidP="00E17A00">
            <w:pPr>
              <w:spacing w:after="0" w:line="240" w:lineRule="auto"/>
              <w:jc w:val="right"/>
              <w:rPr>
                <w:rFonts w:eastAsia="Times New Roman" w:cstheme="minorHAnsi"/>
                <w:color w:val="000000"/>
                <w:lang w:eastAsia="en-IE"/>
              </w:rPr>
            </w:pPr>
            <w:r w:rsidRPr="00B97E75">
              <w:rPr>
                <w:rFonts w:eastAsia="Times New Roman" w:cstheme="minorHAnsi"/>
                <w:color w:val="000000"/>
                <w:lang w:eastAsia="en-IE"/>
              </w:rPr>
              <w:t>0</w:t>
            </w:r>
          </w:p>
        </w:tc>
      </w:tr>
      <w:tr w:rsidR="009E4429" w:rsidRPr="00B97E75" w:rsidTr="00E17A00">
        <w:trPr>
          <w:trHeight w:val="255"/>
        </w:trPr>
        <w:tc>
          <w:tcPr>
            <w:tcW w:w="2460" w:type="dxa"/>
            <w:tcBorders>
              <w:top w:val="nil"/>
              <w:left w:val="single" w:sz="8" w:space="0" w:color="auto"/>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1540" w:type="dxa"/>
            <w:tcBorders>
              <w:top w:val="nil"/>
              <w:left w:val="nil"/>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964" w:type="dxa"/>
            <w:tcBorders>
              <w:top w:val="nil"/>
              <w:left w:val="nil"/>
              <w:bottom w:val="single" w:sz="8" w:space="0" w:color="auto"/>
              <w:right w:val="single" w:sz="8" w:space="0" w:color="auto"/>
            </w:tcBorders>
            <w:shd w:val="clear" w:color="auto" w:fill="auto"/>
            <w:vAlign w:val="center"/>
            <w:hideMark/>
          </w:tcPr>
          <w:p w:rsidR="009E4429" w:rsidRPr="00B97E75" w:rsidRDefault="00E91F36" w:rsidP="00E17A00">
            <w:pPr>
              <w:spacing w:after="0" w:line="240" w:lineRule="auto"/>
              <w:jc w:val="right"/>
              <w:rPr>
                <w:rFonts w:eastAsia="Times New Roman" w:cstheme="minorHAnsi"/>
                <w:b/>
                <w:bCs/>
                <w:color w:val="000000"/>
                <w:lang w:eastAsia="en-IE"/>
              </w:rPr>
            </w:pPr>
            <w:r>
              <w:rPr>
                <w:rFonts w:eastAsia="Times New Roman" w:cstheme="minorHAnsi"/>
                <w:b/>
                <w:bCs/>
                <w:color w:val="000000"/>
                <w:lang w:eastAsia="en-IE"/>
              </w:rPr>
              <w:t>€172,844.00</w:t>
            </w:r>
          </w:p>
        </w:tc>
      </w:tr>
      <w:tr w:rsidR="009E4429" w:rsidRPr="00B97E75" w:rsidTr="00E17A00">
        <w:trPr>
          <w:trHeight w:val="255"/>
        </w:trPr>
        <w:tc>
          <w:tcPr>
            <w:tcW w:w="2460" w:type="dxa"/>
            <w:tcBorders>
              <w:top w:val="nil"/>
              <w:left w:val="single" w:sz="8" w:space="0" w:color="auto"/>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540" w:type="dxa"/>
            <w:tcBorders>
              <w:top w:val="nil"/>
              <w:left w:val="nil"/>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964" w:type="dxa"/>
            <w:tcBorders>
              <w:top w:val="nil"/>
              <w:left w:val="nil"/>
              <w:bottom w:val="single" w:sz="8" w:space="0" w:color="auto"/>
              <w:right w:val="single" w:sz="8" w:space="0" w:color="auto"/>
            </w:tcBorders>
            <w:shd w:val="clear" w:color="auto" w:fill="auto"/>
            <w:vAlign w:val="center"/>
            <w:hideMark/>
          </w:tcPr>
          <w:p w:rsidR="009E4429" w:rsidRPr="00B97E75" w:rsidRDefault="00E91F36" w:rsidP="00E17A00">
            <w:pPr>
              <w:spacing w:after="0" w:line="240" w:lineRule="auto"/>
              <w:jc w:val="right"/>
              <w:rPr>
                <w:rFonts w:eastAsia="Times New Roman" w:cstheme="minorHAnsi"/>
                <w:color w:val="000000"/>
                <w:lang w:eastAsia="en-IE"/>
              </w:rPr>
            </w:pPr>
            <w:r>
              <w:rPr>
                <w:rFonts w:eastAsia="Times New Roman" w:cstheme="minorHAnsi"/>
                <w:color w:val="000000"/>
                <w:lang w:eastAsia="en-IE"/>
              </w:rPr>
              <w:t>€1,213,250.68</w:t>
            </w:r>
          </w:p>
        </w:tc>
      </w:tr>
      <w:tr w:rsidR="009E4429" w:rsidRPr="00B97E75" w:rsidTr="00E17A00">
        <w:trPr>
          <w:trHeight w:val="255"/>
        </w:trPr>
        <w:tc>
          <w:tcPr>
            <w:tcW w:w="400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9E4429" w:rsidRPr="00B97E75" w:rsidRDefault="009E4429" w:rsidP="00771880">
            <w:pPr>
              <w:spacing w:after="0" w:line="240" w:lineRule="auto"/>
              <w:rPr>
                <w:rFonts w:eastAsia="Times New Roman" w:cstheme="minorHAnsi"/>
                <w:color w:val="000000"/>
                <w:lang w:eastAsia="en-IE"/>
              </w:rPr>
            </w:pPr>
            <w:r w:rsidRPr="00B97E75">
              <w:rPr>
                <w:rFonts w:eastAsia="Times New Roman" w:cstheme="minorHAnsi"/>
                <w:color w:val="000000"/>
                <w:lang w:eastAsia="en-IE"/>
              </w:rPr>
              <w:t>2012 Balance</w:t>
            </w:r>
          </w:p>
        </w:tc>
        <w:tc>
          <w:tcPr>
            <w:tcW w:w="1964" w:type="dxa"/>
            <w:tcBorders>
              <w:top w:val="nil"/>
              <w:left w:val="nil"/>
              <w:bottom w:val="single" w:sz="8" w:space="0" w:color="auto"/>
              <w:right w:val="single" w:sz="8" w:space="0" w:color="auto"/>
            </w:tcBorders>
            <w:shd w:val="clear" w:color="auto" w:fill="B6DDE8" w:themeFill="accent5" w:themeFillTint="66"/>
            <w:vAlign w:val="center"/>
            <w:hideMark/>
          </w:tcPr>
          <w:p w:rsidR="009E4429" w:rsidRPr="00B97E75" w:rsidRDefault="009E4429" w:rsidP="00E17A00">
            <w:pPr>
              <w:spacing w:after="0" w:line="240" w:lineRule="auto"/>
              <w:jc w:val="right"/>
              <w:rPr>
                <w:rFonts w:eastAsia="Times New Roman" w:cstheme="minorHAnsi"/>
                <w:b/>
                <w:bCs/>
                <w:color w:val="000000"/>
                <w:lang w:eastAsia="en-IE"/>
              </w:rPr>
            </w:pPr>
            <w:r w:rsidRPr="00B97E75">
              <w:rPr>
                <w:rFonts w:eastAsia="Times New Roman" w:cstheme="minorHAnsi"/>
                <w:b/>
                <w:bCs/>
                <w:color w:val="000000"/>
                <w:lang w:eastAsia="en-IE"/>
              </w:rPr>
              <w:t> </w:t>
            </w:r>
          </w:p>
        </w:tc>
      </w:tr>
      <w:tr w:rsidR="009E4429" w:rsidRPr="00B97E75" w:rsidTr="00E17A00">
        <w:trPr>
          <w:trHeight w:val="255"/>
        </w:trPr>
        <w:tc>
          <w:tcPr>
            <w:tcW w:w="2460" w:type="dxa"/>
            <w:tcBorders>
              <w:top w:val="nil"/>
              <w:left w:val="single" w:sz="8" w:space="0" w:color="auto"/>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1540" w:type="dxa"/>
            <w:tcBorders>
              <w:top w:val="nil"/>
              <w:left w:val="nil"/>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964" w:type="dxa"/>
            <w:tcBorders>
              <w:top w:val="nil"/>
              <w:left w:val="nil"/>
              <w:bottom w:val="single" w:sz="8" w:space="0" w:color="auto"/>
              <w:right w:val="single" w:sz="8" w:space="0" w:color="auto"/>
            </w:tcBorders>
            <w:shd w:val="clear" w:color="auto" w:fill="auto"/>
            <w:vAlign w:val="center"/>
            <w:hideMark/>
          </w:tcPr>
          <w:p w:rsidR="009E4429" w:rsidRPr="00B97E75" w:rsidRDefault="009E4429" w:rsidP="00E17A00">
            <w:pPr>
              <w:spacing w:after="0" w:line="240" w:lineRule="auto"/>
              <w:jc w:val="right"/>
              <w:rPr>
                <w:rFonts w:eastAsia="Times New Roman" w:cstheme="minorHAnsi"/>
                <w:color w:val="000000"/>
                <w:lang w:eastAsia="en-IE"/>
              </w:rPr>
            </w:pPr>
            <w:r w:rsidRPr="00B97E75">
              <w:rPr>
                <w:rFonts w:eastAsia="Times New Roman" w:cstheme="minorHAnsi"/>
                <w:color w:val="000000"/>
                <w:lang w:eastAsia="en-IE"/>
              </w:rPr>
              <w:t>31</w:t>
            </w:r>
          </w:p>
        </w:tc>
      </w:tr>
      <w:tr w:rsidR="009E4429" w:rsidRPr="00B97E75" w:rsidTr="00E17A00">
        <w:trPr>
          <w:trHeight w:val="255"/>
        </w:trPr>
        <w:tc>
          <w:tcPr>
            <w:tcW w:w="2460" w:type="dxa"/>
            <w:tcBorders>
              <w:top w:val="nil"/>
              <w:left w:val="single" w:sz="8" w:space="0" w:color="auto"/>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540" w:type="dxa"/>
            <w:tcBorders>
              <w:top w:val="nil"/>
              <w:left w:val="nil"/>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964" w:type="dxa"/>
            <w:tcBorders>
              <w:top w:val="nil"/>
              <w:left w:val="nil"/>
              <w:bottom w:val="single" w:sz="8" w:space="0" w:color="auto"/>
              <w:right w:val="single" w:sz="8" w:space="0" w:color="auto"/>
            </w:tcBorders>
            <w:shd w:val="clear" w:color="auto" w:fill="auto"/>
            <w:vAlign w:val="center"/>
            <w:hideMark/>
          </w:tcPr>
          <w:p w:rsidR="009E4429" w:rsidRPr="00B97E75" w:rsidRDefault="009E4429" w:rsidP="00E17A00">
            <w:pPr>
              <w:spacing w:after="0" w:line="240" w:lineRule="auto"/>
              <w:jc w:val="right"/>
              <w:rPr>
                <w:rFonts w:eastAsia="Times New Roman" w:cstheme="minorHAnsi"/>
                <w:color w:val="000000"/>
                <w:lang w:eastAsia="en-IE"/>
              </w:rPr>
            </w:pPr>
            <w:r w:rsidRPr="00B97E75">
              <w:rPr>
                <w:rFonts w:eastAsia="Times New Roman" w:cstheme="minorHAnsi"/>
                <w:color w:val="000000"/>
                <w:lang w:eastAsia="en-IE"/>
              </w:rPr>
              <w:t>0</w:t>
            </w:r>
          </w:p>
        </w:tc>
      </w:tr>
      <w:tr w:rsidR="009E4429" w:rsidRPr="00B97E75" w:rsidTr="00E17A00">
        <w:trPr>
          <w:trHeight w:val="255"/>
        </w:trPr>
        <w:tc>
          <w:tcPr>
            <w:tcW w:w="2460" w:type="dxa"/>
            <w:tcBorders>
              <w:top w:val="nil"/>
              <w:left w:val="single" w:sz="8" w:space="0" w:color="auto"/>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1540" w:type="dxa"/>
            <w:tcBorders>
              <w:top w:val="nil"/>
              <w:left w:val="nil"/>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964" w:type="dxa"/>
            <w:tcBorders>
              <w:top w:val="nil"/>
              <w:left w:val="nil"/>
              <w:bottom w:val="single" w:sz="8" w:space="0" w:color="auto"/>
              <w:right w:val="single" w:sz="8" w:space="0" w:color="auto"/>
            </w:tcBorders>
            <w:shd w:val="clear" w:color="auto" w:fill="auto"/>
            <w:vAlign w:val="center"/>
            <w:hideMark/>
          </w:tcPr>
          <w:p w:rsidR="009E4429" w:rsidRPr="00B97E75" w:rsidRDefault="00E91F36" w:rsidP="00E17A00">
            <w:pPr>
              <w:spacing w:after="0" w:line="240" w:lineRule="auto"/>
              <w:jc w:val="right"/>
              <w:rPr>
                <w:rFonts w:eastAsia="Times New Roman" w:cstheme="minorHAnsi"/>
                <w:b/>
                <w:bCs/>
                <w:color w:val="000000"/>
                <w:lang w:eastAsia="en-IE"/>
              </w:rPr>
            </w:pPr>
            <w:r>
              <w:rPr>
                <w:rFonts w:eastAsia="Times New Roman" w:cstheme="minorHAnsi"/>
                <w:b/>
                <w:bCs/>
                <w:color w:val="000000"/>
                <w:lang w:eastAsia="en-IE"/>
              </w:rPr>
              <w:t>€155,280.00</w:t>
            </w:r>
          </w:p>
        </w:tc>
      </w:tr>
      <w:tr w:rsidR="009E4429" w:rsidRPr="00B97E75" w:rsidTr="00E17A00">
        <w:trPr>
          <w:trHeight w:val="255"/>
        </w:trPr>
        <w:tc>
          <w:tcPr>
            <w:tcW w:w="2460" w:type="dxa"/>
            <w:tcBorders>
              <w:top w:val="nil"/>
              <w:left w:val="single" w:sz="8" w:space="0" w:color="auto"/>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540" w:type="dxa"/>
            <w:tcBorders>
              <w:top w:val="nil"/>
              <w:left w:val="nil"/>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964" w:type="dxa"/>
            <w:tcBorders>
              <w:top w:val="nil"/>
              <w:left w:val="nil"/>
              <w:bottom w:val="single" w:sz="8" w:space="0" w:color="auto"/>
              <w:right w:val="single" w:sz="8" w:space="0" w:color="auto"/>
            </w:tcBorders>
            <w:shd w:val="clear" w:color="auto" w:fill="auto"/>
            <w:vAlign w:val="center"/>
            <w:hideMark/>
          </w:tcPr>
          <w:p w:rsidR="009E4429" w:rsidRPr="00B97E75" w:rsidRDefault="00E91F36" w:rsidP="00E17A00">
            <w:pPr>
              <w:spacing w:after="0" w:line="240" w:lineRule="auto"/>
              <w:jc w:val="right"/>
              <w:rPr>
                <w:rFonts w:eastAsia="Times New Roman" w:cstheme="minorHAnsi"/>
                <w:color w:val="000000"/>
                <w:lang w:eastAsia="en-IE"/>
              </w:rPr>
            </w:pPr>
            <w:r>
              <w:rPr>
                <w:rFonts w:eastAsia="Times New Roman" w:cstheme="minorHAnsi"/>
                <w:color w:val="000000"/>
                <w:lang w:eastAsia="en-IE"/>
              </w:rPr>
              <w:t>€400,817.81</w:t>
            </w:r>
          </w:p>
        </w:tc>
      </w:tr>
      <w:tr w:rsidR="009E4429" w:rsidRPr="00B97E75" w:rsidTr="00E17A00">
        <w:trPr>
          <w:trHeight w:val="255"/>
        </w:trPr>
        <w:tc>
          <w:tcPr>
            <w:tcW w:w="400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9E4429" w:rsidRPr="00B97E75" w:rsidRDefault="009E4429" w:rsidP="00771880">
            <w:pPr>
              <w:spacing w:after="0" w:line="240" w:lineRule="auto"/>
              <w:rPr>
                <w:rFonts w:eastAsia="Times New Roman" w:cstheme="minorHAnsi"/>
                <w:color w:val="000000"/>
                <w:lang w:eastAsia="en-IE"/>
              </w:rPr>
            </w:pPr>
            <w:r w:rsidRPr="00B97E75">
              <w:rPr>
                <w:rFonts w:eastAsia="Times New Roman" w:cstheme="minorHAnsi"/>
                <w:color w:val="000000"/>
                <w:lang w:eastAsia="en-IE"/>
              </w:rPr>
              <w:t>2013 Balance</w:t>
            </w:r>
          </w:p>
        </w:tc>
        <w:tc>
          <w:tcPr>
            <w:tcW w:w="1964" w:type="dxa"/>
            <w:tcBorders>
              <w:top w:val="nil"/>
              <w:left w:val="nil"/>
              <w:bottom w:val="single" w:sz="8" w:space="0" w:color="auto"/>
              <w:right w:val="single" w:sz="8" w:space="0" w:color="auto"/>
            </w:tcBorders>
            <w:shd w:val="clear" w:color="auto" w:fill="B6DDE8" w:themeFill="accent5" w:themeFillTint="66"/>
            <w:vAlign w:val="center"/>
            <w:hideMark/>
          </w:tcPr>
          <w:p w:rsidR="009E4429" w:rsidRPr="00B97E75" w:rsidRDefault="009E4429" w:rsidP="00E17A00">
            <w:pPr>
              <w:spacing w:after="0" w:line="240" w:lineRule="auto"/>
              <w:jc w:val="right"/>
              <w:rPr>
                <w:rFonts w:eastAsia="Times New Roman" w:cstheme="minorHAnsi"/>
                <w:b/>
                <w:bCs/>
                <w:color w:val="000000"/>
                <w:lang w:eastAsia="en-IE"/>
              </w:rPr>
            </w:pPr>
            <w:r w:rsidRPr="00B97E75">
              <w:rPr>
                <w:rFonts w:eastAsia="Times New Roman" w:cstheme="minorHAnsi"/>
                <w:b/>
                <w:bCs/>
                <w:color w:val="000000"/>
                <w:lang w:eastAsia="en-IE"/>
              </w:rPr>
              <w:t> </w:t>
            </w:r>
          </w:p>
        </w:tc>
      </w:tr>
      <w:tr w:rsidR="009E4429" w:rsidRPr="00B97E75" w:rsidTr="00E17A00">
        <w:trPr>
          <w:trHeight w:val="255"/>
        </w:trPr>
        <w:tc>
          <w:tcPr>
            <w:tcW w:w="2460" w:type="dxa"/>
            <w:tcBorders>
              <w:top w:val="nil"/>
              <w:left w:val="single" w:sz="8" w:space="0" w:color="auto"/>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1540" w:type="dxa"/>
            <w:tcBorders>
              <w:top w:val="nil"/>
              <w:left w:val="nil"/>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964" w:type="dxa"/>
            <w:tcBorders>
              <w:top w:val="nil"/>
              <w:left w:val="nil"/>
              <w:bottom w:val="single" w:sz="8" w:space="0" w:color="auto"/>
              <w:right w:val="single" w:sz="8" w:space="0" w:color="auto"/>
            </w:tcBorders>
            <w:shd w:val="clear" w:color="auto" w:fill="auto"/>
            <w:vAlign w:val="center"/>
            <w:hideMark/>
          </w:tcPr>
          <w:p w:rsidR="009E4429" w:rsidRPr="00B97E75" w:rsidRDefault="009E4429" w:rsidP="00E17A00">
            <w:pPr>
              <w:spacing w:after="0" w:line="240" w:lineRule="auto"/>
              <w:jc w:val="right"/>
              <w:rPr>
                <w:rFonts w:eastAsia="Times New Roman" w:cstheme="minorHAnsi"/>
                <w:color w:val="000000"/>
                <w:lang w:eastAsia="en-IE"/>
              </w:rPr>
            </w:pPr>
            <w:r w:rsidRPr="00B97E75">
              <w:rPr>
                <w:rFonts w:eastAsia="Times New Roman" w:cstheme="minorHAnsi"/>
                <w:color w:val="000000"/>
                <w:lang w:eastAsia="en-IE"/>
              </w:rPr>
              <w:t>31</w:t>
            </w:r>
          </w:p>
        </w:tc>
      </w:tr>
      <w:tr w:rsidR="009E4429" w:rsidRPr="00B97E75" w:rsidTr="00E17A00">
        <w:trPr>
          <w:trHeight w:val="255"/>
        </w:trPr>
        <w:tc>
          <w:tcPr>
            <w:tcW w:w="2460" w:type="dxa"/>
            <w:tcBorders>
              <w:top w:val="nil"/>
              <w:left w:val="single" w:sz="8" w:space="0" w:color="auto"/>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540" w:type="dxa"/>
            <w:tcBorders>
              <w:top w:val="nil"/>
              <w:left w:val="nil"/>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964" w:type="dxa"/>
            <w:tcBorders>
              <w:top w:val="nil"/>
              <w:left w:val="nil"/>
              <w:bottom w:val="single" w:sz="8" w:space="0" w:color="auto"/>
              <w:right w:val="single" w:sz="8" w:space="0" w:color="auto"/>
            </w:tcBorders>
            <w:shd w:val="clear" w:color="auto" w:fill="auto"/>
            <w:vAlign w:val="center"/>
            <w:hideMark/>
          </w:tcPr>
          <w:p w:rsidR="009E4429" w:rsidRPr="00B97E75" w:rsidRDefault="009E4429" w:rsidP="00E17A00">
            <w:pPr>
              <w:spacing w:after="0" w:line="240" w:lineRule="auto"/>
              <w:jc w:val="right"/>
              <w:rPr>
                <w:rFonts w:eastAsia="Times New Roman" w:cstheme="minorHAnsi"/>
                <w:color w:val="000000"/>
                <w:lang w:eastAsia="en-IE"/>
              </w:rPr>
            </w:pPr>
            <w:r w:rsidRPr="00B97E75">
              <w:rPr>
                <w:rFonts w:eastAsia="Times New Roman" w:cstheme="minorHAnsi"/>
                <w:color w:val="000000"/>
                <w:lang w:eastAsia="en-IE"/>
              </w:rPr>
              <w:t>0</w:t>
            </w:r>
          </w:p>
        </w:tc>
      </w:tr>
      <w:tr w:rsidR="009E4429" w:rsidRPr="00B97E75" w:rsidTr="00E17A00">
        <w:trPr>
          <w:trHeight w:val="255"/>
        </w:trPr>
        <w:tc>
          <w:tcPr>
            <w:tcW w:w="2460" w:type="dxa"/>
            <w:tcBorders>
              <w:top w:val="nil"/>
              <w:left w:val="single" w:sz="8" w:space="0" w:color="auto"/>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1540" w:type="dxa"/>
            <w:tcBorders>
              <w:top w:val="nil"/>
              <w:left w:val="nil"/>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964" w:type="dxa"/>
            <w:tcBorders>
              <w:top w:val="nil"/>
              <w:left w:val="nil"/>
              <w:bottom w:val="single" w:sz="8" w:space="0" w:color="auto"/>
              <w:right w:val="single" w:sz="8" w:space="0" w:color="auto"/>
            </w:tcBorders>
            <w:shd w:val="clear" w:color="auto" w:fill="auto"/>
            <w:vAlign w:val="center"/>
            <w:hideMark/>
          </w:tcPr>
          <w:p w:rsidR="009E4429" w:rsidRPr="00B97E75" w:rsidRDefault="00E91F36" w:rsidP="00E17A00">
            <w:pPr>
              <w:spacing w:after="0" w:line="240" w:lineRule="auto"/>
              <w:jc w:val="right"/>
              <w:rPr>
                <w:rFonts w:eastAsia="Times New Roman" w:cstheme="minorHAnsi"/>
                <w:b/>
                <w:bCs/>
                <w:color w:val="000000"/>
                <w:lang w:eastAsia="en-IE"/>
              </w:rPr>
            </w:pPr>
            <w:r>
              <w:rPr>
                <w:rFonts w:eastAsia="Times New Roman" w:cstheme="minorHAnsi"/>
                <w:b/>
                <w:bCs/>
                <w:color w:val="000000"/>
                <w:lang w:eastAsia="en-IE"/>
              </w:rPr>
              <w:t>€138,666.00</w:t>
            </w:r>
          </w:p>
        </w:tc>
      </w:tr>
      <w:tr w:rsidR="009E4429" w:rsidRPr="00B97E75" w:rsidTr="00E17A00">
        <w:trPr>
          <w:trHeight w:val="255"/>
        </w:trPr>
        <w:tc>
          <w:tcPr>
            <w:tcW w:w="2460" w:type="dxa"/>
            <w:tcBorders>
              <w:top w:val="nil"/>
              <w:left w:val="single" w:sz="8" w:space="0" w:color="auto"/>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540" w:type="dxa"/>
            <w:tcBorders>
              <w:top w:val="nil"/>
              <w:left w:val="nil"/>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964" w:type="dxa"/>
            <w:tcBorders>
              <w:top w:val="nil"/>
              <w:left w:val="nil"/>
              <w:bottom w:val="single" w:sz="8" w:space="0" w:color="auto"/>
              <w:right w:val="single" w:sz="8" w:space="0" w:color="auto"/>
            </w:tcBorders>
            <w:shd w:val="clear" w:color="auto" w:fill="auto"/>
            <w:vAlign w:val="center"/>
            <w:hideMark/>
          </w:tcPr>
          <w:p w:rsidR="009E4429" w:rsidRPr="00B97E75" w:rsidRDefault="00E91F36" w:rsidP="00E17A00">
            <w:pPr>
              <w:spacing w:after="0" w:line="240" w:lineRule="auto"/>
              <w:jc w:val="right"/>
              <w:rPr>
                <w:rFonts w:eastAsia="Times New Roman" w:cstheme="minorHAnsi"/>
                <w:color w:val="000000"/>
                <w:lang w:eastAsia="en-IE"/>
              </w:rPr>
            </w:pPr>
            <w:r>
              <w:rPr>
                <w:rFonts w:eastAsia="Times New Roman" w:cstheme="minorHAnsi"/>
                <w:color w:val="000000"/>
                <w:lang w:eastAsia="en-IE"/>
              </w:rPr>
              <w:t>€362,802.52</w:t>
            </w:r>
          </w:p>
        </w:tc>
      </w:tr>
      <w:tr w:rsidR="009E4429" w:rsidRPr="00B97E75" w:rsidTr="00E17A00">
        <w:trPr>
          <w:trHeight w:val="255"/>
        </w:trPr>
        <w:tc>
          <w:tcPr>
            <w:tcW w:w="400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9E4429" w:rsidRPr="00B97E75" w:rsidRDefault="009E4429" w:rsidP="00771880">
            <w:pPr>
              <w:spacing w:after="0" w:line="240" w:lineRule="auto"/>
              <w:rPr>
                <w:rFonts w:eastAsia="Times New Roman" w:cstheme="minorHAnsi"/>
                <w:color w:val="000000"/>
                <w:lang w:eastAsia="en-IE"/>
              </w:rPr>
            </w:pPr>
            <w:r w:rsidRPr="00B97E75">
              <w:rPr>
                <w:rFonts w:eastAsia="Times New Roman" w:cstheme="minorHAnsi"/>
                <w:color w:val="000000"/>
                <w:lang w:eastAsia="en-IE"/>
              </w:rPr>
              <w:t>2014 Balance</w:t>
            </w:r>
          </w:p>
        </w:tc>
        <w:tc>
          <w:tcPr>
            <w:tcW w:w="1964" w:type="dxa"/>
            <w:tcBorders>
              <w:top w:val="nil"/>
              <w:left w:val="nil"/>
              <w:bottom w:val="single" w:sz="8" w:space="0" w:color="auto"/>
              <w:right w:val="single" w:sz="8" w:space="0" w:color="auto"/>
            </w:tcBorders>
            <w:shd w:val="clear" w:color="auto" w:fill="B6DDE8" w:themeFill="accent5" w:themeFillTint="66"/>
            <w:vAlign w:val="center"/>
            <w:hideMark/>
          </w:tcPr>
          <w:p w:rsidR="009E4429" w:rsidRPr="00B97E75" w:rsidRDefault="009E4429" w:rsidP="00E17A00">
            <w:pPr>
              <w:spacing w:after="0" w:line="240" w:lineRule="auto"/>
              <w:jc w:val="right"/>
              <w:rPr>
                <w:rFonts w:eastAsia="Times New Roman" w:cstheme="minorHAnsi"/>
                <w:b/>
                <w:bCs/>
                <w:color w:val="000000"/>
                <w:lang w:eastAsia="en-IE"/>
              </w:rPr>
            </w:pPr>
            <w:r w:rsidRPr="00B97E75">
              <w:rPr>
                <w:rFonts w:eastAsia="Times New Roman" w:cstheme="minorHAnsi"/>
                <w:b/>
                <w:bCs/>
                <w:color w:val="000000"/>
                <w:lang w:eastAsia="en-IE"/>
              </w:rPr>
              <w:t> </w:t>
            </w:r>
          </w:p>
        </w:tc>
      </w:tr>
      <w:tr w:rsidR="009E4429" w:rsidRPr="00B97E75" w:rsidTr="00E17A00">
        <w:trPr>
          <w:trHeight w:val="255"/>
        </w:trPr>
        <w:tc>
          <w:tcPr>
            <w:tcW w:w="2460" w:type="dxa"/>
            <w:tcBorders>
              <w:top w:val="nil"/>
              <w:left w:val="single" w:sz="8" w:space="0" w:color="auto"/>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1540" w:type="dxa"/>
            <w:tcBorders>
              <w:top w:val="nil"/>
              <w:left w:val="nil"/>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964" w:type="dxa"/>
            <w:tcBorders>
              <w:top w:val="nil"/>
              <w:left w:val="nil"/>
              <w:bottom w:val="single" w:sz="8" w:space="0" w:color="auto"/>
              <w:right w:val="single" w:sz="8" w:space="0" w:color="auto"/>
            </w:tcBorders>
            <w:shd w:val="clear" w:color="auto" w:fill="auto"/>
            <w:vAlign w:val="center"/>
            <w:hideMark/>
          </w:tcPr>
          <w:p w:rsidR="009E4429" w:rsidRPr="00B97E75" w:rsidRDefault="009E4429" w:rsidP="00E17A00">
            <w:pPr>
              <w:spacing w:after="0" w:line="240" w:lineRule="auto"/>
              <w:jc w:val="right"/>
              <w:rPr>
                <w:rFonts w:eastAsia="Times New Roman" w:cstheme="minorHAnsi"/>
                <w:color w:val="000000"/>
                <w:lang w:eastAsia="en-IE"/>
              </w:rPr>
            </w:pPr>
            <w:r w:rsidRPr="00B97E75">
              <w:rPr>
                <w:rFonts w:eastAsia="Times New Roman" w:cstheme="minorHAnsi"/>
                <w:color w:val="000000"/>
                <w:lang w:eastAsia="en-IE"/>
              </w:rPr>
              <w:t>31</w:t>
            </w:r>
          </w:p>
        </w:tc>
      </w:tr>
      <w:tr w:rsidR="009E4429" w:rsidRPr="00B97E75" w:rsidTr="00E17A00">
        <w:trPr>
          <w:trHeight w:val="255"/>
        </w:trPr>
        <w:tc>
          <w:tcPr>
            <w:tcW w:w="2460" w:type="dxa"/>
            <w:tcBorders>
              <w:top w:val="nil"/>
              <w:left w:val="single" w:sz="8" w:space="0" w:color="auto"/>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540" w:type="dxa"/>
            <w:tcBorders>
              <w:top w:val="nil"/>
              <w:left w:val="nil"/>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964" w:type="dxa"/>
            <w:tcBorders>
              <w:top w:val="nil"/>
              <w:left w:val="nil"/>
              <w:bottom w:val="single" w:sz="8" w:space="0" w:color="auto"/>
              <w:right w:val="single" w:sz="8" w:space="0" w:color="auto"/>
            </w:tcBorders>
            <w:shd w:val="clear" w:color="auto" w:fill="auto"/>
            <w:vAlign w:val="center"/>
            <w:hideMark/>
          </w:tcPr>
          <w:p w:rsidR="009E4429" w:rsidRPr="00B97E75" w:rsidRDefault="009E4429" w:rsidP="00E17A00">
            <w:pPr>
              <w:spacing w:after="0" w:line="240" w:lineRule="auto"/>
              <w:jc w:val="right"/>
              <w:rPr>
                <w:rFonts w:eastAsia="Times New Roman" w:cstheme="minorHAnsi"/>
                <w:color w:val="000000"/>
                <w:lang w:eastAsia="en-IE"/>
              </w:rPr>
            </w:pPr>
            <w:r w:rsidRPr="00B97E75">
              <w:rPr>
                <w:rFonts w:eastAsia="Times New Roman" w:cstheme="minorHAnsi"/>
                <w:color w:val="000000"/>
                <w:lang w:eastAsia="en-IE"/>
              </w:rPr>
              <w:t>0</w:t>
            </w:r>
          </w:p>
        </w:tc>
      </w:tr>
      <w:tr w:rsidR="009E4429" w:rsidRPr="00B97E75" w:rsidTr="00E17A00">
        <w:trPr>
          <w:trHeight w:val="255"/>
        </w:trPr>
        <w:tc>
          <w:tcPr>
            <w:tcW w:w="2460" w:type="dxa"/>
            <w:tcBorders>
              <w:top w:val="nil"/>
              <w:left w:val="single" w:sz="8" w:space="0" w:color="auto"/>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1540" w:type="dxa"/>
            <w:tcBorders>
              <w:top w:val="nil"/>
              <w:left w:val="nil"/>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964" w:type="dxa"/>
            <w:tcBorders>
              <w:top w:val="nil"/>
              <w:left w:val="nil"/>
              <w:bottom w:val="single" w:sz="8" w:space="0" w:color="auto"/>
              <w:right w:val="single" w:sz="8" w:space="0" w:color="auto"/>
            </w:tcBorders>
            <w:shd w:val="clear" w:color="auto" w:fill="auto"/>
            <w:vAlign w:val="center"/>
            <w:hideMark/>
          </w:tcPr>
          <w:p w:rsidR="009E4429" w:rsidRPr="00B97E75" w:rsidRDefault="009E4429" w:rsidP="00E17A00">
            <w:pPr>
              <w:spacing w:after="0" w:line="240" w:lineRule="auto"/>
              <w:jc w:val="right"/>
              <w:rPr>
                <w:rFonts w:eastAsia="Times New Roman" w:cstheme="minorHAnsi"/>
                <w:b/>
                <w:bCs/>
                <w:color w:val="000000"/>
                <w:lang w:eastAsia="en-IE"/>
              </w:rPr>
            </w:pPr>
            <w:r w:rsidRPr="00B97E75">
              <w:rPr>
                <w:rFonts w:eastAsia="Times New Roman" w:cstheme="minorHAnsi"/>
                <w:b/>
                <w:bCs/>
                <w:color w:val="000000"/>
                <w:lang w:eastAsia="en-IE"/>
              </w:rPr>
              <w:t>-€68,390.00</w:t>
            </w:r>
          </w:p>
        </w:tc>
      </w:tr>
      <w:tr w:rsidR="009E4429" w:rsidRPr="00B97E75" w:rsidTr="00E17A00">
        <w:trPr>
          <w:trHeight w:val="331"/>
        </w:trPr>
        <w:tc>
          <w:tcPr>
            <w:tcW w:w="2460" w:type="dxa"/>
            <w:tcBorders>
              <w:top w:val="nil"/>
              <w:left w:val="single" w:sz="8" w:space="0" w:color="auto"/>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540" w:type="dxa"/>
            <w:tcBorders>
              <w:top w:val="nil"/>
              <w:left w:val="nil"/>
              <w:bottom w:val="single" w:sz="8" w:space="0" w:color="auto"/>
              <w:right w:val="single" w:sz="8" w:space="0" w:color="auto"/>
            </w:tcBorders>
            <w:shd w:val="clear" w:color="auto" w:fill="auto"/>
            <w:hideMark/>
          </w:tcPr>
          <w:p w:rsidR="009E4429" w:rsidRPr="00B97E75" w:rsidRDefault="009E4429" w:rsidP="009E4429">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964" w:type="dxa"/>
            <w:tcBorders>
              <w:top w:val="nil"/>
              <w:left w:val="nil"/>
              <w:bottom w:val="single" w:sz="8" w:space="0" w:color="auto"/>
              <w:right w:val="single" w:sz="8" w:space="0" w:color="auto"/>
            </w:tcBorders>
            <w:shd w:val="clear" w:color="auto" w:fill="auto"/>
            <w:vAlign w:val="center"/>
            <w:hideMark/>
          </w:tcPr>
          <w:p w:rsidR="009E4429" w:rsidRPr="00B97E75" w:rsidRDefault="009E4429" w:rsidP="00E17A00">
            <w:pPr>
              <w:spacing w:after="0" w:line="240" w:lineRule="auto"/>
              <w:jc w:val="right"/>
              <w:rPr>
                <w:rFonts w:eastAsia="Times New Roman" w:cstheme="minorHAnsi"/>
                <w:color w:val="000000"/>
                <w:lang w:eastAsia="en-IE"/>
              </w:rPr>
            </w:pPr>
            <w:r w:rsidRPr="00B97E75">
              <w:rPr>
                <w:rFonts w:eastAsia="Times New Roman" w:cstheme="minorHAnsi"/>
                <w:color w:val="000000"/>
                <w:lang w:eastAsia="en-IE"/>
              </w:rPr>
              <w:t>€</w:t>
            </w:r>
            <w:r w:rsidR="009309DA">
              <w:rPr>
                <w:rFonts w:eastAsia="Times New Roman" w:cstheme="minorHAnsi"/>
                <w:color w:val="000000"/>
                <w:lang w:eastAsia="en-IE"/>
              </w:rPr>
              <w:t>108,440.61</w:t>
            </w:r>
          </w:p>
        </w:tc>
      </w:tr>
    </w:tbl>
    <w:p w:rsidR="00ED3121" w:rsidRPr="00B97E75" w:rsidRDefault="00ED3121" w:rsidP="00E972EB">
      <w:pPr>
        <w:rPr>
          <w:rFonts w:eastAsia="Times New Roman" w:cstheme="minorHAnsi"/>
          <w:b/>
          <w:bCs/>
          <w:color w:val="000000"/>
          <w:lang w:eastAsia="en-IE"/>
        </w:rPr>
      </w:pPr>
    </w:p>
    <w:p w:rsidR="000271F2" w:rsidRPr="00B97E75" w:rsidRDefault="000271F2" w:rsidP="00E972EB">
      <w:pPr>
        <w:rPr>
          <w:rFonts w:eastAsia="Times New Roman" w:cstheme="minorHAnsi"/>
          <w:b/>
          <w:bCs/>
          <w:color w:val="000000"/>
          <w:lang w:eastAsia="en-IE"/>
        </w:rPr>
      </w:pPr>
    </w:p>
    <w:p w:rsidR="000271F2" w:rsidRPr="00B97E75" w:rsidRDefault="000271F2" w:rsidP="00E972EB">
      <w:pPr>
        <w:rPr>
          <w:rFonts w:eastAsia="Times New Roman" w:cstheme="minorHAnsi"/>
          <w:b/>
          <w:bCs/>
          <w:color w:val="000000"/>
          <w:lang w:eastAsia="en-IE"/>
        </w:rPr>
      </w:pPr>
    </w:p>
    <w:p w:rsidR="00BD7B3E" w:rsidRPr="00B97E75" w:rsidRDefault="00BD7B3E" w:rsidP="00E972EB">
      <w:pPr>
        <w:rPr>
          <w:rFonts w:eastAsia="Times New Roman" w:cstheme="minorHAnsi"/>
          <w:b/>
          <w:bCs/>
          <w:color w:val="000000"/>
          <w:lang w:eastAsia="en-IE"/>
        </w:rPr>
      </w:pPr>
    </w:p>
    <w:p w:rsidR="00BD7B3E" w:rsidRPr="00B97E75" w:rsidRDefault="00BD7B3E" w:rsidP="00E972EB">
      <w:pPr>
        <w:rPr>
          <w:rFonts w:eastAsia="Times New Roman" w:cstheme="minorHAnsi"/>
          <w:b/>
          <w:bCs/>
          <w:color w:val="000000"/>
          <w:lang w:eastAsia="en-IE"/>
        </w:rPr>
      </w:pPr>
    </w:p>
    <w:p w:rsidR="00BD7B3E" w:rsidRPr="00B97E75" w:rsidRDefault="00BD7B3E" w:rsidP="00E972EB">
      <w:pPr>
        <w:rPr>
          <w:rFonts w:eastAsia="Times New Roman" w:cstheme="minorHAnsi"/>
          <w:b/>
          <w:bCs/>
          <w:color w:val="000000"/>
          <w:lang w:eastAsia="en-IE"/>
        </w:rPr>
      </w:pPr>
    </w:p>
    <w:p w:rsidR="003E275F" w:rsidRPr="00B97E75" w:rsidRDefault="003E275F" w:rsidP="00E972EB">
      <w:pPr>
        <w:rPr>
          <w:rFonts w:eastAsia="Times New Roman" w:cstheme="minorHAnsi"/>
          <w:b/>
          <w:bCs/>
          <w:color w:val="000000"/>
          <w:lang w:eastAsia="en-IE"/>
        </w:rPr>
      </w:pPr>
    </w:p>
    <w:p w:rsidR="00033D51" w:rsidRPr="00B97E75" w:rsidRDefault="00033D51" w:rsidP="00E972EB">
      <w:pPr>
        <w:rPr>
          <w:rFonts w:eastAsia="Times New Roman" w:cstheme="minorHAnsi"/>
          <w:b/>
          <w:bCs/>
          <w:color w:val="000000"/>
          <w:lang w:eastAsia="en-IE"/>
        </w:rPr>
      </w:pPr>
    </w:p>
    <w:p w:rsidR="00E91F36" w:rsidRDefault="00E91F36" w:rsidP="003C4E40">
      <w:pPr>
        <w:pStyle w:val="PITableHeading"/>
        <w:rPr>
          <w:rFonts w:asciiTheme="minorHAnsi" w:hAnsiTheme="minorHAnsi" w:cstheme="minorHAnsi"/>
          <w:sz w:val="22"/>
          <w:szCs w:val="22"/>
        </w:rPr>
      </w:pPr>
    </w:p>
    <w:p w:rsidR="009B2C89" w:rsidRDefault="009B2C89">
      <w:pPr>
        <w:rPr>
          <w:rFonts w:eastAsia="Times New Roman" w:cstheme="minorHAnsi"/>
          <w:b/>
          <w:bCs/>
          <w:color w:val="000000"/>
          <w:lang w:eastAsia="en-IE"/>
        </w:rPr>
      </w:pPr>
      <w:r>
        <w:rPr>
          <w:rFonts w:cstheme="minorHAnsi"/>
        </w:rPr>
        <w:br w:type="page"/>
      </w:r>
    </w:p>
    <w:p w:rsidR="00491969" w:rsidRPr="00D91732" w:rsidRDefault="00B70292" w:rsidP="003C4E40">
      <w:pPr>
        <w:pStyle w:val="PITableHeading"/>
        <w:rPr>
          <w:rFonts w:asciiTheme="minorHAnsi" w:hAnsiTheme="minorHAnsi" w:cstheme="minorHAnsi"/>
          <w:b w:val="0"/>
          <w:sz w:val="22"/>
          <w:szCs w:val="22"/>
        </w:rPr>
      </w:pPr>
      <w:r>
        <w:rPr>
          <w:rFonts w:asciiTheme="minorHAnsi" w:hAnsiTheme="minorHAnsi" w:cstheme="minorHAnsi"/>
          <w:sz w:val="22"/>
          <w:szCs w:val="22"/>
        </w:rPr>
        <w:lastRenderedPageBreak/>
        <w:t>Table 23</w:t>
      </w:r>
      <w:r w:rsidR="00E972EB" w:rsidRPr="00B97E75">
        <w:rPr>
          <w:rFonts w:asciiTheme="minorHAnsi" w:hAnsiTheme="minorHAnsi" w:cstheme="minorHAnsi"/>
          <w:sz w:val="22"/>
          <w:szCs w:val="22"/>
        </w:rPr>
        <w:t xml:space="preserve">: </w:t>
      </w:r>
      <w:r w:rsidR="003C4E40" w:rsidRPr="003E001D">
        <w:rPr>
          <w:rFonts w:asciiTheme="minorHAnsi" w:hAnsiTheme="minorHAnsi" w:cstheme="minorHAnsi"/>
          <w:b w:val="0"/>
          <w:sz w:val="22"/>
          <w:szCs w:val="22"/>
        </w:rPr>
        <w:t>Five</w:t>
      </w:r>
      <w:r w:rsidR="00E972EB" w:rsidRPr="003E001D">
        <w:rPr>
          <w:rFonts w:asciiTheme="minorHAnsi" w:hAnsiTheme="minorHAnsi" w:cstheme="minorHAnsi"/>
          <w:b w:val="0"/>
          <w:sz w:val="22"/>
          <w:szCs w:val="22"/>
        </w:rPr>
        <w:t xml:space="preserve"> Year summary of </w:t>
      </w:r>
      <w:r w:rsidR="00442A2E" w:rsidRPr="003E001D">
        <w:rPr>
          <w:rFonts w:asciiTheme="minorHAnsi" w:hAnsiTheme="minorHAnsi" w:cstheme="minorHAnsi"/>
          <w:b w:val="0"/>
          <w:sz w:val="22"/>
          <w:szCs w:val="22"/>
        </w:rPr>
        <w:t>percentage</w:t>
      </w:r>
      <w:r w:rsidR="00E972EB" w:rsidRPr="003E001D">
        <w:rPr>
          <w:rFonts w:asciiTheme="minorHAnsi" w:hAnsiTheme="minorHAnsi" w:cstheme="minorHAnsi"/>
          <w:b w:val="0"/>
          <w:sz w:val="22"/>
          <w:szCs w:val="22"/>
        </w:rPr>
        <w:t xml:space="preserve"> collection levels for</w:t>
      </w:r>
      <w:r w:rsidR="00E13270" w:rsidRPr="003E001D">
        <w:rPr>
          <w:rFonts w:asciiTheme="minorHAnsi" w:hAnsiTheme="minorHAnsi" w:cstheme="minorHAnsi"/>
          <w:b w:val="0"/>
          <w:sz w:val="22"/>
          <w:szCs w:val="22"/>
        </w:rPr>
        <w:t xml:space="preserve"> Commercial</w:t>
      </w:r>
      <w:r w:rsidR="00E972EB" w:rsidRPr="003E001D">
        <w:rPr>
          <w:rFonts w:asciiTheme="minorHAnsi" w:hAnsiTheme="minorHAnsi" w:cstheme="minorHAnsi"/>
          <w:b w:val="0"/>
          <w:sz w:val="22"/>
          <w:szCs w:val="22"/>
        </w:rPr>
        <w:t xml:space="preserve"> </w:t>
      </w:r>
      <w:r w:rsidR="000271F2" w:rsidRPr="003E001D">
        <w:rPr>
          <w:rFonts w:asciiTheme="minorHAnsi" w:hAnsiTheme="minorHAnsi" w:cstheme="minorHAnsi"/>
          <w:b w:val="0"/>
          <w:sz w:val="22"/>
          <w:szCs w:val="22"/>
        </w:rPr>
        <w:t>Rates</w:t>
      </w:r>
    </w:p>
    <w:tbl>
      <w:tblPr>
        <w:tblStyle w:val="LightGrid-Accent5"/>
        <w:tblW w:w="8995" w:type="dxa"/>
        <w:tblLook w:val="04A0" w:firstRow="1" w:lastRow="0" w:firstColumn="1" w:lastColumn="0" w:noHBand="0" w:noVBand="1"/>
      </w:tblPr>
      <w:tblGrid>
        <w:gridCol w:w="2460"/>
        <w:gridCol w:w="1307"/>
        <w:gridCol w:w="1307"/>
        <w:gridCol w:w="1307"/>
        <w:gridCol w:w="1307"/>
        <w:gridCol w:w="1307"/>
      </w:tblGrid>
      <w:tr w:rsidR="000271F2" w:rsidRPr="005C4524" w:rsidTr="0077188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vAlign w:val="center"/>
            <w:hideMark/>
          </w:tcPr>
          <w:p w:rsidR="000271F2" w:rsidRPr="005C4524" w:rsidRDefault="00D36D20" w:rsidP="00771880">
            <w:pPr>
              <w:rPr>
                <w:rFonts w:asciiTheme="minorHAnsi" w:eastAsia="Times New Roman" w:hAnsiTheme="minorHAnsi" w:cstheme="minorHAnsi"/>
                <w:color w:val="000000"/>
                <w:lang w:eastAsia="en-IE"/>
              </w:rPr>
            </w:pPr>
            <w:r w:rsidRPr="00D36D20">
              <w:rPr>
                <w:rFonts w:asciiTheme="minorHAnsi" w:eastAsia="Times New Roman" w:hAnsiTheme="minorHAnsi" w:cstheme="minorHAnsi"/>
                <w:color w:val="000000"/>
                <w:lang w:eastAsia="en-IE"/>
              </w:rPr>
              <w:t>Authority</w:t>
            </w:r>
          </w:p>
        </w:tc>
        <w:tc>
          <w:tcPr>
            <w:tcW w:w="1307" w:type="dxa"/>
            <w:vAlign w:val="center"/>
            <w:hideMark/>
          </w:tcPr>
          <w:p w:rsidR="000271F2" w:rsidRPr="005C4524" w:rsidRDefault="00447A0C"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eastAsia="en-IE"/>
              </w:rPr>
            </w:pPr>
            <w:r>
              <w:rPr>
                <w:rFonts w:asciiTheme="minorHAnsi" w:eastAsia="Times New Roman" w:hAnsiTheme="minorHAnsi" w:cstheme="minorHAnsi"/>
                <w:color w:val="000000"/>
                <w:lang w:eastAsia="en-IE"/>
              </w:rPr>
              <w:t>Commercial Rates Percentage 2010</w:t>
            </w:r>
          </w:p>
        </w:tc>
        <w:tc>
          <w:tcPr>
            <w:tcW w:w="1307" w:type="dxa"/>
            <w:vAlign w:val="center"/>
            <w:hideMark/>
          </w:tcPr>
          <w:p w:rsidR="000271F2" w:rsidRPr="005C4524" w:rsidRDefault="00447A0C"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eastAsia="en-IE"/>
              </w:rPr>
            </w:pPr>
            <w:r>
              <w:rPr>
                <w:rFonts w:asciiTheme="minorHAnsi" w:eastAsia="Times New Roman" w:hAnsiTheme="minorHAnsi" w:cstheme="minorHAnsi"/>
                <w:color w:val="000000"/>
                <w:lang w:eastAsia="en-IE"/>
              </w:rPr>
              <w:t>Commercial Rates Percentage 2011</w:t>
            </w:r>
          </w:p>
        </w:tc>
        <w:tc>
          <w:tcPr>
            <w:tcW w:w="1307" w:type="dxa"/>
            <w:vAlign w:val="center"/>
            <w:hideMark/>
          </w:tcPr>
          <w:p w:rsidR="000271F2" w:rsidRPr="005C4524" w:rsidRDefault="00447A0C"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eastAsia="en-IE"/>
              </w:rPr>
            </w:pPr>
            <w:r>
              <w:rPr>
                <w:rFonts w:asciiTheme="minorHAnsi" w:eastAsia="Times New Roman" w:hAnsiTheme="minorHAnsi" w:cstheme="minorHAnsi"/>
                <w:color w:val="000000"/>
                <w:lang w:eastAsia="en-IE"/>
              </w:rPr>
              <w:t>Commercial Rates Percentage 2012</w:t>
            </w:r>
          </w:p>
        </w:tc>
        <w:tc>
          <w:tcPr>
            <w:tcW w:w="1307" w:type="dxa"/>
            <w:vAlign w:val="center"/>
            <w:hideMark/>
          </w:tcPr>
          <w:p w:rsidR="000271F2" w:rsidRPr="005C4524" w:rsidRDefault="00447A0C"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eastAsia="en-IE"/>
              </w:rPr>
            </w:pPr>
            <w:r>
              <w:rPr>
                <w:rFonts w:asciiTheme="minorHAnsi" w:eastAsia="Times New Roman" w:hAnsiTheme="minorHAnsi" w:cstheme="minorHAnsi"/>
                <w:color w:val="000000"/>
                <w:lang w:eastAsia="en-IE"/>
              </w:rPr>
              <w:t>Commercial Rates Percentage 2013</w:t>
            </w:r>
          </w:p>
        </w:tc>
        <w:tc>
          <w:tcPr>
            <w:tcW w:w="1307" w:type="dxa"/>
            <w:vAlign w:val="center"/>
            <w:hideMark/>
          </w:tcPr>
          <w:p w:rsidR="000271F2" w:rsidRPr="005C4524" w:rsidRDefault="00447A0C"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eastAsia="en-IE"/>
              </w:rPr>
            </w:pPr>
            <w:r>
              <w:rPr>
                <w:rFonts w:asciiTheme="minorHAnsi" w:eastAsia="Times New Roman" w:hAnsiTheme="minorHAnsi" w:cstheme="minorHAnsi"/>
                <w:color w:val="000000"/>
                <w:lang w:eastAsia="en-IE"/>
              </w:rPr>
              <w:t>Commercial Rates Percentage 2014</w:t>
            </w:r>
          </w:p>
        </w:tc>
      </w:tr>
      <w:tr w:rsidR="000271F2" w:rsidRPr="005C4524" w:rsidTr="004919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0271F2" w:rsidRPr="005C4524" w:rsidRDefault="000271F2"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 </w:t>
            </w:r>
          </w:p>
        </w:tc>
        <w:tc>
          <w:tcPr>
            <w:tcW w:w="1307" w:type="dxa"/>
            <w:hideMark/>
          </w:tcPr>
          <w:p w:rsidR="000271F2" w:rsidRPr="005C4524" w:rsidRDefault="000271F2" w:rsidP="000271F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307" w:type="dxa"/>
            <w:hideMark/>
          </w:tcPr>
          <w:p w:rsidR="000271F2" w:rsidRPr="005C4524" w:rsidRDefault="000271F2" w:rsidP="000271F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307" w:type="dxa"/>
            <w:noWrap/>
            <w:hideMark/>
          </w:tcPr>
          <w:p w:rsidR="000271F2" w:rsidRPr="005C4524" w:rsidRDefault="000271F2" w:rsidP="000271F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307" w:type="dxa"/>
            <w:hideMark/>
          </w:tcPr>
          <w:p w:rsidR="000271F2" w:rsidRPr="005C4524" w:rsidRDefault="000271F2" w:rsidP="000271F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307" w:type="dxa"/>
            <w:noWrap/>
            <w:hideMark/>
          </w:tcPr>
          <w:p w:rsidR="000271F2" w:rsidRPr="005C4524" w:rsidRDefault="000271F2" w:rsidP="000271F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r>
      <w:tr w:rsidR="00491969" w:rsidRPr="005C4524" w:rsidTr="0049196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Carlow County</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70</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74</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70</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73</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75</w:t>
            </w:r>
          </w:p>
        </w:tc>
      </w:tr>
      <w:tr w:rsidR="00491969" w:rsidRPr="005C4524" w:rsidTr="004919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Cavan County</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78</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73</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68</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70</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70</w:t>
            </w:r>
          </w:p>
        </w:tc>
      </w:tr>
      <w:tr w:rsidR="00491969" w:rsidRPr="005C4524" w:rsidTr="0049196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Clare County</w:t>
            </w:r>
          </w:p>
        </w:tc>
        <w:tc>
          <w:tcPr>
            <w:tcW w:w="1307" w:type="dxa"/>
            <w:hideMark/>
          </w:tcPr>
          <w:p w:rsidR="00491969" w:rsidRPr="00491969" w:rsidRDefault="00E91F36"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Pr>
                <w:rFonts w:ascii="Calibri" w:eastAsia="Times New Roman" w:hAnsi="Calibri" w:cs="Calibri"/>
                <w:color w:val="000000"/>
                <w:lang w:eastAsia="en-IE"/>
              </w:rPr>
              <w:t>80</w:t>
            </w:r>
          </w:p>
        </w:tc>
        <w:tc>
          <w:tcPr>
            <w:tcW w:w="1307" w:type="dxa"/>
            <w:hideMark/>
          </w:tcPr>
          <w:p w:rsidR="00491969" w:rsidRPr="00491969" w:rsidRDefault="00E91F36"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Pr>
                <w:rFonts w:ascii="Calibri" w:eastAsia="Times New Roman" w:hAnsi="Calibri" w:cs="Calibri"/>
                <w:color w:val="000000"/>
                <w:lang w:eastAsia="en-IE"/>
              </w:rPr>
              <w:t>79</w:t>
            </w:r>
          </w:p>
        </w:tc>
        <w:tc>
          <w:tcPr>
            <w:tcW w:w="1307" w:type="dxa"/>
            <w:hideMark/>
          </w:tcPr>
          <w:p w:rsidR="00491969" w:rsidRPr="00491969" w:rsidRDefault="00E91F36"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Pr>
                <w:rFonts w:ascii="Calibri" w:eastAsia="Times New Roman" w:hAnsi="Calibri" w:cs="Calibri"/>
                <w:color w:val="000000"/>
                <w:lang w:eastAsia="en-IE"/>
              </w:rPr>
              <w:t>78</w:t>
            </w:r>
          </w:p>
        </w:tc>
        <w:tc>
          <w:tcPr>
            <w:tcW w:w="1307" w:type="dxa"/>
            <w:hideMark/>
          </w:tcPr>
          <w:p w:rsidR="00491969" w:rsidRPr="00491969" w:rsidRDefault="00E91F36"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Pr>
                <w:rFonts w:ascii="Calibri" w:eastAsia="Times New Roman" w:hAnsi="Calibri" w:cs="Calibri"/>
                <w:color w:val="000000"/>
                <w:lang w:eastAsia="en-IE"/>
              </w:rPr>
              <w:t>80</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75</w:t>
            </w:r>
          </w:p>
        </w:tc>
      </w:tr>
      <w:tr w:rsidR="00491969" w:rsidRPr="005C4524" w:rsidTr="004919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Cork City</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81</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79</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76</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72</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72</w:t>
            </w:r>
          </w:p>
        </w:tc>
      </w:tr>
      <w:tr w:rsidR="00491969" w:rsidRPr="005C4524" w:rsidTr="0049196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Cork County</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83</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82</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79</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80</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79</w:t>
            </w:r>
          </w:p>
        </w:tc>
      </w:tr>
      <w:tr w:rsidR="00491969" w:rsidRPr="005C4524" w:rsidTr="004919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Donegal County</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61</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56</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59</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57</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56</w:t>
            </w:r>
          </w:p>
        </w:tc>
      </w:tr>
      <w:tr w:rsidR="00491969" w:rsidRPr="005C4524" w:rsidTr="0049196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Dublin City</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82</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80</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80</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81</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84</w:t>
            </w:r>
          </w:p>
        </w:tc>
      </w:tr>
      <w:tr w:rsidR="00491969" w:rsidRPr="005C4524" w:rsidTr="004919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 xml:space="preserve">Dun Laoghaire </w:t>
            </w:r>
            <w:proofErr w:type="spellStart"/>
            <w:r w:rsidRPr="005C4524">
              <w:rPr>
                <w:rFonts w:asciiTheme="minorHAnsi" w:eastAsia="Times New Roman" w:hAnsiTheme="minorHAnsi" w:cstheme="minorHAnsi"/>
                <w:color w:val="000000"/>
                <w:lang w:eastAsia="en-IE"/>
              </w:rPr>
              <w:t>Rathdown</w:t>
            </w:r>
            <w:proofErr w:type="spellEnd"/>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81</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76</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75</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78</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78</w:t>
            </w:r>
          </w:p>
        </w:tc>
      </w:tr>
      <w:tr w:rsidR="00491969" w:rsidRPr="005C4524" w:rsidTr="0049196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proofErr w:type="spellStart"/>
            <w:r w:rsidRPr="005C4524">
              <w:rPr>
                <w:rFonts w:asciiTheme="minorHAnsi" w:eastAsia="Times New Roman" w:hAnsiTheme="minorHAnsi" w:cstheme="minorHAnsi"/>
                <w:color w:val="000000"/>
                <w:lang w:eastAsia="en-IE"/>
              </w:rPr>
              <w:t>Fingal</w:t>
            </w:r>
            <w:proofErr w:type="spellEnd"/>
            <w:r w:rsidRPr="005C4524">
              <w:rPr>
                <w:rFonts w:asciiTheme="minorHAnsi" w:eastAsia="Times New Roman" w:hAnsiTheme="minorHAnsi" w:cstheme="minorHAnsi"/>
                <w:color w:val="000000"/>
                <w:lang w:eastAsia="en-IE"/>
              </w:rPr>
              <w:t xml:space="preserve"> County</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83</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85</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83</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90</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92</w:t>
            </w:r>
          </w:p>
        </w:tc>
      </w:tr>
      <w:tr w:rsidR="00491969" w:rsidRPr="005C4524" w:rsidTr="004919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Galway City</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64</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62</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62</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62</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66</w:t>
            </w:r>
          </w:p>
        </w:tc>
      </w:tr>
      <w:tr w:rsidR="00491969" w:rsidRPr="005C4524" w:rsidTr="0049196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Galway County</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78</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72</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69</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65</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67</w:t>
            </w:r>
          </w:p>
        </w:tc>
      </w:tr>
      <w:tr w:rsidR="00491969" w:rsidRPr="005C4524" w:rsidTr="004919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Kerry County</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78</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76</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76</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75</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78</w:t>
            </w:r>
          </w:p>
        </w:tc>
      </w:tr>
      <w:tr w:rsidR="00491969" w:rsidRPr="005C4524" w:rsidTr="0049196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Kildare County</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81</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77</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73</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74</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78</w:t>
            </w:r>
          </w:p>
        </w:tc>
      </w:tr>
      <w:tr w:rsidR="00491969" w:rsidRPr="005C4524" w:rsidTr="004919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Kilkenny County</w:t>
            </w:r>
          </w:p>
        </w:tc>
        <w:tc>
          <w:tcPr>
            <w:tcW w:w="1307" w:type="dxa"/>
            <w:hideMark/>
          </w:tcPr>
          <w:p w:rsidR="00491969" w:rsidRPr="00491969" w:rsidRDefault="00E91F36"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Pr>
                <w:rFonts w:ascii="Calibri" w:eastAsia="Times New Roman" w:hAnsi="Calibri" w:cs="Calibri"/>
                <w:color w:val="000000"/>
                <w:lang w:eastAsia="en-IE"/>
              </w:rPr>
              <w:t>87</w:t>
            </w:r>
          </w:p>
        </w:tc>
        <w:tc>
          <w:tcPr>
            <w:tcW w:w="1307" w:type="dxa"/>
            <w:hideMark/>
          </w:tcPr>
          <w:p w:rsidR="00491969" w:rsidRPr="00491969" w:rsidRDefault="00E91F36"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Pr>
                <w:rFonts w:ascii="Calibri" w:eastAsia="Times New Roman" w:hAnsi="Calibri" w:cs="Calibri"/>
                <w:color w:val="000000"/>
                <w:lang w:eastAsia="en-IE"/>
              </w:rPr>
              <w:t>88</w:t>
            </w:r>
          </w:p>
        </w:tc>
        <w:tc>
          <w:tcPr>
            <w:tcW w:w="1307" w:type="dxa"/>
            <w:hideMark/>
          </w:tcPr>
          <w:p w:rsidR="00491969" w:rsidRPr="00491969" w:rsidRDefault="00E91F36"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Pr>
                <w:rFonts w:ascii="Calibri" w:eastAsia="Times New Roman" w:hAnsi="Calibri" w:cs="Calibri"/>
                <w:color w:val="000000"/>
                <w:lang w:eastAsia="en-IE"/>
              </w:rPr>
              <w:t>85</w:t>
            </w:r>
          </w:p>
        </w:tc>
        <w:tc>
          <w:tcPr>
            <w:tcW w:w="1307" w:type="dxa"/>
            <w:hideMark/>
          </w:tcPr>
          <w:p w:rsidR="00491969" w:rsidRPr="00491969" w:rsidRDefault="00E91F36"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Pr>
                <w:rFonts w:ascii="Calibri" w:eastAsia="Times New Roman" w:hAnsi="Calibri" w:cs="Calibri"/>
                <w:color w:val="000000"/>
                <w:lang w:eastAsia="en-IE"/>
              </w:rPr>
              <w:t>89</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89</w:t>
            </w:r>
          </w:p>
        </w:tc>
      </w:tr>
      <w:tr w:rsidR="00491969" w:rsidRPr="005C4524" w:rsidTr="0049196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Laois County</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81</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77</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74</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70</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69</w:t>
            </w:r>
          </w:p>
        </w:tc>
      </w:tr>
      <w:tr w:rsidR="00491969" w:rsidRPr="005C4524" w:rsidTr="004919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Leitrim County</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78</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72</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64</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65</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60</w:t>
            </w:r>
          </w:p>
        </w:tc>
      </w:tr>
      <w:tr w:rsidR="00491969" w:rsidRPr="005C4524" w:rsidTr="0049196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Limerick City &amp; County</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74</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70</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66</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65</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65</w:t>
            </w:r>
          </w:p>
        </w:tc>
      </w:tr>
      <w:tr w:rsidR="00491969" w:rsidRPr="005C4524" w:rsidTr="004919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Longford County</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79</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75</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71</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70</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70</w:t>
            </w:r>
          </w:p>
        </w:tc>
      </w:tr>
      <w:tr w:rsidR="00491969" w:rsidRPr="005C4524" w:rsidTr="0049196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Louth County</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65</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60</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50</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49</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56</w:t>
            </w:r>
          </w:p>
        </w:tc>
      </w:tr>
      <w:tr w:rsidR="00491969" w:rsidRPr="005C4524" w:rsidTr="004919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Mayo County</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83</w:t>
            </w:r>
          </w:p>
        </w:tc>
        <w:tc>
          <w:tcPr>
            <w:tcW w:w="1307" w:type="dxa"/>
            <w:hideMark/>
          </w:tcPr>
          <w:p w:rsidR="00491969" w:rsidRPr="00491969" w:rsidRDefault="00E91F36"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Pr>
                <w:rFonts w:ascii="Calibri" w:eastAsia="Times New Roman" w:hAnsi="Calibri" w:cs="Calibri"/>
                <w:color w:val="000000"/>
                <w:lang w:eastAsia="en-IE"/>
              </w:rPr>
              <w:t>84</w:t>
            </w:r>
          </w:p>
        </w:tc>
        <w:tc>
          <w:tcPr>
            <w:tcW w:w="1307" w:type="dxa"/>
            <w:hideMark/>
          </w:tcPr>
          <w:p w:rsidR="00491969" w:rsidRPr="00491969" w:rsidRDefault="00E91F36"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Pr>
                <w:rFonts w:ascii="Calibri" w:eastAsia="Times New Roman" w:hAnsi="Calibri" w:cs="Calibri"/>
                <w:color w:val="000000"/>
                <w:lang w:eastAsia="en-IE"/>
              </w:rPr>
              <w:t>80</w:t>
            </w:r>
          </w:p>
        </w:tc>
        <w:tc>
          <w:tcPr>
            <w:tcW w:w="1307" w:type="dxa"/>
            <w:hideMark/>
          </w:tcPr>
          <w:p w:rsidR="00491969" w:rsidRPr="00491969" w:rsidRDefault="00E91F36"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Pr>
                <w:rFonts w:ascii="Calibri" w:eastAsia="Times New Roman" w:hAnsi="Calibri" w:cs="Calibri"/>
                <w:color w:val="000000"/>
                <w:lang w:eastAsia="en-IE"/>
              </w:rPr>
              <w:t>78</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75</w:t>
            </w:r>
          </w:p>
        </w:tc>
      </w:tr>
      <w:tr w:rsidR="00491969" w:rsidRPr="005C4524" w:rsidTr="0049196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Meath County</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84</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80</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77</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vertAlign w:val="superscript"/>
                <w:lang w:eastAsia="en-IE"/>
              </w:rPr>
            </w:pPr>
            <w:r w:rsidRPr="00491969">
              <w:rPr>
                <w:rFonts w:ascii="Calibri" w:eastAsia="Times New Roman" w:hAnsi="Calibri" w:cs="Calibri"/>
                <w:color w:val="000000"/>
                <w:lang w:eastAsia="en-IE"/>
              </w:rPr>
              <w:t>80</w:t>
            </w:r>
          </w:p>
        </w:tc>
        <w:tc>
          <w:tcPr>
            <w:tcW w:w="1307" w:type="dxa"/>
            <w:hideMark/>
          </w:tcPr>
          <w:p w:rsidR="00491969" w:rsidRPr="00014EAA"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vertAlign w:val="superscript"/>
                <w:lang w:eastAsia="en-IE"/>
              </w:rPr>
            </w:pPr>
            <w:r w:rsidRPr="00491969">
              <w:rPr>
                <w:rFonts w:ascii="Calibri" w:eastAsia="Times New Roman" w:hAnsi="Calibri" w:cs="Calibri"/>
                <w:color w:val="000000"/>
                <w:lang w:eastAsia="en-IE"/>
              </w:rPr>
              <w:t>81</w:t>
            </w:r>
          </w:p>
        </w:tc>
      </w:tr>
      <w:tr w:rsidR="00491969" w:rsidRPr="005C4524" w:rsidTr="004919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Monaghan County</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74</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68</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64</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65</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64</w:t>
            </w:r>
          </w:p>
        </w:tc>
      </w:tr>
      <w:tr w:rsidR="00491969" w:rsidRPr="005C4524" w:rsidTr="0049196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Offaly County</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84</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81</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82</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82</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82</w:t>
            </w:r>
          </w:p>
        </w:tc>
      </w:tr>
      <w:tr w:rsidR="00491969" w:rsidRPr="005C4524" w:rsidTr="004919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Roscommon County</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77</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79</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78</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77</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80</w:t>
            </w:r>
          </w:p>
        </w:tc>
      </w:tr>
      <w:tr w:rsidR="00491969" w:rsidRPr="005C4524" w:rsidTr="0049196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Sligo County</w:t>
            </w:r>
          </w:p>
        </w:tc>
        <w:tc>
          <w:tcPr>
            <w:tcW w:w="1307" w:type="dxa"/>
            <w:hideMark/>
          </w:tcPr>
          <w:p w:rsidR="00491969" w:rsidRPr="00491969" w:rsidRDefault="00E91F36"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Pr>
                <w:rFonts w:ascii="Calibri" w:eastAsia="Times New Roman" w:hAnsi="Calibri" w:cs="Calibri"/>
                <w:color w:val="000000"/>
                <w:lang w:eastAsia="en-IE"/>
              </w:rPr>
              <w:t>79</w:t>
            </w:r>
          </w:p>
        </w:tc>
        <w:tc>
          <w:tcPr>
            <w:tcW w:w="1307" w:type="dxa"/>
            <w:hideMark/>
          </w:tcPr>
          <w:p w:rsidR="00491969" w:rsidRPr="00491969" w:rsidRDefault="00E91F36"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Pr>
                <w:rFonts w:ascii="Calibri" w:eastAsia="Times New Roman" w:hAnsi="Calibri" w:cs="Calibri"/>
                <w:color w:val="000000"/>
                <w:lang w:eastAsia="en-IE"/>
              </w:rPr>
              <w:t>68</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62</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59</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67</w:t>
            </w:r>
          </w:p>
        </w:tc>
      </w:tr>
      <w:tr w:rsidR="00491969" w:rsidRPr="005C4524" w:rsidTr="004919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South Dublin County</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80</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74</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74</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77</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80</w:t>
            </w:r>
          </w:p>
        </w:tc>
      </w:tr>
      <w:tr w:rsidR="00491969" w:rsidRPr="005C4524" w:rsidTr="0049196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Tipperary County</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84</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79</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78</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77</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72</w:t>
            </w:r>
          </w:p>
        </w:tc>
      </w:tr>
      <w:tr w:rsidR="00491969" w:rsidRPr="005C4524" w:rsidTr="004919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Waterford City &amp; County</w:t>
            </w:r>
          </w:p>
        </w:tc>
        <w:tc>
          <w:tcPr>
            <w:tcW w:w="1307" w:type="dxa"/>
            <w:hideMark/>
          </w:tcPr>
          <w:p w:rsidR="00491969" w:rsidRPr="00491969" w:rsidRDefault="009309DA"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Pr>
                <w:rFonts w:ascii="Calibri" w:eastAsia="Times New Roman" w:hAnsi="Calibri" w:cs="Calibri"/>
                <w:color w:val="000000"/>
                <w:lang w:eastAsia="en-IE"/>
              </w:rPr>
              <w:t>78</w:t>
            </w:r>
          </w:p>
        </w:tc>
        <w:tc>
          <w:tcPr>
            <w:tcW w:w="1307" w:type="dxa"/>
            <w:hideMark/>
          </w:tcPr>
          <w:p w:rsidR="00491969" w:rsidRPr="00491969" w:rsidRDefault="009309DA"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Pr>
                <w:rFonts w:ascii="Calibri" w:eastAsia="Times New Roman" w:hAnsi="Calibri" w:cs="Calibri"/>
                <w:color w:val="000000"/>
                <w:lang w:eastAsia="en-IE"/>
              </w:rPr>
              <w:t>73</w:t>
            </w:r>
          </w:p>
        </w:tc>
        <w:tc>
          <w:tcPr>
            <w:tcW w:w="1307" w:type="dxa"/>
            <w:hideMark/>
          </w:tcPr>
          <w:p w:rsidR="00491969" w:rsidRPr="00491969" w:rsidRDefault="009309DA"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Pr>
                <w:rFonts w:ascii="Calibri" w:eastAsia="Times New Roman" w:hAnsi="Calibri" w:cs="Calibri"/>
                <w:color w:val="000000"/>
                <w:lang w:eastAsia="en-IE"/>
              </w:rPr>
              <w:t>72</w:t>
            </w:r>
          </w:p>
        </w:tc>
        <w:tc>
          <w:tcPr>
            <w:tcW w:w="1307" w:type="dxa"/>
            <w:hideMark/>
          </w:tcPr>
          <w:p w:rsidR="00491969" w:rsidRPr="00491969" w:rsidRDefault="009309DA"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Pr>
                <w:rFonts w:ascii="Calibri" w:eastAsia="Times New Roman" w:hAnsi="Calibri" w:cs="Calibri"/>
                <w:color w:val="000000"/>
                <w:lang w:eastAsia="en-IE"/>
              </w:rPr>
              <w:t>70</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72</w:t>
            </w:r>
          </w:p>
        </w:tc>
      </w:tr>
      <w:tr w:rsidR="00491969" w:rsidRPr="005C4524" w:rsidTr="0049196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Westmeath County</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85</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80</w:t>
            </w:r>
          </w:p>
        </w:tc>
        <w:tc>
          <w:tcPr>
            <w:tcW w:w="1307" w:type="dxa"/>
            <w:hideMark/>
          </w:tcPr>
          <w:p w:rsidR="00491969" w:rsidRPr="00491969" w:rsidRDefault="00E91F36"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Pr>
                <w:rFonts w:ascii="Calibri" w:eastAsia="Times New Roman" w:hAnsi="Calibri" w:cs="Calibri"/>
                <w:color w:val="000000"/>
                <w:lang w:eastAsia="en-IE"/>
              </w:rPr>
              <w:t>79</w:t>
            </w:r>
          </w:p>
        </w:tc>
        <w:tc>
          <w:tcPr>
            <w:tcW w:w="1307" w:type="dxa"/>
            <w:hideMark/>
          </w:tcPr>
          <w:p w:rsidR="00491969" w:rsidRPr="00491969" w:rsidRDefault="00E91F36"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Pr>
                <w:rFonts w:ascii="Calibri" w:eastAsia="Times New Roman" w:hAnsi="Calibri" w:cs="Calibri"/>
                <w:color w:val="000000"/>
                <w:lang w:eastAsia="en-IE"/>
              </w:rPr>
              <w:t>79</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73</w:t>
            </w:r>
          </w:p>
        </w:tc>
      </w:tr>
      <w:tr w:rsidR="00491969" w:rsidRPr="005C4524" w:rsidTr="004919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Wexford County</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72</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66</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67</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68</w:t>
            </w:r>
          </w:p>
        </w:tc>
        <w:tc>
          <w:tcPr>
            <w:tcW w:w="1307" w:type="dxa"/>
            <w:hideMark/>
          </w:tcPr>
          <w:p w:rsidR="00491969" w:rsidRPr="00491969" w:rsidRDefault="00491969" w:rsidP="004919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71</w:t>
            </w:r>
          </w:p>
        </w:tc>
      </w:tr>
      <w:tr w:rsidR="00491969" w:rsidRPr="005C4524" w:rsidTr="0049196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491969" w:rsidRPr="005C4524" w:rsidRDefault="00491969"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Wicklow County</w:t>
            </w:r>
          </w:p>
        </w:tc>
        <w:tc>
          <w:tcPr>
            <w:tcW w:w="1307" w:type="dxa"/>
            <w:hideMark/>
          </w:tcPr>
          <w:p w:rsidR="00491969" w:rsidRPr="00491969" w:rsidRDefault="00E91F36"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Pr>
                <w:rFonts w:ascii="Calibri" w:eastAsia="Times New Roman" w:hAnsi="Calibri" w:cs="Calibri"/>
                <w:color w:val="000000"/>
                <w:lang w:eastAsia="en-IE"/>
              </w:rPr>
              <w:t>77</w:t>
            </w:r>
          </w:p>
        </w:tc>
        <w:tc>
          <w:tcPr>
            <w:tcW w:w="1307" w:type="dxa"/>
            <w:hideMark/>
          </w:tcPr>
          <w:p w:rsidR="00491969" w:rsidRPr="00491969" w:rsidRDefault="00E91F36"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Pr>
                <w:rFonts w:ascii="Calibri" w:eastAsia="Times New Roman" w:hAnsi="Calibri" w:cs="Calibri"/>
                <w:color w:val="000000"/>
                <w:lang w:eastAsia="en-IE"/>
              </w:rPr>
              <w:t>74</w:t>
            </w:r>
          </w:p>
        </w:tc>
        <w:tc>
          <w:tcPr>
            <w:tcW w:w="1307" w:type="dxa"/>
            <w:hideMark/>
          </w:tcPr>
          <w:p w:rsidR="00491969" w:rsidRPr="00491969" w:rsidRDefault="00E91F36"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Pr>
                <w:rFonts w:ascii="Calibri" w:eastAsia="Times New Roman" w:hAnsi="Calibri" w:cs="Calibri"/>
                <w:color w:val="000000"/>
                <w:lang w:eastAsia="en-IE"/>
              </w:rPr>
              <w:t>71</w:t>
            </w:r>
          </w:p>
        </w:tc>
        <w:tc>
          <w:tcPr>
            <w:tcW w:w="1307" w:type="dxa"/>
            <w:hideMark/>
          </w:tcPr>
          <w:p w:rsidR="00491969" w:rsidRPr="00491969" w:rsidRDefault="00E91F36"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Pr>
                <w:rFonts w:ascii="Calibri" w:eastAsia="Times New Roman" w:hAnsi="Calibri" w:cs="Calibri"/>
                <w:color w:val="000000"/>
                <w:lang w:eastAsia="en-IE"/>
              </w:rPr>
              <w:t>70</w:t>
            </w:r>
          </w:p>
        </w:tc>
        <w:tc>
          <w:tcPr>
            <w:tcW w:w="1307" w:type="dxa"/>
            <w:hideMark/>
          </w:tcPr>
          <w:p w:rsidR="00491969" w:rsidRPr="00491969" w:rsidRDefault="00491969" w:rsidP="0049196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IE"/>
              </w:rPr>
            </w:pPr>
            <w:r w:rsidRPr="00491969">
              <w:rPr>
                <w:rFonts w:ascii="Calibri" w:eastAsia="Times New Roman" w:hAnsi="Calibri" w:cs="Calibri"/>
                <w:color w:val="000000"/>
                <w:lang w:eastAsia="en-IE"/>
              </w:rPr>
              <w:t>69</w:t>
            </w:r>
          </w:p>
        </w:tc>
      </w:tr>
    </w:tbl>
    <w:p w:rsidR="003C4E40" w:rsidRPr="009660A3" w:rsidRDefault="003C4E40" w:rsidP="009660A3">
      <w:pPr>
        <w:spacing w:after="0" w:line="240" w:lineRule="auto"/>
        <w:jc w:val="both"/>
        <w:rPr>
          <w:rFonts w:eastAsia="Times New Roman" w:cstheme="minorHAnsi"/>
          <w:bCs/>
          <w:i/>
          <w:color w:val="000000"/>
          <w:sz w:val="18"/>
          <w:szCs w:val="18"/>
          <w:lang w:eastAsia="en-IE"/>
        </w:rPr>
      </w:pPr>
      <w:r w:rsidRPr="009660A3">
        <w:rPr>
          <w:rFonts w:eastAsia="Times New Roman" w:cstheme="minorHAnsi"/>
          <w:bCs/>
          <w:i/>
          <w:color w:val="000000"/>
          <w:sz w:val="18"/>
          <w:szCs w:val="18"/>
          <w:lang w:eastAsia="en-IE"/>
        </w:rPr>
        <w:t>In the case of 201</w:t>
      </w:r>
      <w:r w:rsidR="00D32973">
        <w:rPr>
          <w:rFonts w:eastAsia="Times New Roman" w:cstheme="minorHAnsi"/>
          <w:bCs/>
          <w:i/>
          <w:color w:val="000000"/>
          <w:sz w:val="18"/>
          <w:szCs w:val="18"/>
          <w:lang w:eastAsia="en-IE"/>
        </w:rPr>
        <w:t>4 the unaudited AFSs</w:t>
      </w:r>
      <w:r w:rsidR="00A53F26">
        <w:rPr>
          <w:rFonts w:eastAsia="Times New Roman" w:cstheme="minorHAnsi"/>
          <w:bCs/>
          <w:i/>
          <w:color w:val="000000"/>
          <w:sz w:val="18"/>
          <w:szCs w:val="18"/>
          <w:lang w:eastAsia="en-IE"/>
        </w:rPr>
        <w:t xml:space="preserve"> were used. </w:t>
      </w:r>
    </w:p>
    <w:p w:rsidR="000271F2" w:rsidRPr="00B97E75" w:rsidRDefault="000271F2" w:rsidP="00E972EB">
      <w:pPr>
        <w:rPr>
          <w:rFonts w:eastAsia="Times New Roman" w:cstheme="minorHAnsi"/>
          <w:b/>
          <w:bCs/>
          <w:color w:val="000000"/>
          <w:lang w:eastAsia="en-IE"/>
        </w:rPr>
      </w:pPr>
    </w:p>
    <w:p w:rsidR="003E275F" w:rsidRDefault="003E275F" w:rsidP="00E972EB">
      <w:pPr>
        <w:rPr>
          <w:rFonts w:eastAsia="Times New Roman" w:cstheme="minorHAnsi"/>
          <w:b/>
          <w:bCs/>
          <w:color w:val="000000"/>
          <w:lang w:eastAsia="en-IE"/>
        </w:rPr>
      </w:pPr>
    </w:p>
    <w:p w:rsidR="009660A3" w:rsidRPr="00B97E75" w:rsidRDefault="009660A3" w:rsidP="00E972EB">
      <w:pPr>
        <w:rPr>
          <w:rFonts w:eastAsia="Times New Roman" w:cstheme="minorHAnsi"/>
          <w:b/>
          <w:bCs/>
          <w:color w:val="000000"/>
          <w:lang w:eastAsia="en-IE"/>
        </w:rPr>
      </w:pPr>
    </w:p>
    <w:p w:rsidR="003E275F" w:rsidRDefault="003E275F" w:rsidP="00E972EB">
      <w:pPr>
        <w:rPr>
          <w:rFonts w:eastAsia="Times New Roman" w:cstheme="minorHAnsi"/>
          <w:b/>
          <w:bCs/>
          <w:color w:val="000000"/>
          <w:lang w:eastAsia="en-IE"/>
        </w:rPr>
      </w:pPr>
    </w:p>
    <w:p w:rsidR="00D91732" w:rsidRPr="00B97E75" w:rsidRDefault="00D91732" w:rsidP="00E972EB">
      <w:pPr>
        <w:rPr>
          <w:rFonts w:eastAsia="Times New Roman" w:cstheme="minorHAnsi"/>
          <w:b/>
          <w:bCs/>
          <w:color w:val="000000"/>
          <w:lang w:eastAsia="en-IE"/>
        </w:rPr>
      </w:pPr>
    </w:p>
    <w:tbl>
      <w:tblPr>
        <w:tblW w:w="4702" w:type="dxa"/>
        <w:tblInd w:w="98" w:type="dxa"/>
        <w:tblLook w:val="04A0" w:firstRow="1" w:lastRow="0" w:firstColumn="1" w:lastColumn="0" w:noHBand="0" w:noVBand="1"/>
      </w:tblPr>
      <w:tblGrid>
        <w:gridCol w:w="2460"/>
        <w:gridCol w:w="960"/>
        <w:gridCol w:w="1282"/>
      </w:tblGrid>
      <w:tr w:rsidR="003E275F" w:rsidRPr="00EC611D" w:rsidTr="00137C7C">
        <w:trPr>
          <w:trHeight w:val="315"/>
        </w:trPr>
        <w:tc>
          <w:tcPr>
            <w:tcW w:w="470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E275F" w:rsidRPr="00EC611D" w:rsidRDefault="00E13270" w:rsidP="00137C7C">
            <w:pPr>
              <w:spacing w:after="0" w:line="240" w:lineRule="auto"/>
              <w:rPr>
                <w:rFonts w:eastAsia="Times New Roman" w:cstheme="minorHAnsi"/>
                <w:b/>
                <w:bCs/>
                <w:color w:val="000000"/>
                <w:lang w:eastAsia="en-IE"/>
              </w:rPr>
            </w:pPr>
            <w:r w:rsidRPr="00EC611D">
              <w:rPr>
                <w:rFonts w:eastAsia="Times New Roman" w:cstheme="minorHAnsi"/>
                <w:b/>
                <w:bCs/>
                <w:color w:val="000000"/>
                <w:lang w:eastAsia="en-IE"/>
              </w:rPr>
              <w:lastRenderedPageBreak/>
              <w:t>Summary Statistics for the</w:t>
            </w:r>
            <w:r w:rsidR="003E275F" w:rsidRPr="00EC611D">
              <w:rPr>
                <w:rFonts w:eastAsia="Times New Roman" w:cstheme="minorHAnsi"/>
                <w:b/>
                <w:bCs/>
                <w:color w:val="000000"/>
                <w:lang w:eastAsia="en-IE"/>
              </w:rPr>
              <w:t xml:space="preserve"> collection levels for</w:t>
            </w:r>
            <w:r w:rsidR="00D32973">
              <w:rPr>
                <w:rFonts w:eastAsia="Times New Roman" w:cstheme="minorHAnsi"/>
                <w:b/>
                <w:bCs/>
                <w:color w:val="000000"/>
                <w:lang w:eastAsia="en-IE"/>
              </w:rPr>
              <w:t xml:space="preserve"> C</w:t>
            </w:r>
            <w:r w:rsidRPr="00EC611D">
              <w:rPr>
                <w:rFonts w:eastAsia="Times New Roman" w:cstheme="minorHAnsi"/>
                <w:b/>
                <w:bCs/>
                <w:color w:val="000000"/>
                <w:lang w:eastAsia="en-IE"/>
              </w:rPr>
              <w:t>ommercial</w:t>
            </w:r>
            <w:r w:rsidR="003E275F" w:rsidRPr="00EC611D">
              <w:rPr>
                <w:rFonts w:eastAsia="Times New Roman" w:cstheme="minorHAnsi"/>
                <w:b/>
                <w:bCs/>
                <w:color w:val="000000"/>
                <w:lang w:eastAsia="en-IE"/>
              </w:rPr>
              <w:t xml:space="preserve"> Rates</w:t>
            </w:r>
            <w:r w:rsidRPr="00EC611D">
              <w:rPr>
                <w:rFonts w:eastAsia="Times New Roman" w:cstheme="minorHAnsi"/>
                <w:b/>
                <w:bCs/>
                <w:color w:val="000000"/>
                <w:lang w:eastAsia="en-IE"/>
              </w:rPr>
              <w:t xml:space="preserve"> (2010-2014)</w:t>
            </w:r>
          </w:p>
        </w:tc>
      </w:tr>
      <w:tr w:rsidR="003E275F" w:rsidRPr="00EC611D" w:rsidTr="00137C7C">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3E275F" w:rsidRPr="00EC611D" w:rsidRDefault="00447A0C"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Commercial Rates Percentage 2010</w:t>
            </w:r>
          </w:p>
        </w:tc>
        <w:tc>
          <w:tcPr>
            <w:tcW w:w="1282" w:type="dxa"/>
            <w:tcBorders>
              <w:top w:val="nil"/>
              <w:left w:val="nil"/>
              <w:bottom w:val="single" w:sz="8" w:space="0" w:color="auto"/>
              <w:right w:val="single" w:sz="8" w:space="0" w:color="auto"/>
            </w:tcBorders>
            <w:shd w:val="clear" w:color="auto" w:fill="B6DDE8" w:themeFill="accent5" w:themeFillTint="66"/>
            <w:vAlign w:val="center"/>
            <w:hideMark/>
          </w:tcPr>
          <w:p w:rsidR="003E275F" w:rsidRPr="00EC611D" w:rsidRDefault="003E275F" w:rsidP="00137C7C">
            <w:pPr>
              <w:spacing w:after="0" w:line="240" w:lineRule="auto"/>
              <w:rPr>
                <w:rFonts w:eastAsia="Times New Roman" w:cstheme="minorHAnsi"/>
                <w:b/>
                <w:bCs/>
                <w:color w:val="000000"/>
                <w:lang w:eastAsia="en-IE"/>
              </w:rPr>
            </w:pPr>
            <w:r w:rsidRPr="00EC611D">
              <w:rPr>
                <w:rFonts w:eastAsia="Times New Roman" w:cstheme="minorHAnsi"/>
                <w:b/>
                <w:bCs/>
                <w:color w:val="000000"/>
                <w:lang w:eastAsia="en-IE"/>
              </w:rPr>
              <w:t> </w:t>
            </w:r>
          </w:p>
        </w:tc>
      </w:tr>
      <w:tr w:rsidR="003E275F" w:rsidRPr="00EC611D"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N</w:t>
            </w:r>
          </w:p>
        </w:tc>
        <w:tc>
          <w:tcPr>
            <w:tcW w:w="960" w:type="dxa"/>
            <w:tcBorders>
              <w:top w:val="nil"/>
              <w:left w:val="nil"/>
              <w:bottom w:val="single" w:sz="8" w:space="0" w:color="auto"/>
              <w:right w:val="nil"/>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Valid</w:t>
            </w:r>
          </w:p>
        </w:tc>
        <w:tc>
          <w:tcPr>
            <w:tcW w:w="1282" w:type="dxa"/>
            <w:tcBorders>
              <w:top w:val="nil"/>
              <w:left w:val="single" w:sz="8" w:space="0" w:color="auto"/>
              <w:bottom w:val="single" w:sz="8" w:space="0" w:color="auto"/>
              <w:right w:val="single" w:sz="8" w:space="0" w:color="auto"/>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31</w:t>
            </w:r>
          </w:p>
        </w:tc>
      </w:tr>
      <w:tr w:rsidR="003E275F" w:rsidRPr="00EC611D"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 </w:t>
            </w:r>
          </w:p>
        </w:tc>
        <w:tc>
          <w:tcPr>
            <w:tcW w:w="960" w:type="dxa"/>
            <w:tcBorders>
              <w:top w:val="nil"/>
              <w:left w:val="nil"/>
              <w:bottom w:val="single" w:sz="8" w:space="0" w:color="auto"/>
              <w:right w:val="nil"/>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Missing</w:t>
            </w:r>
          </w:p>
        </w:tc>
        <w:tc>
          <w:tcPr>
            <w:tcW w:w="1282" w:type="dxa"/>
            <w:tcBorders>
              <w:top w:val="nil"/>
              <w:left w:val="single" w:sz="8" w:space="0" w:color="auto"/>
              <w:bottom w:val="single" w:sz="8" w:space="0" w:color="auto"/>
              <w:right w:val="single" w:sz="8" w:space="0" w:color="auto"/>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0</w:t>
            </w:r>
          </w:p>
        </w:tc>
      </w:tr>
      <w:tr w:rsidR="00EC611D" w:rsidRPr="00EC611D"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EC611D" w:rsidRPr="00EC611D" w:rsidRDefault="00EC611D" w:rsidP="00137C7C">
            <w:pPr>
              <w:spacing w:after="0" w:line="240" w:lineRule="auto"/>
              <w:rPr>
                <w:rFonts w:eastAsia="Times New Roman" w:cstheme="minorHAnsi"/>
                <w:b/>
                <w:bCs/>
                <w:color w:val="000000"/>
                <w:lang w:eastAsia="en-IE"/>
              </w:rPr>
            </w:pPr>
            <w:r w:rsidRPr="00EC611D">
              <w:rPr>
                <w:rFonts w:eastAsia="Times New Roman" w:cstheme="minorHAnsi"/>
                <w:b/>
                <w:bCs/>
                <w:color w:val="000000"/>
                <w:lang w:eastAsia="en-IE"/>
              </w:rPr>
              <w:t>Average</w:t>
            </w:r>
          </w:p>
        </w:tc>
        <w:tc>
          <w:tcPr>
            <w:tcW w:w="960" w:type="dxa"/>
            <w:tcBorders>
              <w:top w:val="nil"/>
              <w:left w:val="nil"/>
              <w:bottom w:val="single" w:sz="8" w:space="0" w:color="auto"/>
              <w:right w:val="nil"/>
            </w:tcBorders>
            <w:shd w:val="clear" w:color="auto" w:fill="auto"/>
            <w:vAlign w:val="center"/>
            <w:hideMark/>
          </w:tcPr>
          <w:p w:rsidR="00EC611D" w:rsidRPr="00EC611D" w:rsidRDefault="00EC611D" w:rsidP="00137C7C">
            <w:pPr>
              <w:spacing w:after="0" w:line="240" w:lineRule="auto"/>
              <w:rPr>
                <w:rFonts w:eastAsia="Times New Roman" w:cstheme="minorHAnsi"/>
                <w:b/>
                <w:bCs/>
                <w:color w:val="000000"/>
                <w:lang w:eastAsia="en-IE"/>
              </w:rPr>
            </w:pPr>
            <w:r w:rsidRPr="00EC611D">
              <w:rPr>
                <w:rFonts w:eastAsia="Times New Roman" w:cstheme="minorHAnsi"/>
                <w:b/>
                <w:bCs/>
                <w:color w:val="000000"/>
                <w:lang w:eastAsia="en-IE"/>
              </w:rPr>
              <w:t>Median</w:t>
            </w:r>
          </w:p>
        </w:tc>
        <w:tc>
          <w:tcPr>
            <w:tcW w:w="1282" w:type="dxa"/>
            <w:tcBorders>
              <w:top w:val="nil"/>
              <w:left w:val="single" w:sz="8" w:space="0" w:color="auto"/>
              <w:bottom w:val="single" w:sz="8" w:space="0" w:color="auto"/>
              <w:right w:val="single" w:sz="8" w:space="0" w:color="auto"/>
            </w:tcBorders>
            <w:shd w:val="clear" w:color="auto" w:fill="auto"/>
            <w:vAlign w:val="center"/>
            <w:hideMark/>
          </w:tcPr>
          <w:p w:rsidR="00EC611D" w:rsidRPr="00EC611D" w:rsidRDefault="00EC611D" w:rsidP="00137C7C">
            <w:pPr>
              <w:spacing w:after="0" w:line="240" w:lineRule="auto"/>
              <w:rPr>
                <w:rFonts w:cstheme="minorHAnsi"/>
                <w:b/>
              </w:rPr>
            </w:pPr>
            <w:r w:rsidRPr="00EC611D">
              <w:rPr>
                <w:rFonts w:cstheme="minorHAnsi"/>
                <w:b/>
              </w:rPr>
              <w:t>79.00</w:t>
            </w:r>
          </w:p>
        </w:tc>
      </w:tr>
      <w:tr w:rsidR="00EC611D" w:rsidRPr="00EC611D"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EC611D" w:rsidRPr="00EC611D" w:rsidRDefault="00EC611D"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 </w:t>
            </w:r>
          </w:p>
        </w:tc>
        <w:tc>
          <w:tcPr>
            <w:tcW w:w="960" w:type="dxa"/>
            <w:tcBorders>
              <w:top w:val="nil"/>
              <w:left w:val="nil"/>
              <w:bottom w:val="single" w:sz="8" w:space="0" w:color="auto"/>
              <w:right w:val="nil"/>
            </w:tcBorders>
            <w:shd w:val="clear" w:color="auto" w:fill="auto"/>
            <w:vAlign w:val="center"/>
            <w:hideMark/>
          </w:tcPr>
          <w:p w:rsidR="00EC611D" w:rsidRPr="00EC611D" w:rsidRDefault="00EC611D"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Mean</w:t>
            </w:r>
          </w:p>
        </w:tc>
        <w:tc>
          <w:tcPr>
            <w:tcW w:w="1282" w:type="dxa"/>
            <w:tcBorders>
              <w:top w:val="nil"/>
              <w:left w:val="single" w:sz="8" w:space="0" w:color="auto"/>
              <w:bottom w:val="single" w:sz="8" w:space="0" w:color="auto"/>
              <w:right w:val="single" w:sz="8" w:space="0" w:color="auto"/>
            </w:tcBorders>
            <w:shd w:val="clear" w:color="auto" w:fill="auto"/>
            <w:vAlign w:val="center"/>
            <w:hideMark/>
          </w:tcPr>
          <w:p w:rsidR="00EC611D" w:rsidRPr="00EC611D" w:rsidRDefault="00106F41" w:rsidP="00137C7C">
            <w:pPr>
              <w:spacing w:after="0" w:line="240" w:lineRule="auto"/>
              <w:rPr>
                <w:rFonts w:cstheme="minorHAnsi"/>
              </w:rPr>
            </w:pPr>
            <w:r>
              <w:rPr>
                <w:rFonts w:cstheme="minorHAnsi"/>
              </w:rPr>
              <w:t>78.10</w:t>
            </w:r>
          </w:p>
        </w:tc>
      </w:tr>
      <w:tr w:rsidR="003E275F" w:rsidRPr="00EC611D" w:rsidTr="00137C7C">
        <w:trPr>
          <w:trHeight w:val="315"/>
        </w:trPr>
        <w:tc>
          <w:tcPr>
            <w:tcW w:w="3420" w:type="dxa"/>
            <w:gridSpan w:val="2"/>
            <w:tcBorders>
              <w:top w:val="single" w:sz="8" w:space="0" w:color="auto"/>
              <w:left w:val="single" w:sz="8" w:space="0" w:color="auto"/>
              <w:bottom w:val="single" w:sz="8" w:space="0" w:color="auto"/>
              <w:right w:val="nil"/>
            </w:tcBorders>
            <w:shd w:val="clear" w:color="auto" w:fill="B6DDE8" w:themeFill="accent5" w:themeFillTint="66"/>
            <w:vAlign w:val="center"/>
            <w:hideMark/>
          </w:tcPr>
          <w:p w:rsidR="003E275F" w:rsidRPr="00EC611D" w:rsidRDefault="00447A0C"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Commercial Rates Percentage 2011</w:t>
            </w:r>
          </w:p>
        </w:tc>
        <w:tc>
          <w:tcPr>
            <w:tcW w:w="1282" w:type="dxa"/>
            <w:tcBorders>
              <w:top w:val="nil"/>
              <w:left w:val="single" w:sz="8" w:space="0" w:color="auto"/>
              <w:bottom w:val="single" w:sz="8" w:space="0" w:color="auto"/>
              <w:right w:val="single" w:sz="8" w:space="0" w:color="auto"/>
            </w:tcBorders>
            <w:shd w:val="clear" w:color="auto" w:fill="B6DDE8" w:themeFill="accent5" w:themeFillTint="66"/>
            <w:vAlign w:val="center"/>
            <w:hideMark/>
          </w:tcPr>
          <w:p w:rsidR="003E275F" w:rsidRPr="00EC611D" w:rsidRDefault="003E275F" w:rsidP="00137C7C">
            <w:pPr>
              <w:spacing w:after="0" w:line="240" w:lineRule="auto"/>
              <w:rPr>
                <w:rFonts w:eastAsia="Times New Roman" w:cstheme="minorHAnsi"/>
                <w:b/>
                <w:bCs/>
                <w:color w:val="000000"/>
                <w:lang w:eastAsia="en-IE"/>
              </w:rPr>
            </w:pPr>
            <w:r w:rsidRPr="00EC611D">
              <w:rPr>
                <w:rFonts w:eastAsia="Times New Roman" w:cstheme="minorHAnsi"/>
                <w:b/>
                <w:bCs/>
                <w:color w:val="000000"/>
                <w:lang w:eastAsia="en-IE"/>
              </w:rPr>
              <w:t> </w:t>
            </w:r>
          </w:p>
        </w:tc>
      </w:tr>
      <w:tr w:rsidR="003E275F" w:rsidRPr="00EC611D"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N</w:t>
            </w:r>
          </w:p>
        </w:tc>
        <w:tc>
          <w:tcPr>
            <w:tcW w:w="960" w:type="dxa"/>
            <w:tcBorders>
              <w:top w:val="nil"/>
              <w:left w:val="nil"/>
              <w:bottom w:val="single" w:sz="8" w:space="0" w:color="auto"/>
              <w:right w:val="nil"/>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Valid</w:t>
            </w:r>
          </w:p>
        </w:tc>
        <w:tc>
          <w:tcPr>
            <w:tcW w:w="1282" w:type="dxa"/>
            <w:tcBorders>
              <w:top w:val="nil"/>
              <w:left w:val="single" w:sz="8" w:space="0" w:color="auto"/>
              <w:bottom w:val="single" w:sz="8" w:space="0" w:color="auto"/>
              <w:right w:val="single" w:sz="8" w:space="0" w:color="auto"/>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31</w:t>
            </w:r>
          </w:p>
        </w:tc>
      </w:tr>
      <w:tr w:rsidR="003E275F" w:rsidRPr="00EC611D"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 </w:t>
            </w:r>
          </w:p>
        </w:tc>
        <w:tc>
          <w:tcPr>
            <w:tcW w:w="960" w:type="dxa"/>
            <w:tcBorders>
              <w:top w:val="nil"/>
              <w:left w:val="nil"/>
              <w:bottom w:val="single" w:sz="8" w:space="0" w:color="auto"/>
              <w:right w:val="nil"/>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Missing</w:t>
            </w:r>
          </w:p>
        </w:tc>
        <w:tc>
          <w:tcPr>
            <w:tcW w:w="1282" w:type="dxa"/>
            <w:tcBorders>
              <w:top w:val="nil"/>
              <w:left w:val="single" w:sz="8" w:space="0" w:color="auto"/>
              <w:bottom w:val="single" w:sz="8" w:space="0" w:color="auto"/>
              <w:right w:val="single" w:sz="8" w:space="0" w:color="auto"/>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0</w:t>
            </w:r>
          </w:p>
        </w:tc>
      </w:tr>
      <w:tr w:rsidR="00EC611D" w:rsidRPr="00EC611D"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EC611D" w:rsidRPr="00EC611D" w:rsidRDefault="00EC611D" w:rsidP="00137C7C">
            <w:pPr>
              <w:spacing w:after="0" w:line="240" w:lineRule="auto"/>
              <w:rPr>
                <w:rFonts w:eastAsia="Times New Roman" w:cstheme="minorHAnsi"/>
                <w:b/>
                <w:bCs/>
                <w:color w:val="000000"/>
                <w:lang w:eastAsia="en-IE"/>
              </w:rPr>
            </w:pPr>
            <w:r w:rsidRPr="00EC611D">
              <w:rPr>
                <w:rFonts w:eastAsia="Times New Roman" w:cstheme="minorHAns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EC611D" w:rsidRPr="00EC611D" w:rsidRDefault="00EC611D" w:rsidP="00137C7C">
            <w:pPr>
              <w:spacing w:after="0" w:line="240" w:lineRule="auto"/>
              <w:rPr>
                <w:rFonts w:eastAsia="Times New Roman" w:cstheme="minorHAnsi"/>
                <w:b/>
                <w:bCs/>
                <w:color w:val="000000"/>
                <w:lang w:eastAsia="en-IE"/>
              </w:rPr>
            </w:pPr>
            <w:r w:rsidRPr="00EC611D">
              <w:rPr>
                <w:rFonts w:eastAsia="Times New Roman" w:cstheme="minorHAnsi"/>
                <w:b/>
                <w:bCs/>
                <w:color w:val="000000"/>
                <w:lang w:eastAsia="en-IE"/>
              </w:rPr>
              <w:t>Median</w:t>
            </w:r>
          </w:p>
        </w:tc>
        <w:tc>
          <w:tcPr>
            <w:tcW w:w="1282" w:type="dxa"/>
            <w:tcBorders>
              <w:top w:val="nil"/>
              <w:left w:val="nil"/>
              <w:bottom w:val="single" w:sz="8" w:space="0" w:color="auto"/>
              <w:right w:val="single" w:sz="8" w:space="0" w:color="auto"/>
            </w:tcBorders>
            <w:shd w:val="clear" w:color="auto" w:fill="auto"/>
            <w:vAlign w:val="center"/>
            <w:hideMark/>
          </w:tcPr>
          <w:p w:rsidR="00EC611D" w:rsidRPr="00EC611D" w:rsidRDefault="00EC611D" w:rsidP="00137C7C">
            <w:pPr>
              <w:spacing w:after="0" w:line="240" w:lineRule="auto"/>
              <w:rPr>
                <w:rFonts w:cstheme="minorHAnsi"/>
                <w:b/>
                <w:bCs/>
                <w:color w:val="000000"/>
              </w:rPr>
            </w:pPr>
            <w:r w:rsidRPr="00EC611D">
              <w:rPr>
                <w:rFonts w:cstheme="minorHAnsi"/>
                <w:b/>
                <w:bCs/>
                <w:color w:val="000000"/>
              </w:rPr>
              <w:t>76.00</w:t>
            </w:r>
          </w:p>
        </w:tc>
      </w:tr>
      <w:tr w:rsidR="00EC611D" w:rsidRPr="00EC611D"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EC611D" w:rsidRPr="00EC611D" w:rsidRDefault="00EC611D"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EC611D" w:rsidRPr="00EC611D" w:rsidRDefault="00EC611D"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Mean</w:t>
            </w:r>
          </w:p>
        </w:tc>
        <w:tc>
          <w:tcPr>
            <w:tcW w:w="1282" w:type="dxa"/>
            <w:tcBorders>
              <w:top w:val="nil"/>
              <w:left w:val="nil"/>
              <w:bottom w:val="single" w:sz="8" w:space="0" w:color="auto"/>
              <w:right w:val="single" w:sz="8" w:space="0" w:color="auto"/>
            </w:tcBorders>
            <w:shd w:val="clear" w:color="auto" w:fill="auto"/>
            <w:vAlign w:val="center"/>
            <w:hideMark/>
          </w:tcPr>
          <w:p w:rsidR="00EC611D" w:rsidRPr="00EC611D" w:rsidRDefault="00106F41" w:rsidP="00137C7C">
            <w:pPr>
              <w:spacing w:after="0" w:line="240" w:lineRule="auto"/>
              <w:rPr>
                <w:rFonts w:cstheme="minorHAnsi"/>
                <w:color w:val="000000"/>
              </w:rPr>
            </w:pPr>
            <w:r>
              <w:rPr>
                <w:rFonts w:cstheme="minorHAnsi"/>
                <w:color w:val="000000"/>
              </w:rPr>
              <w:t>74.81</w:t>
            </w:r>
          </w:p>
        </w:tc>
      </w:tr>
      <w:tr w:rsidR="003E275F" w:rsidRPr="00EC611D" w:rsidTr="00137C7C">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3E275F" w:rsidRPr="00EC611D" w:rsidRDefault="00447A0C"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Commercial Rates Percentage 2012</w:t>
            </w:r>
          </w:p>
        </w:tc>
        <w:tc>
          <w:tcPr>
            <w:tcW w:w="1282" w:type="dxa"/>
            <w:tcBorders>
              <w:top w:val="nil"/>
              <w:left w:val="nil"/>
              <w:bottom w:val="single" w:sz="8" w:space="0" w:color="auto"/>
              <w:right w:val="single" w:sz="8" w:space="0" w:color="auto"/>
            </w:tcBorders>
            <w:shd w:val="clear" w:color="auto" w:fill="B6DDE8" w:themeFill="accent5" w:themeFillTint="66"/>
            <w:vAlign w:val="center"/>
            <w:hideMark/>
          </w:tcPr>
          <w:p w:rsidR="003E275F" w:rsidRPr="00EC611D" w:rsidRDefault="003E275F" w:rsidP="00137C7C">
            <w:pPr>
              <w:spacing w:after="0" w:line="240" w:lineRule="auto"/>
              <w:rPr>
                <w:rFonts w:eastAsia="Times New Roman" w:cstheme="minorHAnsi"/>
                <w:b/>
                <w:bCs/>
                <w:color w:val="000000"/>
                <w:lang w:eastAsia="en-IE"/>
              </w:rPr>
            </w:pPr>
            <w:r w:rsidRPr="00EC611D">
              <w:rPr>
                <w:rFonts w:eastAsia="Times New Roman" w:cstheme="minorHAnsi"/>
                <w:b/>
                <w:bCs/>
                <w:color w:val="000000"/>
                <w:lang w:eastAsia="en-IE"/>
              </w:rPr>
              <w:t> </w:t>
            </w:r>
          </w:p>
        </w:tc>
      </w:tr>
      <w:tr w:rsidR="003E275F" w:rsidRPr="00EC611D"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Valid</w:t>
            </w:r>
          </w:p>
        </w:tc>
        <w:tc>
          <w:tcPr>
            <w:tcW w:w="1282" w:type="dxa"/>
            <w:tcBorders>
              <w:top w:val="nil"/>
              <w:left w:val="nil"/>
              <w:bottom w:val="single" w:sz="8" w:space="0" w:color="auto"/>
              <w:right w:val="single" w:sz="8" w:space="0" w:color="auto"/>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31</w:t>
            </w:r>
          </w:p>
        </w:tc>
      </w:tr>
      <w:tr w:rsidR="003E275F" w:rsidRPr="00EC611D"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Missing</w:t>
            </w:r>
          </w:p>
        </w:tc>
        <w:tc>
          <w:tcPr>
            <w:tcW w:w="1282" w:type="dxa"/>
            <w:tcBorders>
              <w:top w:val="nil"/>
              <w:left w:val="nil"/>
              <w:bottom w:val="single" w:sz="8" w:space="0" w:color="auto"/>
              <w:right w:val="single" w:sz="8" w:space="0" w:color="auto"/>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0</w:t>
            </w:r>
          </w:p>
        </w:tc>
      </w:tr>
      <w:tr w:rsidR="00EC611D" w:rsidRPr="00EC611D"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EC611D" w:rsidRPr="00EC611D" w:rsidRDefault="00EC611D" w:rsidP="00137C7C">
            <w:pPr>
              <w:spacing w:after="0" w:line="240" w:lineRule="auto"/>
              <w:rPr>
                <w:rFonts w:eastAsia="Times New Roman" w:cstheme="minorHAnsi"/>
                <w:b/>
                <w:bCs/>
                <w:color w:val="000000"/>
                <w:lang w:eastAsia="en-IE"/>
              </w:rPr>
            </w:pPr>
            <w:r w:rsidRPr="00EC611D">
              <w:rPr>
                <w:rFonts w:eastAsia="Times New Roman" w:cstheme="minorHAns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EC611D" w:rsidRPr="00EC611D" w:rsidRDefault="00EC611D" w:rsidP="00137C7C">
            <w:pPr>
              <w:spacing w:after="0" w:line="240" w:lineRule="auto"/>
              <w:rPr>
                <w:rFonts w:eastAsia="Times New Roman" w:cstheme="minorHAnsi"/>
                <w:b/>
                <w:bCs/>
                <w:color w:val="000000"/>
                <w:lang w:eastAsia="en-IE"/>
              </w:rPr>
            </w:pPr>
            <w:r w:rsidRPr="00EC611D">
              <w:rPr>
                <w:rFonts w:eastAsia="Times New Roman" w:cstheme="minorHAnsi"/>
                <w:b/>
                <w:bCs/>
                <w:color w:val="000000"/>
                <w:lang w:eastAsia="en-IE"/>
              </w:rPr>
              <w:t>Median</w:t>
            </w:r>
          </w:p>
        </w:tc>
        <w:tc>
          <w:tcPr>
            <w:tcW w:w="1282" w:type="dxa"/>
            <w:tcBorders>
              <w:top w:val="nil"/>
              <w:left w:val="nil"/>
              <w:bottom w:val="single" w:sz="8" w:space="0" w:color="auto"/>
              <w:right w:val="single" w:sz="8" w:space="0" w:color="auto"/>
            </w:tcBorders>
            <w:shd w:val="clear" w:color="auto" w:fill="auto"/>
            <w:vAlign w:val="center"/>
            <w:hideMark/>
          </w:tcPr>
          <w:p w:rsidR="00EC611D" w:rsidRPr="00EC611D" w:rsidRDefault="00EC611D" w:rsidP="00137C7C">
            <w:pPr>
              <w:spacing w:after="0" w:line="240" w:lineRule="auto"/>
              <w:rPr>
                <w:rFonts w:cstheme="minorHAnsi"/>
                <w:b/>
                <w:bCs/>
                <w:color w:val="000000"/>
              </w:rPr>
            </w:pPr>
            <w:r w:rsidRPr="00EC611D">
              <w:rPr>
                <w:rFonts w:cstheme="minorHAnsi"/>
                <w:b/>
                <w:bCs/>
                <w:color w:val="000000"/>
              </w:rPr>
              <w:t>74.00</w:t>
            </w:r>
          </w:p>
        </w:tc>
      </w:tr>
      <w:tr w:rsidR="00EC611D" w:rsidRPr="00EC611D"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EC611D" w:rsidRPr="00EC611D" w:rsidRDefault="00EC611D"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EC611D" w:rsidRPr="00EC611D" w:rsidRDefault="00EC611D"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Mean</w:t>
            </w:r>
          </w:p>
        </w:tc>
        <w:tc>
          <w:tcPr>
            <w:tcW w:w="1282" w:type="dxa"/>
            <w:tcBorders>
              <w:top w:val="nil"/>
              <w:left w:val="nil"/>
              <w:bottom w:val="single" w:sz="8" w:space="0" w:color="auto"/>
              <w:right w:val="single" w:sz="8" w:space="0" w:color="auto"/>
            </w:tcBorders>
            <w:shd w:val="clear" w:color="auto" w:fill="auto"/>
            <w:vAlign w:val="center"/>
            <w:hideMark/>
          </w:tcPr>
          <w:p w:rsidR="00EC611D" w:rsidRPr="00EC611D" w:rsidRDefault="00106F41" w:rsidP="00137C7C">
            <w:pPr>
              <w:spacing w:after="0" w:line="240" w:lineRule="auto"/>
              <w:rPr>
                <w:rFonts w:cstheme="minorHAnsi"/>
                <w:color w:val="000000"/>
              </w:rPr>
            </w:pPr>
            <w:r>
              <w:rPr>
                <w:rFonts w:cstheme="minorHAnsi"/>
                <w:color w:val="000000"/>
              </w:rPr>
              <w:t>72.32</w:t>
            </w:r>
          </w:p>
        </w:tc>
      </w:tr>
      <w:tr w:rsidR="003E275F" w:rsidRPr="00EC611D" w:rsidTr="00137C7C">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3E275F" w:rsidRPr="00EC611D" w:rsidRDefault="00447A0C"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Commercial Rates Percentage 2013</w:t>
            </w:r>
          </w:p>
        </w:tc>
        <w:tc>
          <w:tcPr>
            <w:tcW w:w="1282" w:type="dxa"/>
            <w:tcBorders>
              <w:top w:val="nil"/>
              <w:left w:val="nil"/>
              <w:bottom w:val="single" w:sz="8" w:space="0" w:color="auto"/>
              <w:right w:val="single" w:sz="8" w:space="0" w:color="auto"/>
            </w:tcBorders>
            <w:shd w:val="clear" w:color="auto" w:fill="B6DDE8" w:themeFill="accent5" w:themeFillTint="66"/>
            <w:vAlign w:val="center"/>
            <w:hideMark/>
          </w:tcPr>
          <w:p w:rsidR="003E275F" w:rsidRPr="00EC611D" w:rsidRDefault="003E275F" w:rsidP="00137C7C">
            <w:pPr>
              <w:spacing w:after="0" w:line="240" w:lineRule="auto"/>
              <w:rPr>
                <w:rFonts w:eastAsia="Times New Roman" w:cstheme="minorHAnsi"/>
                <w:b/>
                <w:bCs/>
                <w:color w:val="000000"/>
                <w:lang w:eastAsia="en-IE"/>
              </w:rPr>
            </w:pPr>
            <w:r w:rsidRPr="00EC611D">
              <w:rPr>
                <w:rFonts w:eastAsia="Times New Roman" w:cstheme="minorHAnsi"/>
                <w:b/>
                <w:bCs/>
                <w:color w:val="000000"/>
                <w:lang w:eastAsia="en-IE"/>
              </w:rPr>
              <w:t> </w:t>
            </w:r>
          </w:p>
        </w:tc>
      </w:tr>
      <w:tr w:rsidR="003E275F" w:rsidRPr="00EC611D"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Valid</w:t>
            </w:r>
          </w:p>
        </w:tc>
        <w:tc>
          <w:tcPr>
            <w:tcW w:w="1282" w:type="dxa"/>
            <w:tcBorders>
              <w:top w:val="nil"/>
              <w:left w:val="nil"/>
              <w:bottom w:val="single" w:sz="8" w:space="0" w:color="auto"/>
              <w:right w:val="single" w:sz="8" w:space="0" w:color="auto"/>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31</w:t>
            </w:r>
          </w:p>
        </w:tc>
      </w:tr>
      <w:tr w:rsidR="003E275F" w:rsidRPr="00EC611D"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Missing</w:t>
            </w:r>
          </w:p>
        </w:tc>
        <w:tc>
          <w:tcPr>
            <w:tcW w:w="1282" w:type="dxa"/>
            <w:tcBorders>
              <w:top w:val="nil"/>
              <w:left w:val="nil"/>
              <w:bottom w:val="single" w:sz="8" w:space="0" w:color="auto"/>
              <w:right w:val="single" w:sz="8" w:space="0" w:color="auto"/>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0</w:t>
            </w:r>
          </w:p>
        </w:tc>
      </w:tr>
      <w:tr w:rsidR="00EC611D" w:rsidRPr="00EC611D"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EC611D" w:rsidRPr="00EC611D" w:rsidRDefault="00EC611D" w:rsidP="00137C7C">
            <w:pPr>
              <w:spacing w:after="0" w:line="240" w:lineRule="auto"/>
              <w:rPr>
                <w:rFonts w:eastAsia="Times New Roman" w:cstheme="minorHAnsi"/>
                <w:b/>
                <w:bCs/>
                <w:color w:val="000000"/>
                <w:lang w:eastAsia="en-IE"/>
              </w:rPr>
            </w:pPr>
            <w:r w:rsidRPr="00EC611D">
              <w:rPr>
                <w:rFonts w:eastAsia="Times New Roman" w:cstheme="minorHAns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EC611D" w:rsidRPr="00EC611D" w:rsidRDefault="00EC611D" w:rsidP="00137C7C">
            <w:pPr>
              <w:spacing w:after="0" w:line="240" w:lineRule="auto"/>
              <w:rPr>
                <w:rFonts w:eastAsia="Times New Roman" w:cstheme="minorHAnsi"/>
                <w:b/>
                <w:bCs/>
                <w:color w:val="000000"/>
                <w:lang w:eastAsia="en-IE"/>
              </w:rPr>
            </w:pPr>
            <w:r w:rsidRPr="00EC611D">
              <w:rPr>
                <w:rFonts w:eastAsia="Times New Roman" w:cstheme="minorHAnsi"/>
                <w:b/>
                <w:bCs/>
                <w:color w:val="000000"/>
                <w:lang w:eastAsia="en-IE"/>
              </w:rPr>
              <w:t>Median</w:t>
            </w:r>
          </w:p>
        </w:tc>
        <w:tc>
          <w:tcPr>
            <w:tcW w:w="1282" w:type="dxa"/>
            <w:tcBorders>
              <w:top w:val="nil"/>
              <w:left w:val="nil"/>
              <w:bottom w:val="single" w:sz="8" w:space="0" w:color="auto"/>
              <w:right w:val="single" w:sz="8" w:space="0" w:color="auto"/>
            </w:tcBorders>
            <w:shd w:val="clear" w:color="auto" w:fill="auto"/>
            <w:vAlign w:val="center"/>
            <w:hideMark/>
          </w:tcPr>
          <w:p w:rsidR="00EC611D" w:rsidRPr="00EC611D" w:rsidRDefault="00EC611D" w:rsidP="00137C7C">
            <w:pPr>
              <w:spacing w:after="0" w:line="240" w:lineRule="auto"/>
              <w:rPr>
                <w:rFonts w:cstheme="minorHAnsi"/>
                <w:b/>
                <w:bCs/>
                <w:color w:val="000000"/>
              </w:rPr>
            </w:pPr>
            <w:r w:rsidRPr="00EC611D">
              <w:rPr>
                <w:rFonts w:cstheme="minorHAnsi"/>
                <w:b/>
                <w:bCs/>
                <w:color w:val="000000"/>
              </w:rPr>
              <w:t>73.00</w:t>
            </w:r>
          </w:p>
        </w:tc>
      </w:tr>
      <w:tr w:rsidR="00EC611D" w:rsidRPr="00EC611D"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EC611D" w:rsidRPr="00EC611D" w:rsidRDefault="00EC611D"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EC611D" w:rsidRPr="00EC611D" w:rsidRDefault="00EC611D"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Mean</w:t>
            </w:r>
          </w:p>
        </w:tc>
        <w:tc>
          <w:tcPr>
            <w:tcW w:w="1282" w:type="dxa"/>
            <w:tcBorders>
              <w:top w:val="nil"/>
              <w:left w:val="nil"/>
              <w:bottom w:val="single" w:sz="8" w:space="0" w:color="auto"/>
              <w:right w:val="single" w:sz="8" w:space="0" w:color="auto"/>
            </w:tcBorders>
            <w:shd w:val="clear" w:color="auto" w:fill="auto"/>
            <w:vAlign w:val="center"/>
            <w:hideMark/>
          </w:tcPr>
          <w:p w:rsidR="00EC611D" w:rsidRPr="00EC611D" w:rsidRDefault="00106F41" w:rsidP="00137C7C">
            <w:pPr>
              <w:spacing w:after="0" w:line="240" w:lineRule="auto"/>
              <w:rPr>
                <w:rFonts w:cstheme="minorHAnsi"/>
                <w:color w:val="000000"/>
              </w:rPr>
            </w:pPr>
            <w:r>
              <w:rPr>
                <w:rFonts w:cstheme="minorHAnsi"/>
                <w:color w:val="000000"/>
              </w:rPr>
              <w:t>72.48</w:t>
            </w:r>
          </w:p>
        </w:tc>
      </w:tr>
      <w:tr w:rsidR="003E275F" w:rsidRPr="00EC611D" w:rsidTr="00137C7C">
        <w:trPr>
          <w:trHeight w:val="315"/>
        </w:trPr>
        <w:tc>
          <w:tcPr>
            <w:tcW w:w="3420"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3E275F" w:rsidRPr="00EC611D" w:rsidRDefault="00447A0C"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Commercial Rates Percentage 2014</w:t>
            </w:r>
          </w:p>
        </w:tc>
        <w:tc>
          <w:tcPr>
            <w:tcW w:w="1282" w:type="dxa"/>
            <w:tcBorders>
              <w:top w:val="nil"/>
              <w:left w:val="nil"/>
              <w:bottom w:val="single" w:sz="8" w:space="0" w:color="auto"/>
              <w:right w:val="single" w:sz="8" w:space="0" w:color="auto"/>
            </w:tcBorders>
            <w:shd w:val="clear" w:color="auto" w:fill="B6DDE8" w:themeFill="accent5" w:themeFillTint="66"/>
            <w:vAlign w:val="center"/>
            <w:hideMark/>
          </w:tcPr>
          <w:p w:rsidR="003E275F" w:rsidRPr="00EC611D" w:rsidRDefault="003E275F" w:rsidP="00137C7C">
            <w:pPr>
              <w:spacing w:after="0" w:line="240" w:lineRule="auto"/>
              <w:rPr>
                <w:rFonts w:eastAsia="Times New Roman" w:cstheme="minorHAnsi"/>
                <w:b/>
                <w:bCs/>
                <w:color w:val="000000"/>
                <w:lang w:eastAsia="en-IE"/>
              </w:rPr>
            </w:pPr>
            <w:r w:rsidRPr="00EC611D">
              <w:rPr>
                <w:rFonts w:eastAsia="Times New Roman" w:cstheme="minorHAnsi"/>
                <w:b/>
                <w:bCs/>
                <w:color w:val="000000"/>
                <w:lang w:eastAsia="en-IE"/>
              </w:rPr>
              <w:t> </w:t>
            </w:r>
          </w:p>
        </w:tc>
      </w:tr>
      <w:tr w:rsidR="003E275F" w:rsidRPr="00EC611D"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N</w:t>
            </w:r>
          </w:p>
        </w:tc>
        <w:tc>
          <w:tcPr>
            <w:tcW w:w="960" w:type="dxa"/>
            <w:tcBorders>
              <w:top w:val="nil"/>
              <w:left w:val="nil"/>
              <w:bottom w:val="single" w:sz="8" w:space="0" w:color="auto"/>
              <w:right w:val="single" w:sz="8" w:space="0" w:color="auto"/>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Valid</w:t>
            </w:r>
          </w:p>
        </w:tc>
        <w:tc>
          <w:tcPr>
            <w:tcW w:w="1282" w:type="dxa"/>
            <w:tcBorders>
              <w:top w:val="nil"/>
              <w:left w:val="nil"/>
              <w:bottom w:val="single" w:sz="8" w:space="0" w:color="auto"/>
              <w:right w:val="single" w:sz="8" w:space="0" w:color="auto"/>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31</w:t>
            </w:r>
          </w:p>
        </w:tc>
      </w:tr>
      <w:tr w:rsidR="003E275F" w:rsidRPr="00EC611D"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Missing</w:t>
            </w:r>
          </w:p>
        </w:tc>
        <w:tc>
          <w:tcPr>
            <w:tcW w:w="1282" w:type="dxa"/>
            <w:tcBorders>
              <w:top w:val="nil"/>
              <w:left w:val="nil"/>
              <w:bottom w:val="single" w:sz="8" w:space="0" w:color="auto"/>
              <w:right w:val="single" w:sz="8" w:space="0" w:color="auto"/>
            </w:tcBorders>
            <w:shd w:val="clear" w:color="auto" w:fill="auto"/>
            <w:vAlign w:val="center"/>
            <w:hideMark/>
          </w:tcPr>
          <w:p w:rsidR="003E275F" w:rsidRPr="00EC611D" w:rsidRDefault="003E275F"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0</w:t>
            </w:r>
          </w:p>
        </w:tc>
      </w:tr>
      <w:tr w:rsidR="00EC611D" w:rsidRPr="00EC611D"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EC611D" w:rsidRPr="00EC611D" w:rsidRDefault="00EC611D" w:rsidP="00137C7C">
            <w:pPr>
              <w:spacing w:after="0" w:line="240" w:lineRule="auto"/>
              <w:rPr>
                <w:rFonts w:eastAsia="Times New Roman" w:cstheme="minorHAnsi"/>
                <w:b/>
                <w:bCs/>
                <w:color w:val="000000"/>
                <w:lang w:eastAsia="en-IE"/>
              </w:rPr>
            </w:pPr>
            <w:r w:rsidRPr="00EC611D">
              <w:rPr>
                <w:rFonts w:eastAsia="Times New Roman" w:cstheme="minorHAnsi"/>
                <w:b/>
                <w:bCs/>
                <w:color w:val="000000"/>
                <w:lang w:eastAsia="en-IE"/>
              </w:rPr>
              <w:t>Average</w:t>
            </w:r>
          </w:p>
        </w:tc>
        <w:tc>
          <w:tcPr>
            <w:tcW w:w="960" w:type="dxa"/>
            <w:tcBorders>
              <w:top w:val="nil"/>
              <w:left w:val="nil"/>
              <w:bottom w:val="single" w:sz="8" w:space="0" w:color="auto"/>
              <w:right w:val="single" w:sz="8" w:space="0" w:color="auto"/>
            </w:tcBorders>
            <w:shd w:val="clear" w:color="auto" w:fill="auto"/>
            <w:vAlign w:val="center"/>
            <w:hideMark/>
          </w:tcPr>
          <w:p w:rsidR="00EC611D" w:rsidRPr="00EC611D" w:rsidRDefault="00EC611D" w:rsidP="00137C7C">
            <w:pPr>
              <w:spacing w:after="0" w:line="240" w:lineRule="auto"/>
              <w:rPr>
                <w:rFonts w:eastAsia="Times New Roman" w:cstheme="minorHAnsi"/>
                <w:b/>
                <w:bCs/>
                <w:color w:val="000000"/>
                <w:lang w:eastAsia="en-IE"/>
              </w:rPr>
            </w:pPr>
            <w:r w:rsidRPr="00EC611D">
              <w:rPr>
                <w:rFonts w:eastAsia="Times New Roman" w:cstheme="minorHAnsi"/>
                <w:b/>
                <w:bCs/>
                <w:color w:val="000000"/>
                <w:lang w:eastAsia="en-IE"/>
              </w:rPr>
              <w:t>Median</w:t>
            </w:r>
          </w:p>
        </w:tc>
        <w:tc>
          <w:tcPr>
            <w:tcW w:w="1282" w:type="dxa"/>
            <w:tcBorders>
              <w:top w:val="nil"/>
              <w:left w:val="nil"/>
              <w:bottom w:val="single" w:sz="8" w:space="0" w:color="auto"/>
              <w:right w:val="single" w:sz="8" w:space="0" w:color="auto"/>
            </w:tcBorders>
            <w:shd w:val="clear" w:color="auto" w:fill="auto"/>
            <w:vAlign w:val="center"/>
            <w:hideMark/>
          </w:tcPr>
          <w:p w:rsidR="00EC611D" w:rsidRPr="00EC611D" w:rsidRDefault="00EC611D" w:rsidP="00137C7C">
            <w:pPr>
              <w:spacing w:after="0" w:line="240" w:lineRule="auto"/>
              <w:rPr>
                <w:rFonts w:cstheme="minorHAnsi"/>
                <w:b/>
                <w:bCs/>
                <w:color w:val="000000"/>
              </w:rPr>
            </w:pPr>
            <w:r w:rsidRPr="00EC611D">
              <w:rPr>
                <w:rFonts w:cstheme="minorHAnsi"/>
                <w:b/>
                <w:bCs/>
                <w:color w:val="000000"/>
              </w:rPr>
              <w:t>72.00</w:t>
            </w:r>
          </w:p>
        </w:tc>
      </w:tr>
      <w:tr w:rsidR="00EC611D" w:rsidRPr="00EC611D"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EC611D" w:rsidRPr="00EC611D" w:rsidRDefault="00EC611D"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 </w:t>
            </w:r>
          </w:p>
        </w:tc>
        <w:tc>
          <w:tcPr>
            <w:tcW w:w="960" w:type="dxa"/>
            <w:tcBorders>
              <w:top w:val="nil"/>
              <w:left w:val="nil"/>
              <w:bottom w:val="single" w:sz="8" w:space="0" w:color="auto"/>
              <w:right w:val="single" w:sz="8" w:space="0" w:color="auto"/>
            </w:tcBorders>
            <w:shd w:val="clear" w:color="auto" w:fill="auto"/>
            <w:vAlign w:val="center"/>
            <w:hideMark/>
          </w:tcPr>
          <w:p w:rsidR="00EC611D" w:rsidRPr="00EC611D" w:rsidRDefault="00EC611D" w:rsidP="00137C7C">
            <w:pPr>
              <w:spacing w:after="0" w:line="240" w:lineRule="auto"/>
              <w:rPr>
                <w:rFonts w:eastAsia="Times New Roman" w:cstheme="minorHAnsi"/>
                <w:color w:val="000000"/>
                <w:lang w:eastAsia="en-IE"/>
              </w:rPr>
            </w:pPr>
            <w:r w:rsidRPr="00EC611D">
              <w:rPr>
                <w:rFonts w:eastAsia="Times New Roman" w:cstheme="minorHAnsi"/>
                <w:color w:val="000000"/>
                <w:lang w:eastAsia="en-IE"/>
              </w:rPr>
              <w:t>Mean</w:t>
            </w:r>
          </w:p>
        </w:tc>
        <w:tc>
          <w:tcPr>
            <w:tcW w:w="1282" w:type="dxa"/>
            <w:tcBorders>
              <w:top w:val="nil"/>
              <w:left w:val="nil"/>
              <w:bottom w:val="single" w:sz="8" w:space="0" w:color="auto"/>
              <w:right w:val="single" w:sz="8" w:space="0" w:color="auto"/>
            </w:tcBorders>
            <w:shd w:val="clear" w:color="auto" w:fill="auto"/>
            <w:vAlign w:val="center"/>
            <w:hideMark/>
          </w:tcPr>
          <w:p w:rsidR="00EC611D" w:rsidRPr="00EC611D" w:rsidRDefault="00EC611D" w:rsidP="00137C7C">
            <w:pPr>
              <w:spacing w:after="0" w:line="240" w:lineRule="auto"/>
              <w:rPr>
                <w:rFonts w:cstheme="minorHAnsi"/>
                <w:color w:val="000000"/>
              </w:rPr>
            </w:pPr>
            <w:r w:rsidRPr="00EC611D">
              <w:rPr>
                <w:rFonts w:cstheme="minorHAnsi"/>
                <w:color w:val="000000"/>
              </w:rPr>
              <w:t>73</w:t>
            </w:r>
            <w:r w:rsidR="00E91F36">
              <w:rPr>
                <w:rFonts w:cstheme="minorHAnsi"/>
                <w:color w:val="000000"/>
              </w:rPr>
              <w:t>.06</w:t>
            </w:r>
          </w:p>
        </w:tc>
      </w:tr>
    </w:tbl>
    <w:p w:rsidR="003E275F" w:rsidRPr="00B97E75" w:rsidRDefault="003E275F" w:rsidP="00E972EB">
      <w:pPr>
        <w:rPr>
          <w:rFonts w:eastAsia="Times New Roman" w:cstheme="minorHAnsi"/>
          <w:b/>
          <w:bCs/>
          <w:color w:val="000000"/>
          <w:lang w:eastAsia="en-IE"/>
        </w:rPr>
      </w:pPr>
    </w:p>
    <w:p w:rsidR="003E275F" w:rsidRPr="00B97E75" w:rsidRDefault="003E275F" w:rsidP="00E972EB">
      <w:pPr>
        <w:rPr>
          <w:rFonts w:eastAsia="Times New Roman" w:cstheme="minorHAnsi"/>
          <w:b/>
          <w:bCs/>
          <w:color w:val="000000"/>
          <w:lang w:eastAsia="en-IE"/>
        </w:rPr>
      </w:pPr>
    </w:p>
    <w:p w:rsidR="003E275F" w:rsidRPr="00B97E75" w:rsidRDefault="003E275F" w:rsidP="00E972EB">
      <w:pPr>
        <w:rPr>
          <w:rFonts w:eastAsia="Times New Roman" w:cstheme="minorHAnsi"/>
          <w:b/>
          <w:bCs/>
          <w:color w:val="000000"/>
          <w:lang w:eastAsia="en-IE"/>
        </w:rPr>
      </w:pPr>
    </w:p>
    <w:p w:rsidR="003E275F" w:rsidRPr="00B97E75" w:rsidRDefault="003E275F" w:rsidP="00E972EB">
      <w:pPr>
        <w:rPr>
          <w:rFonts w:eastAsia="Times New Roman" w:cstheme="minorHAnsi"/>
          <w:b/>
          <w:bCs/>
          <w:color w:val="000000"/>
          <w:lang w:eastAsia="en-IE"/>
        </w:rPr>
      </w:pPr>
    </w:p>
    <w:p w:rsidR="00BF22D4" w:rsidRPr="00B97E75" w:rsidRDefault="00BF22D4" w:rsidP="003C4E40">
      <w:pPr>
        <w:pStyle w:val="PITableHeading"/>
        <w:rPr>
          <w:rFonts w:asciiTheme="minorHAnsi" w:hAnsiTheme="minorHAnsi" w:cstheme="minorHAnsi"/>
          <w:sz w:val="22"/>
          <w:szCs w:val="22"/>
        </w:rPr>
      </w:pPr>
    </w:p>
    <w:p w:rsidR="00BF22D4" w:rsidRPr="00B97E75" w:rsidRDefault="00BF22D4" w:rsidP="003C4E40">
      <w:pPr>
        <w:pStyle w:val="PITableHeading"/>
        <w:rPr>
          <w:rFonts w:asciiTheme="minorHAnsi" w:hAnsiTheme="minorHAnsi" w:cstheme="minorHAnsi"/>
          <w:sz w:val="22"/>
          <w:szCs w:val="22"/>
        </w:rPr>
      </w:pPr>
    </w:p>
    <w:p w:rsidR="00BF22D4" w:rsidRDefault="00BF22D4" w:rsidP="003C4E40">
      <w:pPr>
        <w:pStyle w:val="PITableHeading"/>
        <w:rPr>
          <w:rFonts w:asciiTheme="minorHAnsi" w:hAnsiTheme="minorHAnsi" w:cstheme="minorHAnsi"/>
          <w:sz w:val="22"/>
          <w:szCs w:val="22"/>
        </w:rPr>
      </w:pPr>
    </w:p>
    <w:p w:rsidR="00447A0C" w:rsidRDefault="00447A0C" w:rsidP="003C4E40">
      <w:pPr>
        <w:pStyle w:val="PITableHeading"/>
        <w:rPr>
          <w:rFonts w:asciiTheme="minorHAnsi" w:hAnsiTheme="minorHAnsi" w:cstheme="minorHAnsi"/>
          <w:sz w:val="22"/>
          <w:szCs w:val="22"/>
        </w:rPr>
      </w:pPr>
    </w:p>
    <w:p w:rsidR="00447A0C" w:rsidRPr="00B97E75" w:rsidRDefault="00447A0C" w:rsidP="003C4E40">
      <w:pPr>
        <w:pStyle w:val="PITableHeading"/>
        <w:rPr>
          <w:rFonts w:asciiTheme="minorHAnsi" w:hAnsiTheme="minorHAnsi" w:cstheme="minorHAnsi"/>
          <w:sz w:val="22"/>
          <w:szCs w:val="22"/>
        </w:rPr>
      </w:pPr>
    </w:p>
    <w:p w:rsidR="00BF22D4" w:rsidRPr="00B97E75" w:rsidRDefault="00BF22D4" w:rsidP="003C4E40">
      <w:pPr>
        <w:pStyle w:val="PITableHeading"/>
        <w:rPr>
          <w:rFonts w:asciiTheme="minorHAnsi" w:hAnsiTheme="minorHAnsi" w:cstheme="minorHAnsi"/>
          <w:sz w:val="22"/>
          <w:szCs w:val="22"/>
        </w:rPr>
      </w:pPr>
    </w:p>
    <w:p w:rsidR="00F5429F" w:rsidRDefault="00F5429F" w:rsidP="003C4E40">
      <w:pPr>
        <w:pStyle w:val="PITableHeading"/>
        <w:rPr>
          <w:rFonts w:asciiTheme="minorHAnsi" w:hAnsiTheme="minorHAnsi" w:cstheme="minorHAnsi"/>
          <w:sz w:val="22"/>
          <w:szCs w:val="22"/>
        </w:rPr>
      </w:pPr>
    </w:p>
    <w:p w:rsidR="00E972EB" w:rsidRPr="003E001D" w:rsidRDefault="00E972EB" w:rsidP="003C4E40">
      <w:pPr>
        <w:pStyle w:val="PITableHeading"/>
        <w:rPr>
          <w:rFonts w:asciiTheme="minorHAnsi" w:hAnsiTheme="minorHAnsi" w:cstheme="minorHAnsi"/>
          <w:b w:val="0"/>
          <w:sz w:val="22"/>
          <w:szCs w:val="22"/>
        </w:rPr>
      </w:pPr>
      <w:r w:rsidRPr="00B97E75">
        <w:rPr>
          <w:rFonts w:asciiTheme="minorHAnsi" w:hAnsiTheme="minorHAnsi" w:cstheme="minorHAnsi"/>
          <w:sz w:val="22"/>
          <w:szCs w:val="22"/>
        </w:rPr>
        <w:lastRenderedPageBreak/>
        <w:t>Table 2</w:t>
      </w:r>
      <w:r w:rsidR="00B70292">
        <w:rPr>
          <w:rFonts w:asciiTheme="minorHAnsi" w:hAnsiTheme="minorHAnsi" w:cstheme="minorHAnsi"/>
          <w:sz w:val="22"/>
          <w:szCs w:val="22"/>
        </w:rPr>
        <w:t>4</w:t>
      </w:r>
      <w:r w:rsidRPr="00B97E75">
        <w:rPr>
          <w:rFonts w:asciiTheme="minorHAnsi" w:hAnsiTheme="minorHAnsi" w:cstheme="minorHAnsi"/>
          <w:sz w:val="22"/>
          <w:szCs w:val="22"/>
        </w:rPr>
        <w:t xml:space="preserve">: </w:t>
      </w:r>
      <w:r w:rsidR="003C4E40" w:rsidRPr="003E001D">
        <w:rPr>
          <w:rFonts w:asciiTheme="minorHAnsi" w:hAnsiTheme="minorHAnsi" w:cstheme="minorHAnsi"/>
          <w:b w:val="0"/>
          <w:sz w:val="22"/>
          <w:szCs w:val="22"/>
        </w:rPr>
        <w:t xml:space="preserve">Five </w:t>
      </w:r>
      <w:r w:rsidRPr="003E001D">
        <w:rPr>
          <w:rFonts w:asciiTheme="minorHAnsi" w:hAnsiTheme="minorHAnsi" w:cstheme="minorHAnsi"/>
          <w:b w:val="0"/>
          <w:sz w:val="22"/>
          <w:szCs w:val="22"/>
        </w:rPr>
        <w:t xml:space="preserve">Year summary of </w:t>
      </w:r>
      <w:r w:rsidR="00E13270" w:rsidRPr="003E001D">
        <w:rPr>
          <w:rFonts w:asciiTheme="minorHAnsi" w:hAnsiTheme="minorHAnsi" w:cstheme="minorHAnsi"/>
          <w:b w:val="0"/>
          <w:sz w:val="22"/>
          <w:szCs w:val="22"/>
        </w:rPr>
        <w:t>Percentage</w:t>
      </w:r>
      <w:r w:rsidRPr="003E001D">
        <w:rPr>
          <w:rFonts w:asciiTheme="minorHAnsi" w:hAnsiTheme="minorHAnsi" w:cstheme="minorHAnsi"/>
          <w:b w:val="0"/>
          <w:sz w:val="22"/>
          <w:szCs w:val="22"/>
        </w:rPr>
        <w:t xml:space="preserve"> collection levels for Rent &amp; Annuities</w:t>
      </w:r>
    </w:p>
    <w:tbl>
      <w:tblPr>
        <w:tblStyle w:val="LightGrid-Accent5"/>
        <w:tblW w:w="8715" w:type="dxa"/>
        <w:tblLook w:val="04A0" w:firstRow="1" w:lastRow="0" w:firstColumn="1" w:lastColumn="0" w:noHBand="0" w:noVBand="1"/>
      </w:tblPr>
      <w:tblGrid>
        <w:gridCol w:w="2500"/>
        <w:gridCol w:w="1243"/>
        <w:gridCol w:w="1243"/>
        <w:gridCol w:w="1243"/>
        <w:gridCol w:w="1243"/>
        <w:gridCol w:w="1243"/>
      </w:tblGrid>
      <w:tr w:rsidR="000271F2" w:rsidRPr="005C4524" w:rsidTr="0077188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rsidR="000271F2" w:rsidRPr="005C4524" w:rsidRDefault="00D36D20" w:rsidP="00771880">
            <w:pPr>
              <w:rPr>
                <w:rFonts w:asciiTheme="minorHAnsi" w:eastAsia="Times New Roman" w:hAnsiTheme="minorHAnsi" w:cstheme="minorHAnsi"/>
                <w:color w:val="000000"/>
                <w:lang w:eastAsia="en-IE"/>
              </w:rPr>
            </w:pPr>
            <w:r w:rsidRPr="00D36D20">
              <w:rPr>
                <w:rFonts w:asciiTheme="minorHAnsi" w:eastAsia="Times New Roman" w:hAnsiTheme="minorHAnsi" w:cstheme="minorHAnsi"/>
                <w:color w:val="000000"/>
                <w:lang w:eastAsia="en-IE"/>
              </w:rPr>
              <w:t>Authority</w:t>
            </w:r>
          </w:p>
        </w:tc>
        <w:tc>
          <w:tcPr>
            <w:tcW w:w="1243" w:type="dxa"/>
            <w:vAlign w:val="center"/>
            <w:hideMark/>
          </w:tcPr>
          <w:p w:rsidR="000271F2" w:rsidRPr="005C4524" w:rsidRDefault="00E13270"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eastAsia="en-IE"/>
              </w:rPr>
            </w:pPr>
            <w:r>
              <w:rPr>
                <w:rFonts w:asciiTheme="minorHAnsi" w:eastAsia="Times New Roman" w:hAnsiTheme="minorHAnsi" w:cstheme="minorHAnsi"/>
                <w:color w:val="000000"/>
                <w:lang w:eastAsia="en-IE"/>
              </w:rPr>
              <w:t xml:space="preserve">Rent &amp; Annuities Percentage 2010 </w:t>
            </w:r>
          </w:p>
        </w:tc>
        <w:tc>
          <w:tcPr>
            <w:tcW w:w="1243" w:type="dxa"/>
            <w:vAlign w:val="center"/>
            <w:hideMark/>
          </w:tcPr>
          <w:p w:rsidR="000271F2" w:rsidRPr="005C4524" w:rsidRDefault="00E13270"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eastAsia="en-IE"/>
              </w:rPr>
            </w:pPr>
            <w:r>
              <w:rPr>
                <w:rFonts w:asciiTheme="minorHAnsi" w:eastAsia="Times New Roman" w:hAnsiTheme="minorHAnsi" w:cstheme="minorHAnsi"/>
                <w:color w:val="000000"/>
                <w:lang w:eastAsia="en-IE"/>
              </w:rPr>
              <w:t xml:space="preserve">Rent &amp; Annuities Percentage 2011 </w:t>
            </w:r>
          </w:p>
        </w:tc>
        <w:tc>
          <w:tcPr>
            <w:tcW w:w="1243" w:type="dxa"/>
            <w:vAlign w:val="center"/>
            <w:hideMark/>
          </w:tcPr>
          <w:p w:rsidR="000271F2" w:rsidRPr="005C4524" w:rsidRDefault="00E13270"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eastAsia="en-IE"/>
              </w:rPr>
            </w:pPr>
            <w:r>
              <w:rPr>
                <w:rFonts w:asciiTheme="minorHAnsi" w:eastAsia="Times New Roman" w:hAnsiTheme="minorHAnsi" w:cstheme="minorHAnsi"/>
                <w:color w:val="000000"/>
                <w:lang w:eastAsia="en-IE"/>
              </w:rPr>
              <w:t xml:space="preserve">Rent &amp; Annuities Percentage 2012 </w:t>
            </w:r>
          </w:p>
        </w:tc>
        <w:tc>
          <w:tcPr>
            <w:tcW w:w="1243" w:type="dxa"/>
            <w:vAlign w:val="center"/>
            <w:hideMark/>
          </w:tcPr>
          <w:p w:rsidR="000271F2" w:rsidRPr="005C4524" w:rsidRDefault="00E13270"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eastAsia="en-IE"/>
              </w:rPr>
            </w:pPr>
            <w:r>
              <w:rPr>
                <w:rFonts w:asciiTheme="minorHAnsi" w:eastAsia="Times New Roman" w:hAnsiTheme="minorHAnsi" w:cstheme="minorHAnsi"/>
                <w:color w:val="000000"/>
                <w:lang w:eastAsia="en-IE"/>
              </w:rPr>
              <w:t xml:space="preserve">Rent &amp; Annuities Percentage 2013 </w:t>
            </w:r>
          </w:p>
        </w:tc>
        <w:tc>
          <w:tcPr>
            <w:tcW w:w="1243" w:type="dxa"/>
            <w:vAlign w:val="center"/>
            <w:hideMark/>
          </w:tcPr>
          <w:p w:rsidR="000271F2" w:rsidRPr="005C4524" w:rsidRDefault="00E13270"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eastAsia="en-IE"/>
              </w:rPr>
            </w:pPr>
            <w:r>
              <w:rPr>
                <w:rFonts w:asciiTheme="minorHAnsi" w:eastAsia="Times New Roman" w:hAnsiTheme="minorHAnsi" w:cstheme="minorHAnsi"/>
                <w:color w:val="000000"/>
                <w:lang w:eastAsia="en-IE"/>
              </w:rPr>
              <w:t xml:space="preserve">Rent &amp; Annuities Percentage 2014 </w:t>
            </w:r>
          </w:p>
        </w:tc>
      </w:tr>
      <w:tr w:rsidR="000271F2" w:rsidRPr="005C4524" w:rsidTr="00EC611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0271F2" w:rsidRPr="005C4524" w:rsidRDefault="000271F2"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 </w:t>
            </w:r>
          </w:p>
        </w:tc>
        <w:tc>
          <w:tcPr>
            <w:tcW w:w="1243" w:type="dxa"/>
            <w:hideMark/>
          </w:tcPr>
          <w:p w:rsidR="000271F2" w:rsidRPr="005C4524" w:rsidRDefault="000271F2" w:rsidP="000271F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243" w:type="dxa"/>
            <w:hideMark/>
          </w:tcPr>
          <w:p w:rsidR="000271F2" w:rsidRPr="005C4524" w:rsidRDefault="000271F2" w:rsidP="000271F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243" w:type="dxa"/>
            <w:noWrap/>
            <w:hideMark/>
          </w:tcPr>
          <w:p w:rsidR="000271F2" w:rsidRPr="005C4524" w:rsidRDefault="000271F2" w:rsidP="000271F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243" w:type="dxa"/>
            <w:hideMark/>
          </w:tcPr>
          <w:p w:rsidR="000271F2" w:rsidRPr="005C4524" w:rsidRDefault="000271F2" w:rsidP="000271F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243" w:type="dxa"/>
            <w:noWrap/>
            <w:hideMark/>
          </w:tcPr>
          <w:p w:rsidR="000271F2" w:rsidRPr="005C4524" w:rsidRDefault="000271F2" w:rsidP="000271F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r>
      <w:tr w:rsidR="00EC611D" w:rsidRPr="005C4524" w:rsidTr="00EC611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Carlow County</w:t>
            </w:r>
          </w:p>
        </w:tc>
        <w:tc>
          <w:tcPr>
            <w:tcW w:w="1243" w:type="dxa"/>
            <w:vAlign w:val="bottom"/>
            <w:hideMark/>
          </w:tcPr>
          <w:p w:rsidR="00EC611D" w:rsidRDefault="00EC611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92</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91</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92</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91</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91</w:t>
            </w:r>
          </w:p>
        </w:tc>
      </w:tr>
      <w:tr w:rsidR="00EC611D" w:rsidRPr="005C4524" w:rsidTr="00EC611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Cavan County</w:t>
            </w:r>
          </w:p>
        </w:tc>
        <w:tc>
          <w:tcPr>
            <w:tcW w:w="1243" w:type="dxa"/>
            <w:vAlign w:val="bottom"/>
            <w:hideMark/>
          </w:tcPr>
          <w:p w:rsidR="00EC611D" w:rsidRDefault="00EC611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84</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81</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80</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8</w:t>
            </w:r>
            <w:r w:rsidR="009C05E2">
              <w:rPr>
                <w:rFonts w:cstheme="minorHAnsi"/>
                <w:color w:val="000000"/>
              </w:rPr>
              <w:t>0</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83</w:t>
            </w:r>
          </w:p>
        </w:tc>
      </w:tr>
      <w:tr w:rsidR="00EC611D" w:rsidRPr="005C4524" w:rsidTr="00EC611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Clare County</w:t>
            </w:r>
          </w:p>
        </w:tc>
        <w:tc>
          <w:tcPr>
            <w:tcW w:w="1243" w:type="dxa"/>
            <w:vAlign w:val="bottom"/>
            <w:hideMark/>
          </w:tcPr>
          <w:p w:rsidR="00EC611D" w:rsidRDefault="00EC611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87</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86</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85</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8</w:t>
            </w:r>
            <w:r w:rsidR="009C05E2">
              <w:rPr>
                <w:rFonts w:cstheme="minorHAnsi"/>
                <w:color w:val="000000"/>
              </w:rPr>
              <w:t>2</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86</w:t>
            </w:r>
          </w:p>
        </w:tc>
      </w:tr>
      <w:tr w:rsidR="00EC611D" w:rsidRPr="005C4524" w:rsidTr="00EC611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Cork City</w:t>
            </w:r>
          </w:p>
        </w:tc>
        <w:tc>
          <w:tcPr>
            <w:tcW w:w="1243" w:type="dxa"/>
            <w:vAlign w:val="bottom"/>
            <w:hideMark/>
          </w:tcPr>
          <w:p w:rsidR="00EC611D" w:rsidRDefault="00EC611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91</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89</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87</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85</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83</w:t>
            </w:r>
          </w:p>
        </w:tc>
      </w:tr>
      <w:tr w:rsidR="00EC611D" w:rsidRPr="005C4524" w:rsidTr="00EC611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Cork County</w:t>
            </w:r>
          </w:p>
        </w:tc>
        <w:tc>
          <w:tcPr>
            <w:tcW w:w="1243" w:type="dxa"/>
            <w:vAlign w:val="bottom"/>
            <w:hideMark/>
          </w:tcPr>
          <w:p w:rsidR="00EC611D" w:rsidRDefault="00EC611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94</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93</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92</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89</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91</w:t>
            </w:r>
          </w:p>
        </w:tc>
      </w:tr>
      <w:tr w:rsidR="00EC611D" w:rsidRPr="005C4524" w:rsidTr="00EC611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Donegal County</w:t>
            </w:r>
          </w:p>
        </w:tc>
        <w:tc>
          <w:tcPr>
            <w:tcW w:w="1243" w:type="dxa"/>
            <w:vAlign w:val="bottom"/>
            <w:hideMark/>
          </w:tcPr>
          <w:p w:rsidR="00EC611D" w:rsidRDefault="00EC611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88</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87</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87</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8</w:t>
            </w:r>
            <w:r w:rsidR="009C05E2">
              <w:rPr>
                <w:rFonts w:cstheme="minorHAnsi"/>
                <w:color w:val="000000"/>
              </w:rPr>
              <w:t>8</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89</w:t>
            </w:r>
          </w:p>
        </w:tc>
      </w:tr>
      <w:tr w:rsidR="00EC611D" w:rsidRPr="005C4524" w:rsidTr="00EC611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Dublin City</w:t>
            </w:r>
          </w:p>
        </w:tc>
        <w:tc>
          <w:tcPr>
            <w:tcW w:w="1243" w:type="dxa"/>
            <w:vAlign w:val="bottom"/>
            <w:hideMark/>
          </w:tcPr>
          <w:p w:rsidR="00EC611D" w:rsidRDefault="00EC611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79</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79</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77</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78</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78</w:t>
            </w:r>
          </w:p>
        </w:tc>
      </w:tr>
      <w:tr w:rsidR="00EC611D" w:rsidRPr="005C4524" w:rsidTr="00EC611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 xml:space="preserve">Dun Laoghaire </w:t>
            </w:r>
            <w:proofErr w:type="spellStart"/>
            <w:r w:rsidRPr="005C4524">
              <w:rPr>
                <w:rFonts w:asciiTheme="minorHAnsi" w:eastAsia="Times New Roman" w:hAnsiTheme="minorHAnsi" w:cstheme="minorHAnsi"/>
                <w:color w:val="000000"/>
                <w:lang w:eastAsia="en-IE"/>
              </w:rPr>
              <w:t>Rathdown</w:t>
            </w:r>
            <w:proofErr w:type="spellEnd"/>
            <w:r w:rsidRPr="005C4524">
              <w:rPr>
                <w:rFonts w:asciiTheme="minorHAnsi" w:eastAsia="Times New Roman" w:hAnsiTheme="minorHAnsi" w:cstheme="minorHAnsi"/>
                <w:color w:val="000000"/>
                <w:lang w:eastAsia="en-IE"/>
              </w:rPr>
              <w:t xml:space="preserve"> </w:t>
            </w:r>
          </w:p>
        </w:tc>
        <w:tc>
          <w:tcPr>
            <w:tcW w:w="1243" w:type="dxa"/>
            <w:vAlign w:val="bottom"/>
            <w:hideMark/>
          </w:tcPr>
          <w:p w:rsidR="00EC611D" w:rsidRDefault="00EC611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81</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80</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79</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77</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80</w:t>
            </w:r>
          </w:p>
        </w:tc>
      </w:tr>
      <w:tr w:rsidR="00EC611D" w:rsidRPr="005C4524" w:rsidTr="00EC611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proofErr w:type="spellStart"/>
            <w:r w:rsidRPr="005C4524">
              <w:rPr>
                <w:rFonts w:asciiTheme="minorHAnsi" w:eastAsia="Times New Roman" w:hAnsiTheme="minorHAnsi" w:cstheme="minorHAnsi"/>
                <w:color w:val="000000"/>
                <w:lang w:eastAsia="en-IE"/>
              </w:rPr>
              <w:t>Fingal</w:t>
            </w:r>
            <w:proofErr w:type="spellEnd"/>
            <w:r w:rsidRPr="005C4524">
              <w:rPr>
                <w:rFonts w:asciiTheme="minorHAnsi" w:eastAsia="Times New Roman" w:hAnsiTheme="minorHAnsi" w:cstheme="minorHAnsi"/>
                <w:color w:val="000000"/>
                <w:lang w:eastAsia="en-IE"/>
              </w:rPr>
              <w:t xml:space="preserve"> County</w:t>
            </w:r>
          </w:p>
        </w:tc>
        <w:tc>
          <w:tcPr>
            <w:tcW w:w="1243" w:type="dxa"/>
            <w:vAlign w:val="bottom"/>
            <w:hideMark/>
          </w:tcPr>
          <w:p w:rsidR="00EC611D" w:rsidRDefault="00EC611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93</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87</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89</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89</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91</w:t>
            </w:r>
          </w:p>
        </w:tc>
      </w:tr>
      <w:tr w:rsidR="00EC611D" w:rsidRPr="005C4524" w:rsidTr="00EC611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Galway City</w:t>
            </w:r>
          </w:p>
        </w:tc>
        <w:tc>
          <w:tcPr>
            <w:tcW w:w="1243" w:type="dxa"/>
            <w:vAlign w:val="bottom"/>
            <w:hideMark/>
          </w:tcPr>
          <w:p w:rsidR="00EC611D" w:rsidRDefault="00EC611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78</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76</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76</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77</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78</w:t>
            </w:r>
          </w:p>
        </w:tc>
      </w:tr>
      <w:tr w:rsidR="00EC611D" w:rsidRPr="005C4524" w:rsidTr="00EC611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Galway County</w:t>
            </w:r>
          </w:p>
        </w:tc>
        <w:tc>
          <w:tcPr>
            <w:tcW w:w="1243" w:type="dxa"/>
            <w:vAlign w:val="bottom"/>
            <w:hideMark/>
          </w:tcPr>
          <w:p w:rsidR="00EC611D" w:rsidRDefault="00EC611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92</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91</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90</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88</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88</w:t>
            </w:r>
          </w:p>
        </w:tc>
      </w:tr>
      <w:tr w:rsidR="00EC611D" w:rsidRPr="005C4524" w:rsidTr="00EC611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Kerry County</w:t>
            </w:r>
          </w:p>
        </w:tc>
        <w:tc>
          <w:tcPr>
            <w:tcW w:w="1243" w:type="dxa"/>
            <w:vAlign w:val="bottom"/>
            <w:hideMark/>
          </w:tcPr>
          <w:p w:rsidR="00EC611D" w:rsidRDefault="00EC611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96</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95</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94</w:t>
            </w:r>
          </w:p>
        </w:tc>
        <w:tc>
          <w:tcPr>
            <w:tcW w:w="1243" w:type="dxa"/>
            <w:vAlign w:val="bottom"/>
            <w:hideMark/>
          </w:tcPr>
          <w:p w:rsidR="00EC611D" w:rsidRPr="00EC611D" w:rsidRDefault="009C05E2"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98</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94</w:t>
            </w:r>
          </w:p>
        </w:tc>
      </w:tr>
      <w:tr w:rsidR="00EC611D" w:rsidRPr="005C4524" w:rsidTr="00EC611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Kildare County</w:t>
            </w:r>
          </w:p>
        </w:tc>
        <w:tc>
          <w:tcPr>
            <w:tcW w:w="1243" w:type="dxa"/>
            <w:vAlign w:val="bottom"/>
            <w:hideMark/>
          </w:tcPr>
          <w:p w:rsidR="00EC611D" w:rsidRDefault="00EC611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82</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82</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83</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8</w:t>
            </w:r>
            <w:r w:rsidR="009C05E2">
              <w:rPr>
                <w:rFonts w:cstheme="minorHAnsi"/>
                <w:color w:val="000000"/>
              </w:rPr>
              <w:t>3</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87</w:t>
            </w:r>
          </w:p>
        </w:tc>
      </w:tr>
      <w:tr w:rsidR="00EC611D" w:rsidRPr="005C4524" w:rsidTr="00EC611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Kilkenny County</w:t>
            </w:r>
          </w:p>
        </w:tc>
        <w:tc>
          <w:tcPr>
            <w:tcW w:w="1243" w:type="dxa"/>
            <w:vAlign w:val="bottom"/>
            <w:hideMark/>
          </w:tcPr>
          <w:p w:rsidR="00EC611D" w:rsidRDefault="00EC611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88</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88</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89</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90</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92</w:t>
            </w:r>
          </w:p>
        </w:tc>
      </w:tr>
      <w:tr w:rsidR="00EC611D" w:rsidRPr="005C4524" w:rsidTr="00EC611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Laois County</w:t>
            </w:r>
          </w:p>
        </w:tc>
        <w:tc>
          <w:tcPr>
            <w:tcW w:w="1243" w:type="dxa"/>
            <w:vAlign w:val="bottom"/>
            <w:hideMark/>
          </w:tcPr>
          <w:p w:rsidR="00EC611D" w:rsidRDefault="00EC611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93</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94</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94</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94</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95</w:t>
            </w:r>
          </w:p>
        </w:tc>
      </w:tr>
      <w:tr w:rsidR="00EC611D" w:rsidRPr="005C4524" w:rsidTr="00EC611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Leitrim County</w:t>
            </w:r>
          </w:p>
        </w:tc>
        <w:tc>
          <w:tcPr>
            <w:tcW w:w="1243" w:type="dxa"/>
            <w:vAlign w:val="bottom"/>
            <w:hideMark/>
          </w:tcPr>
          <w:p w:rsidR="00EC611D" w:rsidRDefault="00EC611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94</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93</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91</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91</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87</w:t>
            </w:r>
          </w:p>
        </w:tc>
      </w:tr>
      <w:tr w:rsidR="00EC611D" w:rsidRPr="005C4524" w:rsidTr="00EC611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Limerick City &amp; County</w:t>
            </w:r>
          </w:p>
        </w:tc>
        <w:tc>
          <w:tcPr>
            <w:tcW w:w="1243" w:type="dxa"/>
            <w:vAlign w:val="bottom"/>
            <w:hideMark/>
          </w:tcPr>
          <w:p w:rsidR="00EC611D" w:rsidRDefault="00EC611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93</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91</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90</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89</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87</w:t>
            </w:r>
          </w:p>
        </w:tc>
      </w:tr>
      <w:tr w:rsidR="00EC611D" w:rsidRPr="005C4524" w:rsidTr="00EC611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Longford County</w:t>
            </w:r>
          </w:p>
        </w:tc>
        <w:tc>
          <w:tcPr>
            <w:tcW w:w="1243" w:type="dxa"/>
            <w:vAlign w:val="bottom"/>
            <w:hideMark/>
          </w:tcPr>
          <w:p w:rsidR="00EC611D" w:rsidRDefault="00EC611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88</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88</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88</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8</w:t>
            </w:r>
            <w:r w:rsidR="009C05E2">
              <w:rPr>
                <w:rFonts w:cstheme="minorHAnsi"/>
                <w:color w:val="000000"/>
              </w:rPr>
              <w:t>5</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86</w:t>
            </w:r>
          </w:p>
        </w:tc>
      </w:tr>
      <w:tr w:rsidR="00EC611D" w:rsidRPr="005C4524" w:rsidTr="00EC611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Louth County</w:t>
            </w:r>
          </w:p>
        </w:tc>
        <w:tc>
          <w:tcPr>
            <w:tcW w:w="1243" w:type="dxa"/>
            <w:vAlign w:val="bottom"/>
            <w:hideMark/>
          </w:tcPr>
          <w:p w:rsidR="00EC611D" w:rsidRDefault="00EC611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87</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86</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84</w:t>
            </w:r>
          </w:p>
        </w:tc>
        <w:tc>
          <w:tcPr>
            <w:tcW w:w="1243" w:type="dxa"/>
            <w:vAlign w:val="bottom"/>
            <w:hideMark/>
          </w:tcPr>
          <w:p w:rsidR="00EC611D" w:rsidRPr="00EC611D" w:rsidRDefault="009C05E2"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Pr>
                <w:rFonts w:cstheme="minorHAnsi"/>
                <w:color w:val="000000"/>
              </w:rPr>
              <w:t>76</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82</w:t>
            </w:r>
          </w:p>
        </w:tc>
      </w:tr>
      <w:tr w:rsidR="00EC611D" w:rsidRPr="005C4524" w:rsidTr="00EC611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Mayo County</w:t>
            </w:r>
          </w:p>
        </w:tc>
        <w:tc>
          <w:tcPr>
            <w:tcW w:w="1243" w:type="dxa"/>
            <w:vAlign w:val="bottom"/>
            <w:hideMark/>
          </w:tcPr>
          <w:p w:rsidR="00EC611D" w:rsidRDefault="00EC611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83</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83</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82</w:t>
            </w:r>
          </w:p>
        </w:tc>
        <w:tc>
          <w:tcPr>
            <w:tcW w:w="1243" w:type="dxa"/>
            <w:vAlign w:val="bottom"/>
            <w:hideMark/>
          </w:tcPr>
          <w:p w:rsidR="00EC611D" w:rsidRPr="00EC611D" w:rsidRDefault="009C05E2"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80</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83</w:t>
            </w:r>
          </w:p>
        </w:tc>
      </w:tr>
      <w:tr w:rsidR="00EC611D" w:rsidRPr="005C4524" w:rsidTr="00EC611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Meath County</w:t>
            </w:r>
          </w:p>
        </w:tc>
        <w:tc>
          <w:tcPr>
            <w:tcW w:w="1243" w:type="dxa"/>
            <w:vAlign w:val="bottom"/>
            <w:hideMark/>
          </w:tcPr>
          <w:p w:rsidR="00EC611D" w:rsidRDefault="00EC611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88</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85</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86</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8</w:t>
            </w:r>
            <w:r w:rsidR="009C05E2">
              <w:rPr>
                <w:rFonts w:cstheme="minorHAnsi"/>
                <w:color w:val="000000"/>
              </w:rPr>
              <w:t>7</w:t>
            </w:r>
          </w:p>
        </w:tc>
        <w:tc>
          <w:tcPr>
            <w:tcW w:w="1243" w:type="dxa"/>
            <w:vAlign w:val="bottom"/>
            <w:hideMark/>
          </w:tcPr>
          <w:p w:rsidR="00EC611D" w:rsidRPr="00014EAA"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vertAlign w:val="superscript"/>
              </w:rPr>
            </w:pPr>
            <w:r w:rsidRPr="00EC611D">
              <w:rPr>
                <w:rFonts w:cstheme="minorHAnsi"/>
                <w:color w:val="000000"/>
              </w:rPr>
              <w:t>84</w:t>
            </w:r>
          </w:p>
        </w:tc>
      </w:tr>
      <w:tr w:rsidR="00EC611D" w:rsidRPr="005C4524" w:rsidTr="00EC611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Monaghan County</w:t>
            </w:r>
          </w:p>
        </w:tc>
        <w:tc>
          <w:tcPr>
            <w:tcW w:w="1243" w:type="dxa"/>
            <w:vAlign w:val="bottom"/>
            <w:hideMark/>
          </w:tcPr>
          <w:p w:rsidR="00EC611D" w:rsidRDefault="00EC611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95</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95</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95</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95</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95</w:t>
            </w:r>
          </w:p>
        </w:tc>
      </w:tr>
      <w:tr w:rsidR="00EC611D" w:rsidRPr="005C4524" w:rsidTr="00EC611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Offaly County</w:t>
            </w:r>
          </w:p>
        </w:tc>
        <w:tc>
          <w:tcPr>
            <w:tcW w:w="1243" w:type="dxa"/>
            <w:vAlign w:val="bottom"/>
            <w:hideMark/>
          </w:tcPr>
          <w:p w:rsidR="00EC611D" w:rsidRDefault="00EC611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87</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87</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86</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8</w:t>
            </w:r>
            <w:r w:rsidR="009C05E2">
              <w:rPr>
                <w:rFonts w:cstheme="minorHAnsi"/>
                <w:color w:val="000000"/>
              </w:rPr>
              <w:t>8</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85</w:t>
            </w:r>
          </w:p>
        </w:tc>
      </w:tr>
      <w:tr w:rsidR="00EC611D" w:rsidRPr="005C4524" w:rsidTr="00EC611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Roscommon County</w:t>
            </w:r>
          </w:p>
        </w:tc>
        <w:tc>
          <w:tcPr>
            <w:tcW w:w="1243" w:type="dxa"/>
            <w:vAlign w:val="bottom"/>
            <w:hideMark/>
          </w:tcPr>
          <w:p w:rsidR="00EC611D" w:rsidRDefault="00EC611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89</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91</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89</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91</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93</w:t>
            </w:r>
          </w:p>
        </w:tc>
      </w:tr>
      <w:tr w:rsidR="00EC611D" w:rsidRPr="005C4524" w:rsidTr="00EC611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Sligo County</w:t>
            </w:r>
          </w:p>
        </w:tc>
        <w:tc>
          <w:tcPr>
            <w:tcW w:w="1243" w:type="dxa"/>
            <w:vAlign w:val="bottom"/>
            <w:hideMark/>
          </w:tcPr>
          <w:p w:rsidR="00EC611D" w:rsidRDefault="00EC611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86</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85</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82</w:t>
            </w:r>
          </w:p>
        </w:tc>
        <w:tc>
          <w:tcPr>
            <w:tcW w:w="1243" w:type="dxa"/>
            <w:vAlign w:val="bottom"/>
            <w:hideMark/>
          </w:tcPr>
          <w:p w:rsidR="00EC611D" w:rsidRPr="00EC611D" w:rsidRDefault="009C05E2"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Pr>
                <w:rFonts w:cstheme="minorHAnsi"/>
                <w:color w:val="000000"/>
              </w:rPr>
              <w:t>79</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77</w:t>
            </w:r>
          </w:p>
        </w:tc>
      </w:tr>
      <w:tr w:rsidR="00EC611D" w:rsidRPr="005C4524" w:rsidTr="00EC611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South Dublin County</w:t>
            </w:r>
          </w:p>
        </w:tc>
        <w:tc>
          <w:tcPr>
            <w:tcW w:w="1243" w:type="dxa"/>
            <w:vAlign w:val="bottom"/>
            <w:hideMark/>
          </w:tcPr>
          <w:p w:rsidR="00EC611D" w:rsidRDefault="00EC611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77</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75</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74</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75</w:t>
            </w:r>
          </w:p>
        </w:tc>
        <w:tc>
          <w:tcPr>
            <w:tcW w:w="1243" w:type="dxa"/>
            <w:vAlign w:val="bottom"/>
            <w:hideMark/>
          </w:tcPr>
          <w:p w:rsidR="00EC611D" w:rsidRPr="00014EAA"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vertAlign w:val="superscript"/>
              </w:rPr>
            </w:pPr>
            <w:r w:rsidRPr="00EC611D">
              <w:rPr>
                <w:rFonts w:cstheme="minorHAnsi"/>
                <w:color w:val="000000"/>
              </w:rPr>
              <w:t>73</w:t>
            </w:r>
          </w:p>
        </w:tc>
      </w:tr>
      <w:tr w:rsidR="00EC611D" w:rsidRPr="005C4524" w:rsidTr="00EC611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Tipperary County</w:t>
            </w:r>
          </w:p>
        </w:tc>
        <w:tc>
          <w:tcPr>
            <w:tcW w:w="1243" w:type="dxa"/>
            <w:vAlign w:val="bottom"/>
            <w:hideMark/>
          </w:tcPr>
          <w:p w:rsidR="00EC611D" w:rsidRDefault="00EC611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93</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92</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93</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93</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92</w:t>
            </w:r>
          </w:p>
        </w:tc>
      </w:tr>
      <w:tr w:rsidR="00EC611D" w:rsidRPr="005C4524" w:rsidTr="00EC611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Waterford City &amp; County</w:t>
            </w:r>
          </w:p>
        </w:tc>
        <w:tc>
          <w:tcPr>
            <w:tcW w:w="1243" w:type="dxa"/>
            <w:vAlign w:val="bottom"/>
            <w:hideMark/>
          </w:tcPr>
          <w:p w:rsidR="00EC611D" w:rsidRDefault="00106F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87</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83</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82</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82</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78</w:t>
            </w:r>
          </w:p>
        </w:tc>
      </w:tr>
      <w:tr w:rsidR="00EC611D" w:rsidRPr="005C4524" w:rsidTr="00EC611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Westmeath County</w:t>
            </w:r>
          </w:p>
        </w:tc>
        <w:tc>
          <w:tcPr>
            <w:tcW w:w="1243" w:type="dxa"/>
            <w:vAlign w:val="bottom"/>
            <w:hideMark/>
          </w:tcPr>
          <w:p w:rsidR="00EC611D" w:rsidRDefault="00EC611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87</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90</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90</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9</w:t>
            </w:r>
            <w:r w:rsidR="009C05E2">
              <w:rPr>
                <w:rFonts w:cstheme="minorHAnsi"/>
                <w:color w:val="000000"/>
              </w:rPr>
              <w:t>5</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93</w:t>
            </w:r>
          </w:p>
        </w:tc>
      </w:tr>
      <w:tr w:rsidR="00EC611D" w:rsidRPr="005C4524" w:rsidTr="00EC611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Wexford County</w:t>
            </w:r>
          </w:p>
        </w:tc>
        <w:tc>
          <w:tcPr>
            <w:tcW w:w="1243" w:type="dxa"/>
            <w:vAlign w:val="bottom"/>
            <w:hideMark/>
          </w:tcPr>
          <w:p w:rsidR="00EC611D" w:rsidRDefault="00EC611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93</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92</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90</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9</w:t>
            </w:r>
            <w:r w:rsidR="009C05E2">
              <w:rPr>
                <w:rFonts w:cstheme="minorHAnsi"/>
                <w:color w:val="000000"/>
              </w:rPr>
              <w:t>1</w:t>
            </w:r>
          </w:p>
        </w:tc>
        <w:tc>
          <w:tcPr>
            <w:tcW w:w="1243" w:type="dxa"/>
            <w:vAlign w:val="bottom"/>
            <w:hideMark/>
          </w:tcPr>
          <w:p w:rsidR="00EC611D" w:rsidRPr="00EC611D" w:rsidRDefault="00EC611D" w:rsidP="00EC611D">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C611D">
              <w:rPr>
                <w:rFonts w:cstheme="minorHAnsi"/>
                <w:color w:val="000000"/>
              </w:rPr>
              <w:t>90</w:t>
            </w:r>
          </w:p>
        </w:tc>
      </w:tr>
      <w:tr w:rsidR="00EC611D" w:rsidRPr="005C4524" w:rsidTr="00EC611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00" w:type="dxa"/>
            <w:noWrap/>
            <w:hideMark/>
          </w:tcPr>
          <w:p w:rsidR="00EC611D" w:rsidRPr="005C4524" w:rsidRDefault="00EC611D" w:rsidP="000271F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Wicklow County</w:t>
            </w:r>
          </w:p>
        </w:tc>
        <w:tc>
          <w:tcPr>
            <w:tcW w:w="1243" w:type="dxa"/>
            <w:vAlign w:val="bottom"/>
            <w:hideMark/>
          </w:tcPr>
          <w:p w:rsidR="00EC611D" w:rsidRDefault="00EC611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95</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93</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92</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9</w:t>
            </w:r>
            <w:r w:rsidR="009C05E2">
              <w:rPr>
                <w:rFonts w:cstheme="minorHAnsi"/>
                <w:color w:val="000000"/>
              </w:rPr>
              <w:t>2</w:t>
            </w:r>
          </w:p>
        </w:tc>
        <w:tc>
          <w:tcPr>
            <w:tcW w:w="1243" w:type="dxa"/>
            <w:vAlign w:val="bottom"/>
            <w:hideMark/>
          </w:tcPr>
          <w:p w:rsidR="00EC611D" w:rsidRPr="00EC611D" w:rsidRDefault="00EC611D" w:rsidP="00EC611D">
            <w:pPr>
              <w:jc w:val="center"/>
              <w:cnfStyle w:val="000000010000" w:firstRow="0" w:lastRow="0" w:firstColumn="0" w:lastColumn="0" w:oddVBand="0" w:evenVBand="0" w:oddHBand="0" w:evenHBand="1" w:firstRowFirstColumn="0" w:firstRowLastColumn="0" w:lastRowFirstColumn="0" w:lastRowLastColumn="0"/>
              <w:rPr>
                <w:rFonts w:cstheme="minorHAnsi"/>
                <w:color w:val="000000"/>
              </w:rPr>
            </w:pPr>
            <w:r w:rsidRPr="00EC611D">
              <w:rPr>
                <w:rFonts w:cstheme="minorHAnsi"/>
                <w:color w:val="000000"/>
              </w:rPr>
              <w:t>92</w:t>
            </w:r>
          </w:p>
        </w:tc>
      </w:tr>
    </w:tbl>
    <w:p w:rsidR="00F5429F" w:rsidRPr="009660A3" w:rsidRDefault="00F5429F" w:rsidP="00F5429F">
      <w:pPr>
        <w:spacing w:after="0" w:line="240" w:lineRule="auto"/>
        <w:jc w:val="both"/>
        <w:rPr>
          <w:rFonts w:eastAsia="Times New Roman" w:cstheme="minorHAnsi"/>
          <w:bCs/>
          <w:i/>
          <w:color w:val="000000"/>
          <w:sz w:val="18"/>
          <w:szCs w:val="18"/>
          <w:lang w:eastAsia="en-IE"/>
        </w:rPr>
      </w:pPr>
      <w:r w:rsidRPr="009660A3">
        <w:rPr>
          <w:rFonts w:eastAsia="Times New Roman" w:cstheme="minorHAnsi"/>
          <w:bCs/>
          <w:i/>
          <w:color w:val="000000"/>
          <w:sz w:val="18"/>
          <w:szCs w:val="18"/>
          <w:lang w:eastAsia="en-IE"/>
        </w:rPr>
        <w:t>In the case of 201</w:t>
      </w:r>
      <w:r w:rsidR="00EC46DC">
        <w:rPr>
          <w:rFonts w:eastAsia="Times New Roman" w:cstheme="minorHAnsi"/>
          <w:bCs/>
          <w:i/>
          <w:color w:val="000000"/>
          <w:sz w:val="18"/>
          <w:szCs w:val="18"/>
          <w:lang w:eastAsia="en-IE"/>
        </w:rPr>
        <w:t>4 the unaudited AFS</w:t>
      </w:r>
      <w:r>
        <w:rPr>
          <w:rFonts w:eastAsia="Times New Roman" w:cstheme="minorHAnsi"/>
          <w:bCs/>
          <w:i/>
          <w:color w:val="000000"/>
          <w:sz w:val="18"/>
          <w:szCs w:val="18"/>
          <w:lang w:eastAsia="en-IE"/>
        </w:rPr>
        <w:t xml:space="preserve">s were used. </w:t>
      </w:r>
    </w:p>
    <w:p w:rsidR="00442A2E" w:rsidRDefault="00442A2E" w:rsidP="00E972EB">
      <w:pPr>
        <w:rPr>
          <w:rFonts w:eastAsia="Times New Roman" w:cstheme="minorHAnsi"/>
          <w:b/>
          <w:bCs/>
          <w:color w:val="000000"/>
          <w:lang w:eastAsia="en-IE"/>
        </w:rPr>
      </w:pPr>
    </w:p>
    <w:p w:rsidR="00F5429F" w:rsidRDefault="00F5429F" w:rsidP="00E972EB">
      <w:pPr>
        <w:rPr>
          <w:rFonts w:eastAsia="Times New Roman" w:cstheme="minorHAnsi"/>
          <w:b/>
          <w:bCs/>
          <w:color w:val="000000"/>
          <w:lang w:eastAsia="en-IE"/>
        </w:rPr>
      </w:pPr>
    </w:p>
    <w:p w:rsidR="00F5429F" w:rsidRDefault="00F5429F" w:rsidP="00E972EB">
      <w:pPr>
        <w:rPr>
          <w:rFonts w:eastAsia="Times New Roman" w:cstheme="minorHAnsi"/>
          <w:b/>
          <w:bCs/>
          <w:color w:val="000000"/>
          <w:lang w:eastAsia="en-IE"/>
        </w:rPr>
      </w:pPr>
    </w:p>
    <w:p w:rsidR="009660A3" w:rsidRPr="00B97E75" w:rsidRDefault="009660A3" w:rsidP="00E972EB">
      <w:pPr>
        <w:rPr>
          <w:rFonts w:eastAsia="Times New Roman" w:cstheme="minorHAnsi"/>
          <w:b/>
          <w:bCs/>
          <w:color w:val="000000"/>
          <w:lang w:eastAsia="en-IE"/>
        </w:rPr>
      </w:pPr>
    </w:p>
    <w:p w:rsidR="000271F2" w:rsidRPr="00B97E75" w:rsidRDefault="000271F2" w:rsidP="00E972EB">
      <w:pPr>
        <w:rPr>
          <w:rFonts w:eastAsia="Times New Roman" w:cstheme="minorHAnsi"/>
          <w:b/>
          <w:bCs/>
          <w:color w:val="000000"/>
          <w:lang w:eastAsia="en-IE"/>
        </w:rPr>
      </w:pPr>
    </w:p>
    <w:tbl>
      <w:tblPr>
        <w:tblW w:w="5255" w:type="dxa"/>
        <w:tblInd w:w="98" w:type="dxa"/>
        <w:tblLook w:val="04A0" w:firstRow="1" w:lastRow="0" w:firstColumn="1" w:lastColumn="0" w:noHBand="0" w:noVBand="1"/>
      </w:tblPr>
      <w:tblGrid>
        <w:gridCol w:w="2500"/>
        <w:gridCol w:w="1479"/>
        <w:gridCol w:w="1276"/>
      </w:tblGrid>
      <w:tr w:rsidR="00BF22D4" w:rsidRPr="00B97E75" w:rsidTr="00137C7C">
        <w:trPr>
          <w:trHeight w:val="315"/>
        </w:trPr>
        <w:tc>
          <w:tcPr>
            <w:tcW w:w="52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lastRenderedPageBreak/>
              <w:t xml:space="preserve">5 Year summary of </w:t>
            </w:r>
            <w:r w:rsidR="00E13270" w:rsidRPr="00E13270">
              <w:rPr>
                <w:rFonts w:eastAsia="Times New Roman" w:cstheme="minorHAnsi"/>
                <w:b/>
                <w:color w:val="000000"/>
                <w:lang w:eastAsia="en-IE"/>
              </w:rPr>
              <w:t>percentage</w:t>
            </w:r>
            <w:r w:rsidRPr="00B97E75">
              <w:rPr>
                <w:rFonts w:eastAsia="Times New Roman" w:cstheme="minorHAnsi"/>
                <w:b/>
                <w:bCs/>
                <w:color w:val="000000"/>
                <w:lang w:eastAsia="en-IE"/>
              </w:rPr>
              <w:t xml:space="preserve"> collection levels for Rent </w:t>
            </w:r>
            <w:r w:rsidR="00E13270">
              <w:rPr>
                <w:rFonts w:eastAsia="Times New Roman" w:cstheme="minorHAnsi"/>
                <w:b/>
                <w:color w:val="000000"/>
                <w:lang w:eastAsia="en-IE"/>
              </w:rPr>
              <w:t>&amp;</w:t>
            </w:r>
            <w:r w:rsidRPr="00B97E75">
              <w:rPr>
                <w:rFonts w:eastAsia="Times New Roman" w:cstheme="minorHAnsi"/>
                <w:b/>
                <w:bCs/>
                <w:color w:val="000000"/>
                <w:lang w:eastAsia="en-IE"/>
              </w:rPr>
              <w:t xml:space="preserve"> Annuities</w:t>
            </w:r>
          </w:p>
        </w:tc>
      </w:tr>
      <w:tr w:rsidR="00BF22D4" w:rsidRPr="00B97E75" w:rsidTr="00137C7C">
        <w:trPr>
          <w:trHeight w:val="315"/>
        </w:trPr>
        <w:tc>
          <w:tcPr>
            <w:tcW w:w="3979"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BF22D4" w:rsidRPr="00B97E75" w:rsidRDefault="00E13270" w:rsidP="00137C7C">
            <w:pPr>
              <w:spacing w:after="0" w:line="240" w:lineRule="auto"/>
              <w:rPr>
                <w:rFonts w:eastAsia="Times New Roman" w:cstheme="minorHAnsi"/>
                <w:color w:val="000000"/>
                <w:lang w:eastAsia="en-IE"/>
              </w:rPr>
            </w:pPr>
            <w:r>
              <w:rPr>
                <w:rFonts w:eastAsia="Times New Roman" w:cstheme="minorHAnsi"/>
                <w:color w:val="000000"/>
                <w:lang w:eastAsia="en-IE"/>
              </w:rPr>
              <w:t>Rent &amp; Annuities Percentage 2010</w:t>
            </w:r>
          </w:p>
        </w:tc>
        <w:tc>
          <w:tcPr>
            <w:tcW w:w="1276" w:type="dxa"/>
            <w:tcBorders>
              <w:top w:val="nil"/>
              <w:left w:val="nil"/>
              <w:bottom w:val="single" w:sz="8" w:space="0" w:color="auto"/>
              <w:right w:val="single" w:sz="8" w:space="0" w:color="auto"/>
            </w:tcBorders>
            <w:shd w:val="clear" w:color="auto" w:fill="B6DDE8" w:themeFill="accent5" w:themeFillTint="66"/>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 </w:t>
            </w:r>
          </w:p>
        </w:tc>
      </w:tr>
      <w:tr w:rsidR="00BF22D4" w:rsidRPr="00B97E75" w:rsidTr="00137C7C">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1479" w:type="dxa"/>
            <w:tcBorders>
              <w:top w:val="nil"/>
              <w:left w:val="nil"/>
              <w:bottom w:val="single" w:sz="8" w:space="0" w:color="auto"/>
              <w:right w:val="nil"/>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31</w:t>
            </w:r>
          </w:p>
        </w:tc>
      </w:tr>
      <w:tr w:rsidR="00BF22D4" w:rsidRPr="00B97E75" w:rsidTr="00137C7C">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479" w:type="dxa"/>
            <w:tcBorders>
              <w:top w:val="nil"/>
              <w:left w:val="nil"/>
              <w:bottom w:val="single" w:sz="8" w:space="0" w:color="auto"/>
              <w:right w:val="nil"/>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0</w:t>
            </w:r>
          </w:p>
        </w:tc>
      </w:tr>
      <w:tr w:rsidR="00BF22D4" w:rsidRPr="00B97E75" w:rsidTr="00137C7C">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1479" w:type="dxa"/>
            <w:tcBorders>
              <w:top w:val="nil"/>
              <w:left w:val="nil"/>
              <w:bottom w:val="single" w:sz="8" w:space="0" w:color="auto"/>
              <w:right w:val="nil"/>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88.00</w:t>
            </w:r>
          </w:p>
        </w:tc>
      </w:tr>
      <w:tr w:rsidR="00BF22D4" w:rsidRPr="00B97E75" w:rsidTr="00137C7C">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479" w:type="dxa"/>
            <w:tcBorders>
              <w:top w:val="nil"/>
              <w:left w:val="nil"/>
              <w:bottom w:val="single" w:sz="8" w:space="0" w:color="auto"/>
              <w:right w:val="nil"/>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88.</w:t>
            </w:r>
            <w:r w:rsidR="00106F41">
              <w:rPr>
                <w:rFonts w:eastAsia="Times New Roman" w:cstheme="minorHAnsi"/>
                <w:color w:val="000000"/>
                <w:lang w:eastAsia="en-IE"/>
              </w:rPr>
              <w:t>39</w:t>
            </w:r>
          </w:p>
        </w:tc>
      </w:tr>
      <w:tr w:rsidR="00BF22D4" w:rsidRPr="00B97E75" w:rsidTr="00137C7C">
        <w:trPr>
          <w:trHeight w:val="315"/>
        </w:trPr>
        <w:tc>
          <w:tcPr>
            <w:tcW w:w="3979" w:type="dxa"/>
            <w:gridSpan w:val="2"/>
            <w:tcBorders>
              <w:top w:val="single" w:sz="8" w:space="0" w:color="auto"/>
              <w:left w:val="single" w:sz="8" w:space="0" w:color="auto"/>
              <w:bottom w:val="single" w:sz="8" w:space="0" w:color="auto"/>
              <w:right w:val="nil"/>
            </w:tcBorders>
            <w:shd w:val="clear" w:color="auto" w:fill="B6DDE8" w:themeFill="accent5" w:themeFillTint="66"/>
            <w:vAlign w:val="center"/>
            <w:hideMark/>
          </w:tcPr>
          <w:p w:rsidR="00BF22D4" w:rsidRPr="00B97E75" w:rsidRDefault="00E13270" w:rsidP="00137C7C">
            <w:pPr>
              <w:spacing w:after="0" w:line="240" w:lineRule="auto"/>
              <w:rPr>
                <w:rFonts w:eastAsia="Times New Roman" w:cstheme="minorHAnsi"/>
                <w:color w:val="000000"/>
                <w:lang w:eastAsia="en-IE"/>
              </w:rPr>
            </w:pPr>
            <w:r>
              <w:rPr>
                <w:rFonts w:eastAsia="Times New Roman" w:cstheme="minorHAnsi"/>
                <w:color w:val="000000"/>
                <w:lang w:eastAsia="en-IE"/>
              </w:rPr>
              <w:t>Rent &amp; Annuities Percentage 2011</w:t>
            </w:r>
          </w:p>
        </w:tc>
        <w:tc>
          <w:tcPr>
            <w:tcW w:w="1276" w:type="dxa"/>
            <w:tcBorders>
              <w:top w:val="nil"/>
              <w:left w:val="single" w:sz="8" w:space="0" w:color="auto"/>
              <w:bottom w:val="single" w:sz="8" w:space="0" w:color="auto"/>
              <w:right w:val="single" w:sz="8" w:space="0" w:color="auto"/>
            </w:tcBorders>
            <w:shd w:val="clear" w:color="auto" w:fill="B6DDE8" w:themeFill="accent5" w:themeFillTint="66"/>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 </w:t>
            </w:r>
          </w:p>
        </w:tc>
      </w:tr>
      <w:tr w:rsidR="00BF22D4" w:rsidRPr="00B97E75" w:rsidTr="00137C7C">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1479" w:type="dxa"/>
            <w:tcBorders>
              <w:top w:val="nil"/>
              <w:left w:val="nil"/>
              <w:bottom w:val="single" w:sz="8" w:space="0" w:color="auto"/>
              <w:right w:val="nil"/>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31</w:t>
            </w:r>
          </w:p>
        </w:tc>
      </w:tr>
      <w:tr w:rsidR="00BF22D4" w:rsidRPr="00B97E75" w:rsidTr="00137C7C">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479" w:type="dxa"/>
            <w:tcBorders>
              <w:top w:val="nil"/>
              <w:left w:val="nil"/>
              <w:bottom w:val="single" w:sz="8" w:space="0" w:color="auto"/>
              <w:right w:val="nil"/>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0</w:t>
            </w:r>
          </w:p>
        </w:tc>
      </w:tr>
      <w:tr w:rsidR="00BF22D4" w:rsidRPr="00B97E75" w:rsidTr="00137C7C">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1479"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276"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88.00</w:t>
            </w:r>
          </w:p>
        </w:tc>
      </w:tr>
      <w:tr w:rsidR="00BF22D4" w:rsidRPr="00B97E75" w:rsidTr="00137C7C">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479"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276"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87.35</w:t>
            </w:r>
          </w:p>
        </w:tc>
      </w:tr>
      <w:tr w:rsidR="00BF22D4" w:rsidRPr="00B97E75" w:rsidTr="00137C7C">
        <w:trPr>
          <w:trHeight w:val="315"/>
        </w:trPr>
        <w:tc>
          <w:tcPr>
            <w:tcW w:w="3979"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BF22D4" w:rsidRPr="00B97E75" w:rsidRDefault="00E13270" w:rsidP="00137C7C">
            <w:pPr>
              <w:spacing w:after="0" w:line="240" w:lineRule="auto"/>
              <w:rPr>
                <w:rFonts w:eastAsia="Times New Roman" w:cstheme="minorHAnsi"/>
                <w:color w:val="000000"/>
                <w:lang w:eastAsia="en-IE"/>
              </w:rPr>
            </w:pPr>
            <w:r>
              <w:rPr>
                <w:rFonts w:eastAsia="Times New Roman" w:cstheme="minorHAnsi"/>
                <w:color w:val="000000"/>
                <w:lang w:eastAsia="en-IE"/>
              </w:rPr>
              <w:t>Rent &amp; Annuities Percentage 2012</w:t>
            </w:r>
          </w:p>
        </w:tc>
        <w:tc>
          <w:tcPr>
            <w:tcW w:w="1276" w:type="dxa"/>
            <w:tcBorders>
              <w:top w:val="nil"/>
              <w:left w:val="nil"/>
              <w:bottom w:val="single" w:sz="8" w:space="0" w:color="auto"/>
              <w:right w:val="single" w:sz="8" w:space="0" w:color="auto"/>
            </w:tcBorders>
            <w:shd w:val="clear" w:color="auto" w:fill="B6DDE8" w:themeFill="accent5" w:themeFillTint="66"/>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 </w:t>
            </w:r>
          </w:p>
        </w:tc>
      </w:tr>
      <w:tr w:rsidR="00BF22D4" w:rsidRPr="00B97E75" w:rsidTr="00137C7C">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1479"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276"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31</w:t>
            </w:r>
          </w:p>
        </w:tc>
      </w:tr>
      <w:tr w:rsidR="00BF22D4" w:rsidRPr="00B97E75" w:rsidTr="00137C7C">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479"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276"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0</w:t>
            </w:r>
          </w:p>
        </w:tc>
      </w:tr>
      <w:tr w:rsidR="00BF22D4" w:rsidRPr="00B97E75" w:rsidTr="00137C7C">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1479"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276"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88.00</w:t>
            </w:r>
          </w:p>
        </w:tc>
      </w:tr>
      <w:tr w:rsidR="00BF22D4" w:rsidRPr="00B97E75" w:rsidTr="00137C7C">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479"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276"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86.</w:t>
            </w:r>
            <w:r w:rsidR="00EC611D">
              <w:rPr>
                <w:rFonts w:eastAsia="Times New Roman" w:cstheme="minorHAnsi"/>
                <w:color w:val="000000"/>
                <w:lang w:eastAsia="en-IE"/>
              </w:rPr>
              <w:t>71</w:t>
            </w:r>
          </w:p>
        </w:tc>
      </w:tr>
      <w:tr w:rsidR="00BF22D4" w:rsidRPr="00B97E75" w:rsidTr="00137C7C">
        <w:trPr>
          <w:trHeight w:val="315"/>
        </w:trPr>
        <w:tc>
          <w:tcPr>
            <w:tcW w:w="3979"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BF22D4" w:rsidRPr="00B97E75" w:rsidRDefault="00E13270" w:rsidP="00137C7C">
            <w:pPr>
              <w:spacing w:after="0" w:line="240" w:lineRule="auto"/>
              <w:rPr>
                <w:rFonts w:eastAsia="Times New Roman" w:cstheme="minorHAnsi"/>
                <w:color w:val="000000"/>
                <w:lang w:eastAsia="en-IE"/>
              </w:rPr>
            </w:pPr>
            <w:r>
              <w:rPr>
                <w:rFonts w:eastAsia="Times New Roman" w:cstheme="minorHAnsi"/>
                <w:color w:val="000000"/>
                <w:lang w:eastAsia="en-IE"/>
              </w:rPr>
              <w:t>Rent &amp; Annuities Percentage 2013</w:t>
            </w:r>
          </w:p>
        </w:tc>
        <w:tc>
          <w:tcPr>
            <w:tcW w:w="1276" w:type="dxa"/>
            <w:tcBorders>
              <w:top w:val="nil"/>
              <w:left w:val="nil"/>
              <w:bottom w:val="single" w:sz="8" w:space="0" w:color="auto"/>
              <w:right w:val="single" w:sz="8" w:space="0" w:color="auto"/>
            </w:tcBorders>
            <w:shd w:val="clear" w:color="auto" w:fill="B6DDE8" w:themeFill="accent5" w:themeFillTint="66"/>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 </w:t>
            </w:r>
          </w:p>
        </w:tc>
      </w:tr>
      <w:tr w:rsidR="00BF22D4" w:rsidRPr="00B97E75" w:rsidTr="00137C7C">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1479"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276"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31</w:t>
            </w:r>
          </w:p>
        </w:tc>
      </w:tr>
      <w:tr w:rsidR="00BF22D4" w:rsidRPr="00B97E75" w:rsidTr="00137C7C">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479"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276"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0</w:t>
            </w:r>
          </w:p>
        </w:tc>
      </w:tr>
      <w:tr w:rsidR="00BF22D4" w:rsidRPr="00B97E75" w:rsidTr="00137C7C">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1479"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276"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8</w:t>
            </w:r>
            <w:r w:rsidR="009C05E2">
              <w:rPr>
                <w:rFonts w:eastAsia="Times New Roman" w:cstheme="minorHAnsi"/>
                <w:b/>
                <w:bCs/>
                <w:color w:val="000000"/>
                <w:lang w:eastAsia="en-IE"/>
              </w:rPr>
              <w:t>8</w:t>
            </w:r>
            <w:r w:rsidRPr="00B97E75">
              <w:rPr>
                <w:rFonts w:eastAsia="Times New Roman" w:cstheme="minorHAnsi"/>
                <w:b/>
                <w:bCs/>
                <w:color w:val="000000"/>
                <w:lang w:eastAsia="en-IE"/>
              </w:rPr>
              <w:t>.00</w:t>
            </w:r>
          </w:p>
        </w:tc>
      </w:tr>
      <w:tr w:rsidR="00BF22D4" w:rsidRPr="00B97E75" w:rsidTr="00137C7C">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479"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276"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86.</w:t>
            </w:r>
            <w:r w:rsidR="009C05E2">
              <w:rPr>
                <w:rFonts w:eastAsia="Times New Roman" w:cstheme="minorHAnsi"/>
                <w:color w:val="000000"/>
                <w:lang w:eastAsia="en-IE"/>
              </w:rPr>
              <w:t>39</w:t>
            </w:r>
          </w:p>
        </w:tc>
      </w:tr>
      <w:tr w:rsidR="00BF22D4" w:rsidRPr="00B97E75" w:rsidTr="00137C7C">
        <w:trPr>
          <w:trHeight w:val="315"/>
        </w:trPr>
        <w:tc>
          <w:tcPr>
            <w:tcW w:w="3979"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BF22D4" w:rsidRPr="00B97E75" w:rsidRDefault="00E13270" w:rsidP="00137C7C">
            <w:pPr>
              <w:spacing w:after="0" w:line="240" w:lineRule="auto"/>
              <w:rPr>
                <w:rFonts w:eastAsia="Times New Roman" w:cstheme="minorHAnsi"/>
                <w:color w:val="000000"/>
                <w:lang w:eastAsia="en-IE"/>
              </w:rPr>
            </w:pPr>
            <w:r>
              <w:rPr>
                <w:rFonts w:eastAsia="Times New Roman" w:cstheme="minorHAnsi"/>
                <w:color w:val="000000"/>
                <w:lang w:eastAsia="en-IE"/>
              </w:rPr>
              <w:t>Rent &amp; Annuities Percentage 2014</w:t>
            </w:r>
          </w:p>
        </w:tc>
        <w:tc>
          <w:tcPr>
            <w:tcW w:w="1276" w:type="dxa"/>
            <w:tcBorders>
              <w:top w:val="nil"/>
              <w:left w:val="nil"/>
              <w:bottom w:val="single" w:sz="8" w:space="0" w:color="auto"/>
              <w:right w:val="single" w:sz="8" w:space="0" w:color="auto"/>
            </w:tcBorders>
            <w:shd w:val="clear" w:color="auto" w:fill="B6DDE8" w:themeFill="accent5" w:themeFillTint="66"/>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 </w:t>
            </w:r>
          </w:p>
        </w:tc>
      </w:tr>
      <w:tr w:rsidR="00BF22D4" w:rsidRPr="00B97E75" w:rsidTr="00137C7C">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1479"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276"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31</w:t>
            </w:r>
          </w:p>
        </w:tc>
      </w:tr>
      <w:tr w:rsidR="00BF22D4" w:rsidRPr="00B97E75" w:rsidTr="00137C7C">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479"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276"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0</w:t>
            </w:r>
          </w:p>
        </w:tc>
      </w:tr>
      <w:tr w:rsidR="00BF22D4" w:rsidRPr="00B97E75" w:rsidTr="00137C7C">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1479"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276"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87.00</w:t>
            </w:r>
          </w:p>
        </w:tc>
      </w:tr>
      <w:tr w:rsidR="00BF22D4" w:rsidRPr="00B97E75" w:rsidTr="00137C7C">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479"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276"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86.55</w:t>
            </w:r>
          </w:p>
        </w:tc>
      </w:tr>
    </w:tbl>
    <w:p w:rsidR="00BF22D4" w:rsidRPr="00B97E75" w:rsidRDefault="00BF22D4" w:rsidP="00E972EB">
      <w:pPr>
        <w:rPr>
          <w:rFonts w:eastAsia="Times New Roman" w:cstheme="minorHAnsi"/>
          <w:b/>
          <w:bCs/>
          <w:color w:val="000000"/>
          <w:lang w:eastAsia="en-IE"/>
        </w:rPr>
      </w:pPr>
    </w:p>
    <w:p w:rsidR="00BF22D4" w:rsidRPr="00B97E75" w:rsidRDefault="00BF22D4" w:rsidP="00E972EB">
      <w:pPr>
        <w:rPr>
          <w:rFonts w:eastAsia="Times New Roman" w:cstheme="minorHAnsi"/>
          <w:b/>
          <w:bCs/>
          <w:color w:val="000000"/>
          <w:lang w:eastAsia="en-IE"/>
        </w:rPr>
      </w:pPr>
    </w:p>
    <w:p w:rsidR="00C85E74" w:rsidRPr="00B97E75" w:rsidRDefault="00C85E74" w:rsidP="00E972EB">
      <w:pPr>
        <w:rPr>
          <w:rFonts w:eastAsia="Times New Roman" w:cstheme="minorHAnsi"/>
          <w:b/>
          <w:bCs/>
          <w:color w:val="000000"/>
          <w:lang w:eastAsia="en-IE"/>
        </w:rPr>
      </w:pPr>
    </w:p>
    <w:p w:rsidR="000271F2" w:rsidRPr="00B97E75" w:rsidRDefault="000271F2" w:rsidP="00E972EB">
      <w:pPr>
        <w:rPr>
          <w:rFonts w:eastAsia="Times New Roman" w:cstheme="minorHAnsi"/>
          <w:b/>
          <w:bCs/>
          <w:color w:val="000000"/>
          <w:lang w:eastAsia="en-IE"/>
        </w:rPr>
      </w:pPr>
    </w:p>
    <w:p w:rsidR="003C4E40" w:rsidRPr="00B97E75" w:rsidRDefault="003C4E40">
      <w:pPr>
        <w:rPr>
          <w:rFonts w:eastAsia="Times New Roman" w:cstheme="minorHAnsi"/>
          <w:b/>
          <w:bCs/>
          <w:color w:val="000000"/>
          <w:lang w:eastAsia="en-IE"/>
        </w:rPr>
      </w:pPr>
      <w:r w:rsidRPr="00B97E75">
        <w:rPr>
          <w:rFonts w:eastAsia="Times New Roman" w:cstheme="minorHAnsi"/>
          <w:b/>
          <w:bCs/>
          <w:color w:val="000000"/>
          <w:lang w:eastAsia="en-IE"/>
        </w:rPr>
        <w:br w:type="page"/>
      </w:r>
    </w:p>
    <w:p w:rsidR="00E74952" w:rsidRPr="00B97E75" w:rsidRDefault="00E74952" w:rsidP="003C4E40">
      <w:pPr>
        <w:pStyle w:val="PITableHeading"/>
        <w:rPr>
          <w:rFonts w:asciiTheme="minorHAnsi" w:hAnsiTheme="minorHAnsi" w:cstheme="minorHAnsi"/>
          <w:sz w:val="22"/>
          <w:szCs w:val="22"/>
        </w:rPr>
      </w:pPr>
      <w:r w:rsidRPr="00B97E75">
        <w:rPr>
          <w:rFonts w:asciiTheme="minorHAnsi" w:hAnsiTheme="minorHAnsi" w:cstheme="minorHAnsi"/>
          <w:sz w:val="22"/>
          <w:szCs w:val="22"/>
        </w:rPr>
        <w:lastRenderedPageBreak/>
        <w:t>Table 2</w:t>
      </w:r>
      <w:r w:rsidR="00B70292">
        <w:rPr>
          <w:rFonts w:asciiTheme="minorHAnsi" w:hAnsiTheme="minorHAnsi" w:cstheme="minorHAnsi"/>
          <w:sz w:val="22"/>
          <w:szCs w:val="22"/>
        </w:rPr>
        <w:t>5</w:t>
      </w:r>
      <w:r w:rsidRPr="00B97E75">
        <w:rPr>
          <w:rFonts w:asciiTheme="minorHAnsi" w:hAnsiTheme="minorHAnsi" w:cstheme="minorHAnsi"/>
          <w:sz w:val="22"/>
          <w:szCs w:val="22"/>
        </w:rPr>
        <w:t xml:space="preserve">: </w:t>
      </w:r>
      <w:r w:rsidR="003C4E40" w:rsidRPr="003E001D">
        <w:rPr>
          <w:rFonts w:asciiTheme="minorHAnsi" w:hAnsiTheme="minorHAnsi" w:cstheme="minorHAnsi"/>
          <w:b w:val="0"/>
          <w:sz w:val="22"/>
          <w:szCs w:val="22"/>
        </w:rPr>
        <w:t>Five</w:t>
      </w:r>
      <w:r w:rsidRPr="003E001D">
        <w:rPr>
          <w:rFonts w:asciiTheme="minorHAnsi" w:hAnsiTheme="minorHAnsi" w:cstheme="minorHAnsi"/>
          <w:b w:val="0"/>
          <w:sz w:val="22"/>
          <w:szCs w:val="22"/>
        </w:rPr>
        <w:t xml:space="preserve"> Year summary of </w:t>
      </w:r>
      <w:r w:rsidR="00E13270" w:rsidRPr="003E001D">
        <w:rPr>
          <w:rFonts w:asciiTheme="minorHAnsi" w:hAnsiTheme="minorHAnsi" w:cstheme="minorHAnsi"/>
          <w:b w:val="0"/>
          <w:sz w:val="22"/>
          <w:szCs w:val="22"/>
        </w:rPr>
        <w:t>percentage</w:t>
      </w:r>
      <w:r w:rsidRPr="003E001D">
        <w:rPr>
          <w:rFonts w:asciiTheme="minorHAnsi" w:hAnsiTheme="minorHAnsi" w:cstheme="minorHAnsi"/>
          <w:b w:val="0"/>
          <w:sz w:val="22"/>
          <w:szCs w:val="22"/>
        </w:rPr>
        <w:t xml:space="preserve"> collection levels for Housing Loans</w:t>
      </w:r>
    </w:p>
    <w:tbl>
      <w:tblPr>
        <w:tblStyle w:val="LightGrid-Accent5"/>
        <w:tblW w:w="8675" w:type="dxa"/>
        <w:tblLook w:val="04A0" w:firstRow="1" w:lastRow="0" w:firstColumn="1" w:lastColumn="0" w:noHBand="0" w:noVBand="1"/>
      </w:tblPr>
      <w:tblGrid>
        <w:gridCol w:w="2460"/>
        <w:gridCol w:w="1243"/>
        <w:gridCol w:w="1243"/>
        <w:gridCol w:w="1243"/>
        <w:gridCol w:w="1243"/>
        <w:gridCol w:w="1243"/>
      </w:tblGrid>
      <w:tr w:rsidR="00E74952" w:rsidRPr="005C4524" w:rsidTr="0077188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vAlign w:val="center"/>
            <w:hideMark/>
          </w:tcPr>
          <w:p w:rsidR="00E74952" w:rsidRPr="005C4524" w:rsidRDefault="00D36D20" w:rsidP="00771880">
            <w:pPr>
              <w:rPr>
                <w:rFonts w:asciiTheme="minorHAnsi" w:eastAsia="Times New Roman" w:hAnsiTheme="minorHAnsi" w:cstheme="minorHAnsi"/>
                <w:color w:val="000000"/>
                <w:lang w:eastAsia="en-IE"/>
              </w:rPr>
            </w:pPr>
            <w:r w:rsidRPr="00D36D20">
              <w:rPr>
                <w:rFonts w:asciiTheme="minorHAnsi" w:eastAsia="Times New Roman" w:hAnsiTheme="minorHAnsi" w:cstheme="minorHAnsi"/>
                <w:color w:val="000000"/>
                <w:lang w:eastAsia="en-IE"/>
              </w:rPr>
              <w:t>Authority</w:t>
            </w:r>
          </w:p>
        </w:tc>
        <w:tc>
          <w:tcPr>
            <w:tcW w:w="1243" w:type="dxa"/>
            <w:vAlign w:val="center"/>
            <w:hideMark/>
          </w:tcPr>
          <w:p w:rsidR="00E74952" w:rsidRPr="005C4524" w:rsidRDefault="00E13270"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eastAsia="en-IE"/>
              </w:rPr>
            </w:pPr>
            <w:r>
              <w:rPr>
                <w:rFonts w:asciiTheme="minorHAnsi" w:eastAsia="Times New Roman" w:hAnsiTheme="minorHAnsi" w:cstheme="minorHAnsi"/>
                <w:color w:val="000000"/>
                <w:lang w:eastAsia="en-IE"/>
              </w:rPr>
              <w:t xml:space="preserve">Housing Loan Percentage </w:t>
            </w:r>
            <w:r w:rsidR="00E74952" w:rsidRPr="005C4524">
              <w:rPr>
                <w:rFonts w:asciiTheme="minorHAnsi" w:eastAsia="Times New Roman" w:hAnsiTheme="minorHAnsi" w:cstheme="minorHAnsi"/>
                <w:color w:val="000000"/>
                <w:lang w:eastAsia="en-IE"/>
              </w:rPr>
              <w:t xml:space="preserve">2010  </w:t>
            </w:r>
          </w:p>
        </w:tc>
        <w:tc>
          <w:tcPr>
            <w:tcW w:w="1243" w:type="dxa"/>
            <w:vAlign w:val="center"/>
            <w:hideMark/>
          </w:tcPr>
          <w:p w:rsidR="00E74952" w:rsidRPr="005C4524" w:rsidRDefault="00E13270"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eastAsia="en-IE"/>
              </w:rPr>
            </w:pPr>
            <w:r>
              <w:rPr>
                <w:rFonts w:asciiTheme="minorHAnsi" w:eastAsia="Times New Roman" w:hAnsiTheme="minorHAnsi" w:cstheme="minorHAnsi"/>
                <w:color w:val="000000"/>
                <w:lang w:eastAsia="en-IE"/>
              </w:rPr>
              <w:t xml:space="preserve">Housing Loan Percentage </w:t>
            </w:r>
            <w:r w:rsidR="00E74952" w:rsidRPr="005C4524">
              <w:rPr>
                <w:rFonts w:asciiTheme="minorHAnsi" w:eastAsia="Times New Roman" w:hAnsiTheme="minorHAnsi" w:cstheme="minorHAnsi"/>
                <w:color w:val="000000"/>
                <w:lang w:eastAsia="en-IE"/>
              </w:rPr>
              <w:t xml:space="preserve">2011  </w:t>
            </w:r>
          </w:p>
        </w:tc>
        <w:tc>
          <w:tcPr>
            <w:tcW w:w="1243" w:type="dxa"/>
            <w:vAlign w:val="center"/>
            <w:hideMark/>
          </w:tcPr>
          <w:p w:rsidR="00E74952" w:rsidRPr="005C4524" w:rsidRDefault="00E13270"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eastAsia="en-IE"/>
              </w:rPr>
            </w:pPr>
            <w:r>
              <w:rPr>
                <w:rFonts w:asciiTheme="minorHAnsi" w:eastAsia="Times New Roman" w:hAnsiTheme="minorHAnsi" w:cstheme="minorHAnsi"/>
                <w:color w:val="000000"/>
                <w:lang w:eastAsia="en-IE"/>
              </w:rPr>
              <w:t xml:space="preserve">Housing Loan Percentage 2012 </w:t>
            </w:r>
          </w:p>
        </w:tc>
        <w:tc>
          <w:tcPr>
            <w:tcW w:w="1243" w:type="dxa"/>
            <w:vAlign w:val="center"/>
            <w:hideMark/>
          </w:tcPr>
          <w:p w:rsidR="00E74952" w:rsidRPr="005C4524" w:rsidRDefault="00E13270"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eastAsia="en-IE"/>
              </w:rPr>
            </w:pPr>
            <w:r>
              <w:rPr>
                <w:rFonts w:asciiTheme="minorHAnsi" w:eastAsia="Times New Roman" w:hAnsiTheme="minorHAnsi" w:cstheme="minorHAnsi"/>
                <w:color w:val="000000"/>
                <w:lang w:eastAsia="en-IE"/>
              </w:rPr>
              <w:t xml:space="preserve">Housing Loan Percentage </w:t>
            </w:r>
            <w:r w:rsidR="00E74952" w:rsidRPr="005C4524">
              <w:rPr>
                <w:rFonts w:asciiTheme="minorHAnsi" w:eastAsia="Times New Roman" w:hAnsiTheme="minorHAnsi" w:cstheme="minorHAnsi"/>
                <w:color w:val="000000"/>
                <w:lang w:eastAsia="en-IE"/>
              </w:rPr>
              <w:t xml:space="preserve">2013 </w:t>
            </w:r>
          </w:p>
        </w:tc>
        <w:tc>
          <w:tcPr>
            <w:tcW w:w="1243" w:type="dxa"/>
            <w:vAlign w:val="center"/>
            <w:hideMark/>
          </w:tcPr>
          <w:p w:rsidR="00E74952" w:rsidRPr="005C4524" w:rsidRDefault="00E13270" w:rsidP="0077188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eastAsia="en-IE"/>
              </w:rPr>
            </w:pPr>
            <w:r>
              <w:rPr>
                <w:rFonts w:asciiTheme="minorHAnsi" w:eastAsia="Times New Roman" w:hAnsiTheme="minorHAnsi" w:cstheme="minorHAnsi"/>
                <w:color w:val="000000"/>
                <w:lang w:eastAsia="en-IE"/>
              </w:rPr>
              <w:t xml:space="preserve">Housing Loan Percentage 2014 </w:t>
            </w:r>
            <w:r w:rsidR="00E74952" w:rsidRPr="005C4524">
              <w:rPr>
                <w:rFonts w:asciiTheme="minorHAnsi" w:eastAsia="Times New Roman" w:hAnsiTheme="minorHAnsi" w:cstheme="minorHAnsi"/>
                <w:color w:val="000000"/>
                <w:lang w:eastAsia="en-IE"/>
              </w:rPr>
              <w:t xml:space="preserve"> </w:t>
            </w:r>
          </w:p>
        </w:tc>
      </w:tr>
      <w:tr w:rsidR="00E74952" w:rsidRPr="005C4524" w:rsidTr="00185B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E74952" w:rsidRPr="005C4524" w:rsidRDefault="00E74952"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 </w:t>
            </w:r>
          </w:p>
        </w:tc>
        <w:tc>
          <w:tcPr>
            <w:tcW w:w="1243" w:type="dxa"/>
            <w:hideMark/>
          </w:tcPr>
          <w:p w:rsidR="00E74952" w:rsidRPr="005C4524" w:rsidRDefault="00E74952" w:rsidP="00E7495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243" w:type="dxa"/>
            <w:hideMark/>
          </w:tcPr>
          <w:p w:rsidR="00E74952" w:rsidRPr="005C4524" w:rsidRDefault="00E74952" w:rsidP="00E7495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243" w:type="dxa"/>
            <w:noWrap/>
            <w:hideMark/>
          </w:tcPr>
          <w:p w:rsidR="00E74952" w:rsidRPr="005C4524" w:rsidRDefault="00E74952" w:rsidP="00E7495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243" w:type="dxa"/>
            <w:hideMark/>
          </w:tcPr>
          <w:p w:rsidR="00E74952" w:rsidRPr="005C4524" w:rsidRDefault="00E74952" w:rsidP="00E7495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c>
          <w:tcPr>
            <w:tcW w:w="1243" w:type="dxa"/>
            <w:noWrap/>
            <w:hideMark/>
          </w:tcPr>
          <w:p w:rsidR="00E74952" w:rsidRPr="005C4524" w:rsidRDefault="00E74952" w:rsidP="00E7495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r>
      <w:tr w:rsidR="00185B0B" w:rsidRPr="005C4524" w:rsidTr="00185B0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Carlow County</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81</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80</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72</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71</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82</w:t>
            </w:r>
          </w:p>
        </w:tc>
      </w:tr>
      <w:tr w:rsidR="00185B0B" w:rsidRPr="005C4524" w:rsidTr="00185B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Cavan County</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85</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82</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74</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67</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67</w:t>
            </w:r>
          </w:p>
        </w:tc>
      </w:tr>
      <w:tr w:rsidR="00185B0B" w:rsidRPr="005C4524" w:rsidTr="00185B0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Clare County</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76</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67</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6</w:t>
            </w:r>
            <w:r w:rsidR="009C05E2">
              <w:rPr>
                <w:rFonts w:ascii="Calibri" w:hAnsi="Calibri" w:cs="Calibri"/>
                <w:color w:val="000000"/>
              </w:rPr>
              <w:t>0</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57</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61</w:t>
            </w:r>
          </w:p>
        </w:tc>
      </w:tr>
      <w:tr w:rsidR="00185B0B" w:rsidRPr="005C4524" w:rsidTr="00185B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Cork City</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86</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82</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76</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78</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74</w:t>
            </w:r>
          </w:p>
        </w:tc>
      </w:tr>
      <w:tr w:rsidR="00185B0B" w:rsidRPr="005C4524" w:rsidTr="00185B0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Cork County</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75</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70</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61</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60</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53</w:t>
            </w:r>
          </w:p>
        </w:tc>
      </w:tr>
      <w:tr w:rsidR="00185B0B" w:rsidRPr="005C4524" w:rsidTr="00185B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Donegal County</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80</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75</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67</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66</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63</w:t>
            </w:r>
          </w:p>
        </w:tc>
      </w:tr>
      <w:tr w:rsidR="00185B0B" w:rsidRPr="005C4524" w:rsidTr="00185B0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Dublin City</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77</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71</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68</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61</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58</w:t>
            </w:r>
          </w:p>
        </w:tc>
      </w:tr>
      <w:tr w:rsidR="00185B0B" w:rsidRPr="005C4524" w:rsidTr="00185B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 xml:space="preserve">Dun Laoghaire </w:t>
            </w:r>
            <w:proofErr w:type="spellStart"/>
            <w:r w:rsidRPr="005C4524">
              <w:rPr>
                <w:rFonts w:asciiTheme="minorHAnsi" w:eastAsia="Times New Roman" w:hAnsiTheme="minorHAnsi" w:cstheme="minorHAnsi"/>
                <w:color w:val="000000"/>
                <w:lang w:eastAsia="en-IE"/>
              </w:rPr>
              <w:t>Rathdown</w:t>
            </w:r>
            <w:proofErr w:type="spellEnd"/>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81</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73</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64</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64</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57</w:t>
            </w:r>
          </w:p>
        </w:tc>
      </w:tr>
      <w:tr w:rsidR="00185B0B" w:rsidRPr="005C4524" w:rsidTr="00185B0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proofErr w:type="spellStart"/>
            <w:r w:rsidRPr="005C4524">
              <w:rPr>
                <w:rFonts w:asciiTheme="minorHAnsi" w:eastAsia="Times New Roman" w:hAnsiTheme="minorHAnsi" w:cstheme="minorHAnsi"/>
                <w:color w:val="000000"/>
                <w:lang w:eastAsia="en-IE"/>
              </w:rPr>
              <w:t>Fingal</w:t>
            </w:r>
            <w:proofErr w:type="spellEnd"/>
            <w:r w:rsidRPr="005C4524">
              <w:rPr>
                <w:rFonts w:asciiTheme="minorHAnsi" w:eastAsia="Times New Roman" w:hAnsiTheme="minorHAnsi" w:cstheme="minorHAnsi"/>
                <w:color w:val="000000"/>
                <w:lang w:eastAsia="en-IE"/>
              </w:rPr>
              <w:t xml:space="preserve"> County</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95</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94</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90</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98</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98</w:t>
            </w:r>
          </w:p>
        </w:tc>
      </w:tr>
      <w:tr w:rsidR="00185B0B" w:rsidRPr="005C4524" w:rsidTr="00185B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Galway City</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77</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72</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72</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78</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81</w:t>
            </w:r>
          </w:p>
        </w:tc>
      </w:tr>
      <w:tr w:rsidR="00185B0B" w:rsidRPr="005C4524" w:rsidTr="00185B0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Galway County</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84</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83</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78</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76</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75</w:t>
            </w:r>
          </w:p>
        </w:tc>
      </w:tr>
      <w:tr w:rsidR="00185B0B" w:rsidRPr="005C4524" w:rsidTr="00185B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Kerry County</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90</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90</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88</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87</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83</w:t>
            </w:r>
          </w:p>
        </w:tc>
      </w:tr>
      <w:tr w:rsidR="00185B0B" w:rsidRPr="005C4524" w:rsidTr="00185B0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Kildare County</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54</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57</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49</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44</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42</w:t>
            </w:r>
          </w:p>
        </w:tc>
      </w:tr>
      <w:tr w:rsidR="00185B0B" w:rsidRPr="005C4524" w:rsidTr="00185B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Kilkenny County</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76</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73</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w:t>
            </w:r>
            <w:r w:rsidR="009C05E2">
              <w:rPr>
                <w:rFonts w:ascii="Calibri" w:hAnsi="Calibri" w:cs="Calibri"/>
                <w:color w:val="000000"/>
              </w:rPr>
              <w:t>7</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74</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77</w:t>
            </w:r>
          </w:p>
        </w:tc>
      </w:tr>
      <w:tr w:rsidR="00185B0B" w:rsidRPr="005C4524" w:rsidTr="00185B0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Laois County</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86</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81</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76</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67</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62</w:t>
            </w:r>
          </w:p>
        </w:tc>
      </w:tr>
      <w:tr w:rsidR="00185B0B" w:rsidRPr="005C4524" w:rsidTr="00185B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Leitrim County</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74</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71</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65</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63</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60</w:t>
            </w:r>
          </w:p>
        </w:tc>
      </w:tr>
      <w:tr w:rsidR="00185B0B" w:rsidRPr="005C4524" w:rsidTr="00185B0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Limerick City &amp; County</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80</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78</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77</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75</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77</w:t>
            </w:r>
          </w:p>
        </w:tc>
      </w:tr>
      <w:tr w:rsidR="00185B0B" w:rsidRPr="005C4524" w:rsidTr="00185B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Longford County</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84</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77</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67</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61</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57</w:t>
            </w:r>
          </w:p>
        </w:tc>
      </w:tr>
      <w:tr w:rsidR="00185B0B" w:rsidRPr="005C4524" w:rsidTr="00185B0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Louth County</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67</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64</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60</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60</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66</w:t>
            </w:r>
          </w:p>
        </w:tc>
      </w:tr>
      <w:tr w:rsidR="00185B0B" w:rsidRPr="005C4524" w:rsidTr="00185B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Mayo County</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69</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66</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61</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63</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65</w:t>
            </w:r>
          </w:p>
        </w:tc>
      </w:tr>
      <w:tr w:rsidR="00185B0B" w:rsidRPr="005C4524" w:rsidTr="00185B0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Meath County</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86</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84</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77</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69</w:t>
            </w:r>
          </w:p>
        </w:tc>
        <w:tc>
          <w:tcPr>
            <w:tcW w:w="1243" w:type="dxa"/>
            <w:vAlign w:val="bottom"/>
            <w:hideMark/>
          </w:tcPr>
          <w:p w:rsidR="00185B0B" w:rsidRPr="00014EAA"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vertAlign w:val="superscript"/>
              </w:rPr>
            </w:pPr>
            <w:r>
              <w:rPr>
                <w:rFonts w:ascii="Calibri" w:hAnsi="Calibri" w:cs="Calibri"/>
                <w:color w:val="000000"/>
              </w:rPr>
              <w:t>63</w:t>
            </w:r>
          </w:p>
        </w:tc>
      </w:tr>
      <w:tr w:rsidR="00185B0B" w:rsidRPr="005C4524" w:rsidTr="00185B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Monaghan County</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89</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86</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84</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85</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81</w:t>
            </w:r>
          </w:p>
        </w:tc>
      </w:tr>
      <w:tr w:rsidR="00185B0B" w:rsidRPr="005C4524" w:rsidTr="00185B0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Offaly County</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68</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63</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59</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60</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62</w:t>
            </w:r>
          </w:p>
        </w:tc>
      </w:tr>
      <w:tr w:rsidR="00185B0B" w:rsidRPr="005C4524" w:rsidTr="00185B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Roscommon County</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62</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57</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50</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42</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53</w:t>
            </w:r>
          </w:p>
        </w:tc>
      </w:tr>
      <w:tr w:rsidR="00185B0B" w:rsidRPr="005C4524" w:rsidTr="00185B0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Sligo County</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65</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57</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5</w:t>
            </w:r>
            <w:r w:rsidR="009C05E2">
              <w:rPr>
                <w:rFonts w:ascii="Calibri" w:hAnsi="Calibri" w:cs="Calibri"/>
                <w:color w:val="000000"/>
              </w:rPr>
              <w:t>1</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4</w:t>
            </w:r>
            <w:r w:rsidR="009C05E2">
              <w:rPr>
                <w:rFonts w:ascii="Calibri" w:hAnsi="Calibri" w:cs="Calibri"/>
                <w:color w:val="000000"/>
              </w:rPr>
              <w:t>6</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46</w:t>
            </w:r>
          </w:p>
        </w:tc>
      </w:tr>
      <w:tr w:rsidR="00185B0B" w:rsidRPr="005C4524" w:rsidTr="00185B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South Dublin County</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102</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100</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98</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96</w:t>
            </w:r>
          </w:p>
        </w:tc>
        <w:tc>
          <w:tcPr>
            <w:tcW w:w="1243" w:type="dxa"/>
            <w:vAlign w:val="bottom"/>
            <w:hideMark/>
          </w:tcPr>
          <w:p w:rsidR="00185B0B" w:rsidRPr="00014EAA"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vertAlign w:val="superscript"/>
              </w:rPr>
            </w:pPr>
            <w:r>
              <w:rPr>
                <w:rFonts w:ascii="Calibri" w:hAnsi="Calibri" w:cs="Calibri"/>
                <w:color w:val="000000"/>
              </w:rPr>
              <w:t>90</w:t>
            </w:r>
          </w:p>
        </w:tc>
      </w:tr>
      <w:tr w:rsidR="00185B0B" w:rsidRPr="005C4524" w:rsidTr="00185B0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Tipperary County</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80</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75</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74</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77</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76</w:t>
            </w:r>
          </w:p>
        </w:tc>
      </w:tr>
      <w:tr w:rsidR="00185B0B" w:rsidRPr="005C4524" w:rsidTr="00185B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Waterford City &amp; County</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76</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67</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57</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57</w:t>
            </w:r>
          </w:p>
        </w:tc>
        <w:tc>
          <w:tcPr>
            <w:tcW w:w="1243" w:type="dxa"/>
            <w:vAlign w:val="bottom"/>
            <w:hideMark/>
          </w:tcPr>
          <w:p w:rsidR="00185B0B" w:rsidRDefault="00C81B8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53</w:t>
            </w:r>
          </w:p>
        </w:tc>
      </w:tr>
      <w:tr w:rsidR="00185B0B" w:rsidRPr="005C4524" w:rsidTr="00185B0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Westmeath County</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53</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48</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4</w:t>
            </w:r>
            <w:r w:rsidR="009C05E2">
              <w:rPr>
                <w:rFonts w:ascii="Calibri" w:hAnsi="Calibri" w:cs="Calibri"/>
                <w:color w:val="000000"/>
              </w:rPr>
              <w:t>7</w:t>
            </w:r>
          </w:p>
        </w:tc>
        <w:tc>
          <w:tcPr>
            <w:tcW w:w="1243" w:type="dxa"/>
            <w:vAlign w:val="bottom"/>
            <w:hideMark/>
          </w:tcPr>
          <w:p w:rsidR="00185B0B" w:rsidRDefault="009C05E2">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54</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54</w:t>
            </w:r>
          </w:p>
        </w:tc>
      </w:tr>
      <w:tr w:rsidR="00185B0B" w:rsidRPr="005C4524" w:rsidTr="00185B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Wexford County</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90</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88</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82</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78</w:t>
            </w:r>
          </w:p>
        </w:tc>
        <w:tc>
          <w:tcPr>
            <w:tcW w:w="1243" w:type="dxa"/>
            <w:vAlign w:val="bottom"/>
            <w:hideMark/>
          </w:tcPr>
          <w:p w:rsidR="00185B0B" w:rsidRDefault="00185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75</w:t>
            </w:r>
          </w:p>
        </w:tc>
      </w:tr>
      <w:tr w:rsidR="00185B0B" w:rsidRPr="005C4524" w:rsidTr="00185B0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0" w:type="dxa"/>
            <w:noWrap/>
            <w:hideMark/>
          </w:tcPr>
          <w:p w:rsidR="00185B0B" w:rsidRPr="005C4524" w:rsidRDefault="00185B0B" w:rsidP="00E74952">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Wicklow County</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80</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w:t>
            </w:r>
            <w:r w:rsidR="009C05E2">
              <w:rPr>
                <w:rFonts w:ascii="Calibri" w:hAnsi="Calibri" w:cs="Calibri"/>
                <w:color w:val="000000"/>
              </w:rPr>
              <w:t>5</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74</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w:t>
            </w:r>
            <w:r w:rsidR="009C05E2">
              <w:rPr>
                <w:rFonts w:ascii="Calibri" w:hAnsi="Calibri" w:cs="Calibri"/>
                <w:color w:val="000000"/>
              </w:rPr>
              <w:t>5</w:t>
            </w:r>
          </w:p>
        </w:tc>
        <w:tc>
          <w:tcPr>
            <w:tcW w:w="1243" w:type="dxa"/>
            <w:vAlign w:val="bottom"/>
            <w:hideMark/>
          </w:tcPr>
          <w:p w:rsidR="00185B0B" w:rsidRDefault="00185B0B">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73</w:t>
            </w:r>
          </w:p>
        </w:tc>
      </w:tr>
    </w:tbl>
    <w:p w:rsidR="00F5429F" w:rsidRPr="009660A3" w:rsidRDefault="00F5429F" w:rsidP="00F5429F">
      <w:pPr>
        <w:spacing w:after="0" w:line="240" w:lineRule="auto"/>
        <w:jc w:val="both"/>
        <w:rPr>
          <w:rFonts w:eastAsia="Times New Roman" w:cstheme="minorHAnsi"/>
          <w:bCs/>
          <w:i/>
          <w:color w:val="000000"/>
          <w:sz w:val="18"/>
          <w:szCs w:val="18"/>
          <w:lang w:eastAsia="en-IE"/>
        </w:rPr>
      </w:pPr>
      <w:r w:rsidRPr="009660A3">
        <w:rPr>
          <w:rFonts w:eastAsia="Times New Roman" w:cstheme="minorHAnsi"/>
          <w:bCs/>
          <w:i/>
          <w:color w:val="000000"/>
          <w:sz w:val="18"/>
          <w:szCs w:val="18"/>
          <w:lang w:eastAsia="en-IE"/>
        </w:rPr>
        <w:t>In the case of 201</w:t>
      </w:r>
      <w:r w:rsidR="00EC46DC">
        <w:rPr>
          <w:rFonts w:eastAsia="Times New Roman" w:cstheme="minorHAnsi"/>
          <w:bCs/>
          <w:i/>
          <w:color w:val="000000"/>
          <w:sz w:val="18"/>
          <w:szCs w:val="18"/>
          <w:lang w:eastAsia="en-IE"/>
        </w:rPr>
        <w:t>4 the unaudited AFS</w:t>
      </w:r>
      <w:r>
        <w:rPr>
          <w:rFonts w:eastAsia="Times New Roman" w:cstheme="minorHAnsi"/>
          <w:bCs/>
          <w:i/>
          <w:color w:val="000000"/>
          <w:sz w:val="18"/>
          <w:szCs w:val="18"/>
          <w:lang w:eastAsia="en-IE"/>
        </w:rPr>
        <w:t xml:space="preserve">s were used. </w:t>
      </w:r>
    </w:p>
    <w:p w:rsidR="00E74952" w:rsidRPr="00B97E75" w:rsidRDefault="00E74952" w:rsidP="00E80676">
      <w:pPr>
        <w:spacing w:after="0" w:line="240" w:lineRule="auto"/>
        <w:rPr>
          <w:rFonts w:eastAsia="Times New Roman" w:cstheme="minorHAnsi"/>
          <w:b/>
          <w:bCs/>
          <w:color w:val="000000"/>
          <w:lang w:eastAsia="en-IE"/>
        </w:rPr>
      </w:pPr>
    </w:p>
    <w:p w:rsidR="00E74952" w:rsidRDefault="00E74952" w:rsidP="00E80676">
      <w:pPr>
        <w:spacing w:after="0" w:line="240" w:lineRule="auto"/>
        <w:rPr>
          <w:rFonts w:eastAsia="Times New Roman" w:cstheme="minorHAnsi"/>
          <w:b/>
          <w:bCs/>
          <w:color w:val="000000"/>
          <w:lang w:eastAsia="en-IE"/>
        </w:rPr>
      </w:pPr>
    </w:p>
    <w:p w:rsidR="00F5429F" w:rsidRPr="00B97E75" w:rsidRDefault="00F5429F" w:rsidP="00E80676">
      <w:pPr>
        <w:spacing w:after="0" w:line="240" w:lineRule="auto"/>
        <w:rPr>
          <w:rFonts w:eastAsia="Times New Roman" w:cstheme="minorHAnsi"/>
          <w:b/>
          <w:bCs/>
          <w:color w:val="000000"/>
          <w:lang w:eastAsia="en-IE"/>
        </w:rPr>
      </w:pPr>
    </w:p>
    <w:p w:rsidR="00E74952" w:rsidRPr="00B97E75" w:rsidRDefault="00E74952" w:rsidP="00E80676">
      <w:pPr>
        <w:spacing w:after="0" w:line="240" w:lineRule="auto"/>
        <w:rPr>
          <w:rFonts w:eastAsia="Times New Roman" w:cstheme="minorHAnsi"/>
          <w:b/>
          <w:bCs/>
          <w:color w:val="000000"/>
          <w:lang w:eastAsia="en-IE"/>
        </w:rPr>
      </w:pPr>
    </w:p>
    <w:p w:rsidR="00BF22D4" w:rsidRPr="00B97E75" w:rsidRDefault="00BF22D4" w:rsidP="00E80676">
      <w:pPr>
        <w:spacing w:after="0" w:line="240" w:lineRule="auto"/>
        <w:rPr>
          <w:rFonts w:eastAsia="Times New Roman" w:cstheme="minorHAnsi"/>
          <w:b/>
          <w:bCs/>
          <w:color w:val="000000"/>
          <w:lang w:eastAsia="en-IE"/>
        </w:rPr>
      </w:pPr>
    </w:p>
    <w:p w:rsidR="00BF22D4" w:rsidRPr="00B97E75" w:rsidRDefault="00BF22D4" w:rsidP="00E80676">
      <w:pPr>
        <w:spacing w:after="0" w:line="240" w:lineRule="auto"/>
        <w:rPr>
          <w:rFonts w:eastAsia="Times New Roman" w:cstheme="minorHAnsi"/>
          <w:b/>
          <w:bCs/>
          <w:color w:val="000000"/>
          <w:lang w:eastAsia="en-IE"/>
        </w:rPr>
      </w:pPr>
    </w:p>
    <w:p w:rsidR="00BF22D4" w:rsidRPr="00B97E75" w:rsidRDefault="00BF22D4" w:rsidP="00E80676">
      <w:pPr>
        <w:spacing w:after="0" w:line="240" w:lineRule="auto"/>
        <w:rPr>
          <w:rFonts w:eastAsia="Times New Roman" w:cstheme="minorHAnsi"/>
          <w:b/>
          <w:bCs/>
          <w:color w:val="000000"/>
          <w:lang w:eastAsia="en-IE"/>
        </w:rPr>
      </w:pPr>
    </w:p>
    <w:p w:rsidR="00BF22D4" w:rsidRPr="00B97E75" w:rsidRDefault="00BF22D4" w:rsidP="00E80676">
      <w:pPr>
        <w:spacing w:after="0" w:line="240" w:lineRule="auto"/>
        <w:rPr>
          <w:rFonts w:eastAsia="Times New Roman" w:cstheme="minorHAnsi"/>
          <w:b/>
          <w:bCs/>
          <w:color w:val="000000"/>
          <w:lang w:eastAsia="en-IE"/>
        </w:rPr>
      </w:pPr>
    </w:p>
    <w:tbl>
      <w:tblPr>
        <w:tblW w:w="5255" w:type="dxa"/>
        <w:tblInd w:w="98" w:type="dxa"/>
        <w:tblLook w:val="04A0" w:firstRow="1" w:lastRow="0" w:firstColumn="1" w:lastColumn="0" w:noHBand="0" w:noVBand="1"/>
      </w:tblPr>
      <w:tblGrid>
        <w:gridCol w:w="2460"/>
        <w:gridCol w:w="1519"/>
        <w:gridCol w:w="1276"/>
      </w:tblGrid>
      <w:tr w:rsidR="00BF22D4" w:rsidRPr="00B97E75" w:rsidTr="00137C7C">
        <w:trPr>
          <w:trHeight w:val="315"/>
        </w:trPr>
        <w:tc>
          <w:tcPr>
            <w:tcW w:w="52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F22D4" w:rsidRPr="00B97E75" w:rsidRDefault="0083189A" w:rsidP="00137C7C">
            <w:pPr>
              <w:spacing w:after="0" w:line="240" w:lineRule="auto"/>
              <w:rPr>
                <w:rFonts w:eastAsia="Times New Roman" w:cstheme="minorHAnsi"/>
                <w:b/>
                <w:bCs/>
                <w:color w:val="000000"/>
                <w:lang w:eastAsia="en-IE"/>
              </w:rPr>
            </w:pPr>
            <w:r>
              <w:rPr>
                <w:rFonts w:eastAsia="Times New Roman" w:cstheme="minorHAnsi"/>
                <w:b/>
                <w:bCs/>
                <w:color w:val="000000"/>
                <w:lang w:eastAsia="en-IE"/>
              </w:rPr>
              <w:lastRenderedPageBreak/>
              <w:t>5 Year summary of percentage</w:t>
            </w:r>
            <w:r w:rsidR="00BF22D4" w:rsidRPr="00B97E75">
              <w:rPr>
                <w:rFonts w:eastAsia="Times New Roman" w:cstheme="minorHAnsi"/>
                <w:b/>
                <w:bCs/>
                <w:color w:val="000000"/>
                <w:lang w:eastAsia="en-IE"/>
              </w:rPr>
              <w:t xml:space="preserve"> collection levels for Housing Loans</w:t>
            </w:r>
          </w:p>
        </w:tc>
      </w:tr>
      <w:tr w:rsidR="00BF22D4" w:rsidRPr="00B97E75" w:rsidTr="00137C7C">
        <w:trPr>
          <w:trHeight w:val="315"/>
        </w:trPr>
        <w:tc>
          <w:tcPr>
            <w:tcW w:w="3979"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BF22D4" w:rsidRPr="00B97E75" w:rsidRDefault="00E13270" w:rsidP="00137C7C">
            <w:pPr>
              <w:spacing w:after="0" w:line="240" w:lineRule="auto"/>
              <w:rPr>
                <w:rFonts w:eastAsia="Times New Roman" w:cstheme="minorHAnsi"/>
                <w:color w:val="000000"/>
                <w:lang w:eastAsia="en-IE"/>
              </w:rPr>
            </w:pPr>
            <w:r>
              <w:rPr>
                <w:rFonts w:eastAsia="Times New Roman" w:cstheme="minorHAnsi"/>
                <w:color w:val="000000"/>
                <w:lang w:eastAsia="en-IE"/>
              </w:rPr>
              <w:t xml:space="preserve">Housing Loan Percentage </w:t>
            </w:r>
            <w:r w:rsidRPr="005C4524">
              <w:rPr>
                <w:rFonts w:eastAsia="Times New Roman" w:cstheme="minorHAnsi"/>
                <w:color w:val="000000"/>
                <w:lang w:eastAsia="en-IE"/>
              </w:rPr>
              <w:t xml:space="preserve">2010  </w:t>
            </w:r>
          </w:p>
        </w:tc>
        <w:tc>
          <w:tcPr>
            <w:tcW w:w="1276" w:type="dxa"/>
            <w:tcBorders>
              <w:top w:val="nil"/>
              <w:left w:val="nil"/>
              <w:bottom w:val="single" w:sz="8" w:space="0" w:color="auto"/>
              <w:right w:val="single" w:sz="8" w:space="0" w:color="auto"/>
            </w:tcBorders>
            <w:shd w:val="clear" w:color="auto" w:fill="B6DDE8" w:themeFill="accent5" w:themeFillTint="66"/>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 </w:t>
            </w:r>
          </w:p>
        </w:tc>
      </w:tr>
      <w:tr w:rsidR="00BF22D4" w:rsidRPr="00B97E75"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1519" w:type="dxa"/>
            <w:tcBorders>
              <w:top w:val="nil"/>
              <w:left w:val="nil"/>
              <w:bottom w:val="single" w:sz="8" w:space="0" w:color="auto"/>
              <w:right w:val="nil"/>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31</w:t>
            </w:r>
          </w:p>
        </w:tc>
      </w:tr>
      <w:tr w:rsidR="00BF22D4" w:rsidRPr="00B97E75"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519" w:type="dxa"/>
            <w:tcBorders>
              <w:top w:val="nil"/>
              <w:left w:val="nil"/>
              <w:bottom w:val="single" w:sz="8" w:space="0" w:color="auto"/>
              <w:right w:val="nil"/>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0</w:t>
            </w:r>
          </w:p>
        </w:tc>
      </w:tr>
      <w:tr w:rsidR="00BF22D4" w:rsidRPr="00B97E75"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1519" w:type="dxa"/>
            <w:tcBorders>
              <w:top w:val="nil"/>
              <w:left w:val="nil"/>
              <w:bottom w:val="single" w:sz="8" w:space="0" w:color="auto"/>
              <w:right w:val="nil"/>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80.00</w:t>
            </w:r>
          </w:p>
        </w:tc>
      </w:tr>
      <w:tr w:rsidR="00BF22D4" w:rsidRPr="00B97E75"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519" w:type="dxa"/>
            <w:tcBorders>
              <w:top w:val="nil"/>
              <w:left w:val="nil"/>
              <w:bottom w:val="single" w:sz="8" w:space="0" w:color="auto"/>
              <w:right w:val="nil"/>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78.</w:t>
            </w:r>
            <w:r w:rsidR="00014EAA">
              <w:rPr>
                <w:rFonts w:eastAsia="Times New Roman" w:cstheme="minorHAnsi"/>
                <w:color w:val="000000"/>
                <w:lang w:eastAsia="en-IE"/>
              </w:rPr>
              <w:t>32</w:t>
            </w:r>
          </w:p>
        </w:tc>
      </w:tr>
      <w:tr w:rsidR="00BF22D4" w:rsidRPr="00B97E75" w:rsidTr="00137C7C">
        <w:trPr>
          <w:trHeight w:val="315"/>
        </w:trPr>
        <w:tc>
          <w:tcPr>
            <w:tcW w:w="3979" w:type="dxa"/>
            <w:gridSpan w:val="2"/>
            <w:tcBorders>
              <w:top w:val="single" w:sz="8" w:space="0" w:color="auto"/>
              <w:left w:val="single" w:sz="8" w:space="0" w:color="auto"/>
              <w:bottom w:val="single" w:sz="8" w:space="0" w:color="auto"/>
              <w:right w:val="nil"/>
            </w:tcBorders>
            <w:shd w:val="clear" w:color="auto" w:fill="B6DDE8" w:themeFill="accent5" w:themeFillTint="66"/>
            <w:vAlign w:val="center"/>
            <w:hideMark/>
          </w:tcPr>
          <w:p w:rsidR="00BF22D4" w:rsidRPr="00B97E75" w:rsidRDefault="00E13270" w:rsidP="00137C7C">
            <w:pPr>
              <w:spacing w:after="0" w:line="240" w:lineRule="auto"/>
              <w:rPr>
                <w:rFonts w:eastAsia="Times New Roman" w:cstheme="minorHAnsi"/>
                <w:color w:val="000000"/>
                <w:lang w:eastAsia="en-IE"/>
              </w:rPr>
            </w:pPr>
            <w:r>
              <w:rPr>
                <w:rFonts w:eastAsia="Times New Roman" w:cstheme="minorHAnsi"/>
                <w:color w:val="000000"/>
                <w:lang w:eastAsia="en-IE"/>
              </w:rPr>
              <w:t xml:space="preserve">Housing Loan Percentage </w:t>
            </w:r>
            <w:r w:rsidRPr="005C4524">
              <w:rPr>
                <w:rFonts w:eastAsia="Times New Roman" w:cstheme="minorHAnsi"/>
                <w:color w:val="000000"/>
                <w:lang w:eastAsia="en-IE"/>
              </w:rPr>
              <w:t>201</w:t>
            </w:r>
            <w:r>
              <w:rPr>
                <w:rFonts w:eastAsia="Times New Roman" w:cstheme="minorHAnsi"/>
                <w:color w:val="000000"/>
                <w:lang w:eastAsia="en-IE"/>
              </w:rPr>
              <w:t>1</w:t>
            </w:r>
          </w:p>
        </w:tc>
        <w:tc>
          <w:tcPr>
            <w:tcW w:w="1276" w:type="dxa"/>
            <w:tcBorders>
              <w:top w:val="nil"/>
              <w:left w:val="single" w:sz="8" w:space="0" w:color="auto"/>
              <w:bottom w:val="single" w:sz="8" w:space="0" w:color="auto"/>
              <w:right w:val="single" w:sz="8" w:space="0" w:color="auto"/>
            </w:tcBorders>
            <w:shd w:val="clear" w:color="auto" w:fill="B6DDE8" w:themeFill="accent5" w:themeFillTint="66"/>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 </w:t>
            </w:r>
          </w:p>
        </w:tc>
      </w:tr>
      <w:tr w:rsidR="00BF22D4" w:rsidRPr="00B97E75"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1519" w:type="dxa"/>
            <w:tcBorders>
              <w:top w:val="nil"/>
              <w:left w:val="nil"/>
              <w:bottom w:val="single" w:sz="8" w:space="0" w:color="auto"/>
              <w:right w:val="nil"/>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31</w:t>
            </w:r>
          </w:p>
        </w:tc>
      </w:tr>
      <w:tr w:rsidR="00BF22D4" w:rsidRPr="00B97E75"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519" w:type="dxa"/>
            <w:tcBorders>
              <w:top w:val="nil"/>
              <w:left w:val="nil"/>
              <w:bottom w:val="single" w:sz="8" w:space="0" w:color="auto"/>
              <w:right w:val="nil"/>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0</w:t>
            </w:r>
          </w:p>
        </w:tc>
      </w:tr>
      <w:tr w:rsidR="00BF22D4" w:rsidRPr="00B97E75"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1519"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276"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7</w:t>
            </w:r>
            <w:r w:rsidR="009C05E2">
              <w:rPr>
                <w:rFonts w:eastAsia="Times New Roman" w:cstheme="minorHAnsi"/>
                <w:b/>
                <w:bCs/>
                <w:color w:val="000000"/>
                <w:lang w:eastAsia="en-IE"/>
              </w:rPr>
              <w:t>5</w:t>
            </w:r>
            <w:r w:rsidRPr="00B97E75">
              <w:rPr>
                <w:rFonts w:eastAsia="Times New Roman" w:cstheme="minorHAnsi"/>
                <w:b/>
                <w:bCs/>
                <w:color w:val="000000"/>
                <w:lang w:eastAsia="en-IE"/>
              </w:rPr>
              <w:t>.00</w:t>
            </w:r>
          </w:p>
        </w:tc>
      </w:tr>
      <w:tr w:rsidR="00BF22D4" w:rsidRPr="00B97E75"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519"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276" w:type="dxa"/>
            <w:tcBorders>
              <w:top w:val="nil"/>
              <w:left w:val="nil"/>
              <w:bottom w:val="single" w:sz="8" w:space="0" w:color="auto"/>
              <w:right w:val="single" w:sz="8" w:space="0" w:color="auto"/>
            </w:tcBorders>
            <w:shd w:val="clear" w:color="auto" w:fill="auto"/>
            <w:vAlign w:val="center"/>
            <w:hideMark/>
          </w:tcPr>
          <w:p w:rsidR="009C05E2"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74.</w:t>
            </w:r>
            <w:r w:rsidR="00014EAA">
              <w:rPr>
                <w:rFonts w:eastAsia="Times New Roman" w:cstheme="minorHAnsi"/>
                <w:color w:val="000000"/>
                <w:lang w:eastAsia="en-IE"/>
              </w:rPr>
              <w:t>3</w:t>
            </w:r>
            <w:r w:rsidR="009C05E2">
              <w:rPr>
                <w:rFonts w:eastAsia="Times New Roman" w:cstheme="minorHAnsi"/>
                <w:color w:val="000000"/>
                <w:lang w:eastAsia="en-IE"/>
              </w:rPr>
              <w:t>9</w:t>
            </w:r>
          </w:p>
        </w:tc>
      </w:tr>
      <w:tr w:rsidR="00BF22D4" w:rsidRPr="00B97E75" w:rsidTr="00137C7C">
        <w:trPr>
          <w:trHeight w:val="315"/>
        </w:trPr>
        <w:tc>
          <w:tcPr>
            <w:tcW w:w="3979"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BF22D4" w:rsidRPr="00B97E75" w:rsidRDefault="00E13270" w:rsidP="00137C7C">
            <w:pPr>
              <w:spacing w:after="0" w:line="240" w:lineRule="auto"/>
              <w:rPr>
                <w:rFonts w:eastAsia="Times New Roman" w:cstheme="minorHAnsi"/>
                <w:color w:val="000000"/>
                <w:lang w:eastAsia="en-IE"/>
              </w:rPr>
            </w:pPr>
            <w:r>
              <w:rPr>
                <w:rFonts w:eastAsia="Times New Roman" w:cstheme="minorHAnsi"/>
                <w:color w:val="000000"/>
                <w:lang w:eastAsia="en-IE"/>
              </w:rPr>
              <w:t xml:space="preserve">Housing Loan Percentage </w:t>
            </w:r>
            <w:r w:rsidRPr="005C4524">
              <w:rPr>
                <w:rFonts w:eastAsia="Times New Roman" w:cstheme="minorHAnsi"/>
                <w:color w:val="000000"/>
                <w:lang w:eastAsia="en-IE"/>
              </w:rPr>
              <w:t>201</w:t>
            </w:r>
            <w:r>
              <w:rPr>
                <w:rFonts w:eastAsia="Times New Roman" w:cstheme="minorHAnsi"/>
                <w:color w:val="000000"/>
                <w:lang w:eastAsia="en-IE"/>
              </w:rPr>
              <w:t>2</w:t>
            </w:r>
          </w:p>
        </w:tc>
        <w:tc>
          <w:tcPr>
            <w:tcW w:w="1276" w:type="dxa"/>
            <w:tcBorders>
              <w:top w:val="nil"/>
              <w:left w:val="nil"/>
              <w:bottom w:val="single" w:sz="8" w:space="0" w:color="auto"/>
              <w:right w:val="single" w:sz="8" w:space="0" w:color="auto"/>
            </w:tcBorders>
            <w:shd w:val="clear" w:color="auto" w:fill="B6DDE8" w:themeFill="accent5" w:themeFillTint="66"/>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 </w:t>
            </w:r>
          </w:p>
        </w:tc>
      </w:tr>
      <w:tr w:rsidR="00BF22D4" w:rsidRPr="00B97E75"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1519"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276"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31</w:t>
            </w:r>
          </w:p>
        </w:tc>
      </w:tr>
      <w:tr w:rsidR="00BF22D4" w:rsidRPr="00B97E75"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519"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276"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0</w:t>
            </w:r>
          </w:p>
        </w:tc>
      </w:tr>
      <w:tr w:rsidR="00BF22D4" w:rsidRPr="00B97E75"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1519"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276"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68.00</w:t>
            </w:r>
          </w:p>
        </w:tc>
      </w:tr>
      <w:tr w:rsidR="00BF22D4" w:rsidRPr="00B97E75"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519"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276"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69.</w:t>
            </w:r>
            <w:r w:rsidR="009C05E2">
              <w:rPr>
                <w:rFonts w:eastAsia="Times New Roman" w:cstheme="minorHAnsi"/>
                <w:color w:val="000000"/>
                <w:lang w:eastAsia="en-IE"/>
              </w:rPr>
              <w:t>19</w:t>
            </w:r>
          </w:p>
        </w:tc>
      </w:tr>
      <w:tr w:rsidR="00BF22D4" w:rsidRPr="00B97E75" w:rsidTr="00137C7C">
        <w:trPr>
          <w:trHeight w:val="315"/>
        </w:trPr>
        <w:tc>
          <w:tcPr>
            <w:tcW w:w="3979"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BF22D4" w:rsidRPr="00B97E75" w:rsidRDefault="00E13270" w:rsidP="00137C7C">
            <w:pPr>
              <w:spacing w:after="0" w:line="240" w:lineRule="auto"/>
              <w:rPr>
                <w:rFonts w:eastAsia="Times New Roman" w:cstheme="minorHAnsi"/>
                <w:color w:val="000000"/>
                <w:lang w:eastAsia="en-IE"/>
              </w:rPr>
            </w:pPr>
            <w:r>
              <w:rPr>
                <w:rFonts w:eastAsia="Times New Roman" w:cstheme="minorHAnsi"/>
                <w:color w:val="000000"/>
                <w:lang w:eastAsia="en-IE"/>
              </w:rPr>
              <w:t xml:space="preserve">Housing Loan Percentage </w:t>
            </w:r>
            <w:r w:rsidRPr="005C4524">
              <w:rPr>
                <w:rFonts w:eastAsia="Times New Roman" w:cstheme="minorHAnsi"/>
                <w:color w:val="000000"/>
                <w:lang w:eastAsia="en-IE"/>
              </w:rPr>
              <w:t>201</w:t>
            </w:r>
            <w:r>
              <w:rPr>
                <w:rFonts w:eastAsia="Times New Roman" w:cstheme="minorHAnsi"/>
                <w:color w:val="000000"/>
                <w:lang w:eastAsia="en-IE"/>
              </w:rPr>
              <w:t>3</w:t>
            </w:r>
          </w:p>
        </w:tc>
        <w:tc>
          <w:tcPr>
            <w:tcW w:w="1276" w:type="dxa"/>
            <w:tcBorders>
              <w:top w:val="nil"/>
              <w:left w:val="nil"/>
              <w:bottom w:val="single" w:sz="8" w:space="0" w:color="auto"/>
              <w:right w:val="single" w:sz="8" w:space="0" w:color="auto"/>
            </w:tcBorders>
            <w:shd w:val="clear" w:color="auto" w:fill="B6DDE8" w:themeFill="accent5" w:themeFillTint="66"/>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 </w:t>
            </w:r>
          </w:p>
        </w:tc>
      </w:tr>
      <w:tr w:rsidR="00BF22D4" w:rsidRPr="00B97E75"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1519"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276"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31</w:t>
            </w:r>
          </w:p>
        </w:tc>
      </w:tr>
      <w:tr w:rsidR="00BF22D4" w:rsidRPr="00B97E75"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519"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276"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0</w:t>
            </w:r>
          </w:p>
        </w:tc>
      </w:tr>
      <w:tr w:rsidR="00BF22D4" w:rsidRPr="00B97E75"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1519"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276"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67.00</w:t>
            </w:r>
          </w:p>
        </w:tc>
      </w:tr>
      <w:tr w:rsidR="00BF22D4" w:rsidRPr="00B97E75"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519"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276"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6</w:t>
            </w:r>
            <w:r w:rsidR="009C05E2">
              <w:rPr>
                <w:rFonts w:eastAsia="Times New Roman" w:cstheme="minorHAnsi"/>
                <w:color w:val="000000"/>
                <w:lang w:eastAsia="en-IE"/>
              </w:rPr>
              <w:t>8.03</w:t>
            </w:r>
          </w:p>
        </w:tc>
      </w:tr>
      <w:tr w:rsidR="00BF22D4" w:rsidRPr="00B97E75" w:rsidTr="00137C7C">
        <w:trPr>
          <w:trHeight w:val="315"/>
        </w:trPr>
        <w:tc>
          <w:tcPr>
            <w:tcW w:w="3979" w:type="dxa"/>
            <w:gridSpan w:val="2"/>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BF22D4" w:rsidRPr="00B97E75" w:rsidRDefault="00E13270" w:rsidP="00137C7C">
            <w:pPr>
              <w:spacing w:after="0" w:line="240" w:lineRule="auto"/>
              <w:rPr>
                <w:rFonts w:eastAsia="Times New Roman" w:cstheme="minorHAnsi"/>
                <w:color w:val="000000"/>
                <w:lang w:eastAsia="en-IE"/>
              </w:rPr>
            </w:pPr>
            <w:r>
              <w:rPr>
                <w:rFonts w:eastAsia="Times New Roman" w:cstheme="minorHAnsi"/>
                <w:color w:val="000000"/>
                <w:lang w:eastAsia="en-IE"/>
              </w:rPr>
              <w:t xml:space="preserve">Housing Loan Percentage </w:t>
            </w:r>
            <w:r w:rsidRPr="005C4524">
              <w:rPr>
                <w:rFonts w:eastAsia="Times New Roman" w:cstheme="minorHAnsi"/>
                <w:color w:val="000000"/>
                <w:lang w:eastAsia="en-IE"/>
              </w:rPr>
              <w:t>201</w:t>
            </w:r>
            <w:r>
              <w:rPr>
                <w:rFonts w:eastAsia="Times New Roman" w:cstheme="minorHAnsi"/>
                <w:color w:val="000000"/>
                <w:lang w:eastAsia="en-IE"/>
              </w:rPr>
              <w:t>4</w:t>
            </w:r>
          </w:p>
        </w:tc>
        <w:tc>
          <w:tcPr>
            <w:tcW w:w="1276" w:type="dxa"/>
            <w:tcBorders>
              <w:top w:val="nil"/>
              <w:left w:val="nil"/>
              <w:bottom w:val="single" w:sz="8" w:space="0" w:color="auto"/>
              <w:right w:val="single" w:sz="8" w:space="0" w:color="auto"/>
            </w:tcBorders>
            <w:shd w:val="clear" w:color="auto" w:fill="B6DDE8" w:themeFill="accent5" w:themeFillTint="66"/>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 </w:t>
            </w:r>
          </w:p>
        </w:tc>
      </w:tr>
      <w:tr w:rsidR="00BF22D4" w:rsidRPr="00B97E75"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N</w:t>
            </w:r>
          </w:p>
        </w:tc>
        <w:tc>
          <w:tcPr>
            <w:tcW w:w="1519"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Valid</w:t>
            </w:r>
          </w:p>
        </w:tc>
        <w:tc>
          <w:tcPr>
            <w:tcW w:w="1276"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31</w:t>
            </w:r>
          </w:p>
        </w:tc>
      </w:tr>
      <w:tr w:rsidR="00BF22D4" w:rsidRPr="00B97E75"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519"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Missing</w:t>
            </w:r>
          </w:p>
        </w:tc>
        <w:tc>
          <w:tcPr>
            <w:tcW w:w="1276"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0</w:t>
            </w:r>
          </w:p>
        </w:tc>
      </w:tr>
      <w:tr w:rsidR="00BF22D4" w:rsidRPr="00B97E75"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Average</w:t>
            </w:r>
          </w:p>
        </w:tc>
        <w:tc>
          <w:tcPr>
            <w:tcW w:w="1519"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Median</w:t>
            </w:r>
          </w:p>
        </w:tc>
        <w:tc>
          <w:tcPr>
            <w:tcW w:w="1276"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b/>
                <w:bCs/>
                <w:color w:val="000000"/>
                <w:lang w:eastAsia="en-IE"/>
              </w:rPr>
            </w:pPr>
            <w:r w:rsidRPr="00B97E75">
              <w:rPr>
                <w:rFonts w:eastAsia="Times New Roman" w:cstheme="minorHAnsi"/>
                <w:b/>
                <w:bCs/>
                <w:color w:val="000000"/>
                <w:lang w:eastAsia="en-IE"/>
              </w:rPr>
              <w:t>65.00</w:t>
            </w:r>
          </w:p>
        </w:tc>
      </w:tr>
      <w:tr w:rsidR="00BF22D4" w:rsidRPr="00B97E75" w:rsidTr="00137C7C">
        <w:trPr>
          <w:trHeight w:val="315"/>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 </w:t>
            </w:r>
          </w:p>
        </w:tc>
        <w:tc>
          <w:tcPr>
            <w:tcW w:w="1519"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Mean</w:t>
            </w:r>
          </w:p>
        </w:tc>
        <w:tc>
          <w:tcPr>
            <w:tcW w:w="1276" w:type="dxa"/>
            <w:tcBorders>
              <w:top w:val="nil"/>
              <w:left w:val="nil"/>
              <w:bottom w:val="single" w:sz="8" w:space="0" w:color="auto"/>
              <w:right w:val="single" w:sz="8" w:space="0" w:color="auto"/>
            </w:tcBorders>
            <w:shd w:val="clear" w:color="auto" w:fill="auto"/>
            <w:vAlign w:val="center"/>
            <w:hideMark/>
          </w:tcPr>
          <w:p w:rsidR="00BF22D4" w:rsidRPr="00B97E75" w:rsidRDefault="00BF22D4" w:rsidP="00137C7C">
            <w:pPr>
              <w:spacing w:after="0" w:line="240" w:lineRule="auto"/>
              <w:rPr>
                <w:rFonts w:eastAsia="Times New Roman" w:cstheme="minorHAnsi"/>
                <w:color w:val="000000"/>
                <w:lang w:eastAsia="en-IE"/>
              </w:rPr>
            </w:pPr>
            <w:r w:rsidRPr="00B97E75">
              <w:rPr>
                <w:rFonts w:eastAsia="Times New Roman" w:cstheme="minorHAnsi"/>
                <w:color w:val="000000"/>
                <w:lang w:eastAsia="en-IE"/>
              </w:rPr>
              <w:t>67.</w:t>
            </w:r>
            <w:r w:rsidR="00C81B88">
              <w:rPr>
                <w:rFonts w:eastAsia="Times New Roman" w:cstheme="minorHAnsi"/>
                <w:color w:val="000000"/>
                <w:lang w:eastAsia="en-IE"/>
              </w:rPr>
              <w:t>23</w:t>
            </w:r>
          </w:p>
        </w:tc>
      </w:tr>
    </w:tbl>
    <w:p w:rsidR="00BF22D4" w:rsidRPr="00B97E75" w:rsidRDefault="00BF22D4" w:rsidP="00E80676">
      <w:pPr>
        <w:spacing w:after="0" w:line="240" w:lineRule="auto"/>
        <w:rPr>
          <w:rFonts w:eastAsia="Times New Roman" w:cstheme="minorHAnsi"/>
          <w:b/>
          <w:bCs/>
          <w:color w:val="000000"/>
          <w:lang w:eastAsia="en-IE"/>
        </w:rPr>
      </w:pPr>
    </w:p>
    <w:p w:rsidR="00BF22D4" w:rsidRPr="00B97E75" w:rsidRDefault="00BF22D4" w:rsidP="00E80676">
      <w:pPr>
        <w:spacing w:after="0" w:line="240" w:lineRule="auto"/>
        <w:rPr>
          <w:rFonts w:eastAsia="Times New Roman" w:cstheme="minorHAnsi"/>
          <w:b/>
          <w:bCs/>
          <w:color w:val="000000"/>
          <w:lang w:eastAsia="en-IE"/>
        </w:rPr>
      </w:pPr>
    </w:p>
    <w:p w:rsidR="00E74952" w:rsidRDefault="00E74952" w:rsidP="00E80676">
      <w:pPr>
        <w:spacing w:after="0" w:line="240" w:lineRule="auto"/>
        <w:rPr>
          <w:rFonts w:eastAsia="Times New Roman" w:cstheme="minorHAnsi"/>
          <w:b/>
          <w:bCs/>
          <w:color w:val="000000"/>
          <w:lang w:eastAsia="en-IE"/>
        </w:rPr>
      </w:pPr>
    </w:p>
    <w:p w:rsidR="00C95185" w:rsidRDefault="00C95185" w:rsidP="00E80676">
      <w:pPr>
        <w:spacing w:after="0" w:line="240" w:lineRule="auto"/>
        <w:rPr>
          <w:rFonts w:eastAsia="Times New Roman" w:cstheme="minorHAnsi"/>
          <w:b/>
          <w:bCs/>
          <w:color w:val="000000"/>
          <w:lang w:eastAsia="en-IE"/>
        </w:rPr>
      </w:pPr>
    </w:p>
    <w:p w:rsidR="00C95185" w:rsidRPr="00B97E75" w:rsidRDefault="00C95185" w:rsidP="00E80676">
      <w:pPr>
        <w:spacing w:after="0" w:line="240" w:lineRule="auto"/>
        <w:rPr>
          <w:rFonts w:eastAsia="Times New Roman" w:cstheme="minorHAnsi"/>
          <w:b/>
          <w:bCs/>
          <w:color w:val="000000"/>
          <w:lang w:eastAsia="en-IE"/>
        </w:rPr>
      </w:pPr>
    </w:p>
    <w:p w:rsidR="00E74952" w:rsidRPr="00B97E75" w:rsidRDefault="00E74952" w:rsidP="00E80676">
      <w:pPr>
        <w:spacing w:after="0" w:line="240" w:lineRule="auto"/>
        <w:rPr>
          <w:rFonts w:eastAsia="Times New Roman" w:cstheme="minorHAnsi"/>
          <w:b/>
          <w:bCs/>
          <w:color w:val="000000"/>
          <w:lang w:eastAsia="en-IE"/>
        </w:rPr>
      </w:pPr>
    </w:p>
    <w:p w:rsidR="00E74952" w:rsidRPr="00B97E75" w:rsidRDefault="00E74952">
      <w:pPr>
        <w:rPr>
          <w:rFonts w:eastAsia="Times New Roman" w:cstheme="minorHAnsi"/>
          <w:b/>
          <w:bCs/>
          <w:color w:val="000000"/>
          <w:lang w:eastAsia="en-IE"/>
        </w:rPr>
      </w:pPr>
    </w:p>
    <w:p w:rsidR="00E74952" w:rsidRPr="00B97E75" w:rsidRDefault="00E74952">
      <w:pPr>
        <w:rPr>
          <w:rFonts w:eastAsia="Times New Roman" w:cstheme="minorHAnsi"/>
          <w:b/>
          <w:bCs/>
          <w:color w:val="000000"/>
          <w:lang w:eastAsia="en-IE"/>
        </w:rPr>
      </w:pPr>
    </w:p>
    <w:p w:rsidR="00106F41" w:rsidRDefault="00106F41">
      <w:pPr>
        <w:rPr>
          <w:rFonts w:ascii="Calibri" w:eastAsia="Times New Roman" w:hAnsi="Calibri" w:cs="Calibri"/>
          <w:b/>
          <w:bCs/>
          <w:color w:val="000000"/>
          <w:sz w:val="28"/>
          <w:szCs w:val="28"/>
          <w:lang w:eastAsia="en-IE"/>
        </w:rPr>
      </w:pPr>
      <w:r>
        <w:br w:type="page"/>
      </w:r>
    </w:p>
    <w:p w:rsidR="00E80676" w:rsidRPr="009507EE" w:rsidRDefault="00B70292" w:rsidP="0076731A">
      <w:pPr>
        <w:pStyle w:val="PISectionHeading"/>
      </w:pPr>
      <w:bookmarkStart w:id="11" w:name="_Toc436926487"/>
      <w:r w:rsidRPr="009507EE">
        <w:lastRenderedPageBreak/>
        <w:t>Section 1</w:t>
      </w:r>
      <w:r w:rsidR="007C12D5">
        <w:t>1</w:t>
      </w:r>
      <w:r w:rsidR="00E80676" w:rsidRPr="009507EE">
        <w:t>: Economic Development</w:t>
      </w:r>
      <w:bookmarkEnd w:id="11"/>
    </w:p>
    <w:p w:rsidR="00AF2E1D" w:rsidRPr="003E001D" w:rsidRDefault="00E80676" w:rsidP="003C4E40">
      <w:pPr>
        <w:pStyle w:val="PITableHeading"/>
        <w:rPr>
          <w:rFonts w:asciiTheme="minorHAnsi" w:hAnsiTheme="minorHAnsi" w:cstheme="minorHAnsi"/>
          <w:b w:val="0"/>
          <w:sz w:val="22"/>
          <w:szCs w:val="22"/>
        </w:rPr>
      </w:pPr>
      <w:r w:rsidRPr="00B97E75">
        <w:rPr>
          <w:rFonts w:asciiTheme="minorHAnsi" w:hAnsiTheme="minorHAnsi" w:cstheme="minorHAnsi"/>
          <w:sz w:val="22"/>
          <w:szCs w:val="22"/>
        </w:rPr>
        <w:t>Table 2</w:t>
      </w:r>
      <w:r w:rsidR="00B70292">
        <w:rPr>
          <w:rFonts w:asciiTheme="minorHAnsi" w:hAnsiTheme="minorHAnsi" w:cstheme="minorHAnsi"/>
          <w:sz w:val="22"/>
          <w:szCs w:val="22"/>
        </w:rPr>
        <w:t>6</w:t>
      </w:r>
      <w:r w:rsidRPr="00B97E75">
        <w:rPr>
          <w:rFonts w:asciiTheme="minorHAnsi" w:hAnsiTheme="minorHAnsi" w:cstheme="minorHAnsi"/>
          <w:sz w:val="22"/>
          <w:szCs w:val="22"/>
        </w:rPr>
        <w:t xml:space="preserve">: </w:t>
      </w:r>
      <w:r w:rsidR="00AF2E1D" w:rsidRPr="003E001D">
        <w:rPr>
          <w:rFonts w:asciiTheme="minorHAnsi" w:hAnsiTheme="minorHAnsi" w:cstheme="minorHAnsi"/>
          <w:b w:val="0"/>
          <w:sz w:val="22"/>
          <w:szCs w:val="22"/>
        </w:rPr>
        <w:t>Number of Jobs Created</w:t>
      </w:r>
      <w:r w:rsidR="00D36D20">
        <w:rPr>
          <w:rFonts w:asciiTheme="minorHAnsi" w:hAnsiTheme="minorHAnsi" w:cstheme="minorHAnsi"/>
          <w:b w:val="0"/>
          <w:sz w:val="22"/>
          <w:szCs w:val="22"/>
        </w:rPr>
        <w:t xml:space="preserve"> in 2014 with assistance from the Local Enterprise Office </w:t>
      </w:r>
    </w:p>
    <w:p w:rsidR="00E80676" w:rsidRPr="00B97E75" w:rsidRDefault="00E80676" w:rsidP="00E80676">
      <w:pPr>
        <w:spacing w:after="0" w:line="240" w:lineRule="auto"/>
        <w:rPr>
          <w:rFonts w:eastAsia="Times New Roman" w:cstheme="minorHAnsi"/>
          <w:b/>
          <w:bCs/>
          <w:color w:val="000000"/>
          <w:lang w:eastAsia="en-IE"/>
        </w:rPr>
      </w:pPr>
    </w:p>
    <w:tbl>
      <w:tblPr>
        <w:tblStyle w:val="LightGrid-Accent5"/>
        <w:tblW w:w="6204" w:type="dxa"/>
        <w:tblLayout w:type="fixed"/>
        <w:tblLook w:val="04A0" w:firstRow="1" w:lastRow="0" w:firstColumn="1" w:lastColumn="0" w:noHBand="0" w:noVBand="1"/>
      </w:tblPr>
      <w:tblGrid>
        <w:gridCol w:w="2400"/>
        <w:gridCol w:w="3804"/>
      </w:tblGrid>
      <w:tr w:rsidR="00E80676" w:rsidRPr="005C4524" w:rsidTr="0077188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vAlign w:val="center"/>
            <w:hideMark/>
          </w:tcPr>
          <w:p w:rsidR="00E80676" w:rsidRPr="005C4524" w:rsidRDefault="00D36D20" w:rsidP="00771880">
            <w:pPr>
              <w:spacing w:line="360" w:lineRule="auto"/>
              <w:rPr>
                <w:rFonts w:asciiTheme="minorHAnsi" w:eastAsia="Times New Roman" w:hAnsiTheme="minorHAnsi" w:cstheme="minorHAnsi"/>
                <w:color w:val="000000"/>
                <w:lang w:eastAsia="en-IE"/>
              </w:rPr>
            </w:pPr>
            <w:r w:rsidRPr="00D36D20">
              <w:rPr>
                <w:rFonts w:asciiTheme="minorHAnsi" w:eastAsia="Times New Roman" w:hAnsiTheme="minorHAnsi" w:cstheme="minorHAnsi"/>
                <w:color w:val="000000"/>
                <w:lang w:eastAsia="en-IE"/>
              </w:rPr>
              <w:t>Authority</w:t>
            </w:r>
          </w:p>
        </w:tc>
        <w:tc>
          <w:tcPr>
            <w:tcW w:w="3804" w:type="dxa"/>
            <w:vAlign w:val="center"/>
            <w:hideMark/>
          </w:tcPr>
          <w:p w:rsidR="00E80676" w:rsidRPr="005C4524" w:rsidRDefault="003C4E40" w:rsidP="00771880">
            <w:pPr>
              <w:spacing w:line="36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lang w:eastAsia="en-IE"/>
              </w:rPr>
            </w:pPr>
            <w:r w:rsidRPr="005C4524">
              <w:rPr>
                <w:rFonts w:asciiTheme="minorHAnsi" w:eastAsia="Times New Roman" w:hAnsiTheme="minorHAnsi" w:cstheme="minorHAnsi"/>
                <w:color w:val="000000"/>
                <w:lang w:eastAsia="en-IE"/>
              </w:rPr>
              <w:t>No. of J</w:t>
            </w:r>
            <w:r w:rsidR="00E80676" w:rsidRPr="005C4524">
              <w:rPr>
                <w:rFonts w:asciiTheme="minorHAnsi" w:eastAsia="Times New Roman" w:hAnsiTheme="minorHAnsi" w:cstheme="minorHAnsi"/>
                <w:color w:val="000000"/>
                <w:lang w:eastAsia="en-IE"/>
              </w:rPr>
              <w:t>obs</w:t>
            </w:r>
            <w:r w:rsidRPr="005C4524">
              <w:rPr>
                <w:rFonts w:asciiTheme="minorHAnsi" w:eastAsia="Times New Roman" w:hAnsiTheme="minorHAnsi" w:cstheme="minorHAnsi"/>
                <w:color w:val="000000"/>
                <w:lang w:eastAsia="en-IE"/>
              </w:rPr>
              <w:t xml:space="preserve"> Created </w:t>
            </w:r>
            <w:r w:rsidR="007C7A2E">
              <w:rPr>
                <w:rFonts w:asciiTheme="minorHAnsi" w:eastAsia="Times New Roman" w:hAnsiTheme="minorHAnsi" w:cstheme="minorHAnsi"/>
                <w:color w:val="000000"/>
                <w:lang w:eastAsia="en-IE"/>
              </w:rPr>
              <w:t>with assistance from the LEO with each part time job = 0.5 full time job</w:t>
            </w:r>
          </w:p>
        </w:tc>
      </w:tr>
      <w:tr w:rsidR="00E80676" w:rsidRPr="005C4524" w:rsidTr="006F27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 xml:space="preserve">  </w:t>
            </w:r>
          </w:p>
        </w:tc>
        <w:tc>
          <w:tcPr>
            <w:tcW w:w="3804" w:type="dxa"/>
            <w:hideMark/>
          </w:tcPr>
          <w:p w:rsidR="00E80676" w:rsidRPr="005C4524" w:rsidRDefault="00E80676" w:rsidP="00E806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 </w:t>
            </w:r>
          </w:p>
        </w:tc>
      </w:tr>
      <w:tr w:rsidR="00E80676" w:rsidRPr="005C4524" w:rsidTr="006F27B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Carlow County</w:t>
            </w:r>
          </w:p>
        </w:tc>
        <w:tc>
          <w:tcPr>
            <w:tcW w:w="3804" w:type="dxa"/>
            <w:hideMark/>
          </w:tcPr>
          <w:p w:rsidR="00E80676" w:rsidRPr="005C4524" w:rsidRDefault="00E80676" w:rsidP="00E8067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186.5</w:t>
            </w:r>
          </w:p>
        </w:tc>
      </w:tr>
      <w:tr w:rsidR="00E80676" w:rsidRPr="005C4524" w:rsidTr="006F27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Cavan County</w:t>
            </w:r>
          </w:p>
        </w:tc>
        <w:tc>
          <w:tcPr>
            <w:tcW w:w="3804" w:type="dxa"/>
            <w:hideMark/>
          </w:tcPr>
          <w:p w:rsidR="00E80676" w:rsidRPr="00581E57" w:rsidRDefault="00E80676" w:rsidP="00E8067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103</w:t>
            </w:r>
          </w:p>
        </w:tc>
      </w:tr>
      <w:tr w:rsidR="00E80676" w:rsidRPr="005C4524" w:rsidTr="006F27B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Clare County</w:t>
            </w:r>
          </w:p>
        </w:tc>
        <w:tc>
          <w:tcPr>
            <w:tcW w:w="3804" w:type="dxa"/>
            <w:hideMark/>
          </w:tcPr>
          <w:p w:rsidR="00E80676" w:rsidRPr="00581E57" w:rsidRDefault="00E80676" w:rsidP="00E8067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215.5</w:t>
            </w:r>
          </w:p>
        </w:tc>
      </w:tr>
      <w:tr w:rsidR="00E80676" w:rsidRPr="005C4524" w:rsidTr="006F27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Cork City</w:t>
            </w:r>
          </w:p>
        </w:tc>
        <w:tc>
          <w:tcPr>
            <w:tcW w:w="3804" w:type="dxa"/>
            <w:hideMark/>
          </w:tcPr>
          <w:p w:rsidR="00E80676" w:rsidRPr="005C4524" w:rsidRDefault="00E80676" w:rsidP="00E8067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156.5</w:t>
            </w:r>
          </w:p>
        </w:tc>
      </w:tr>
      <w:tr w:rsidR="00E80676" w:rsidRPr="005C4524" w:rsidTr="006F27B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Cork County</w:t>
            </w:r>
          </w:p>
        </w:tc>
        <w:tc>
          <w:tcPr>
            <w:tcW w:w="3804" w:type="dxa"/>
            <w:hideMark/>
          </w:tcPr>
          <w:p w:rsidR="00E80676" w:rsidRPr="005C4524" w:rsidRDefault="00E80676" w:rsidP="00E8067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328</w:t>
            </w:r>
          </w:p>
        </w:tc>
      </w:tr>
      <w:tr w:rsidR="00E80676" w:rsidRPr="005C4524" w:rsidTr="006F27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Donegal County</w:t>
            </w:r>
          </w:p>
        </w:tc>
        <w:tc>
          <w:tcPr>
            <w:tcW w:w="3804" w:type="dxa"/>
            <w:hideMark/>
          </w:tcPr>
          <w:p w:rsidR="00E80676" w:rsidRPr="005C4524" w:rsidRDefault="00E80676" w:rsidP="00E8067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45.5</w:t>
            </w:r>
          </w:p>
        </w:tc>
      </w:tr>
      <w:tr w:rsidR="00E80676" w:rsidRPr="005C4524" w:rsidTr="006F27B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Dublin City</w:t>
            </w:r>
          </w:p>
        </w:tc>
        <w:tc>
          <w:tcPr>
            <w:tcW w:w="3804" w:type="dxa"/>
            <w:hideMark/>
          </w:tcPr>
          <w:p w:rsidR="00E80676" w:rsidRPr="005C4524" w:rsidRDefault="00E80676" w:rsidP="00E8067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435.5</w:t>
            </w:r>
          </w:p>
        </w:tc>
      </w:tr>
      <w:tr w:rsidR="00E80676" w:rsidRPr="005C4524" w:rsidTr="006F27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 xml:space="preserve">Dun Laoghaire </w:t>
            </w:r>
            <w:proofErr w:type="spellStart"/>
            <w:r w:rsidRPr="005C4524">
              <w:rPr>
                <w:rFonts w:asciiTheme="minorHAnsi" w:eastAsia="Times New Roman" w:hAnsiTheme="minorHAnsi" w:cstheme="minorHAnsi"/>
                <w:color w:val="000000"/>
                <w:lang w:eastAsia="en-IE"/>
              </w:rPr>
              <w:t>Rathdown</w:t>
            </w:r>
            <w:proofErr w:type="spellEnd"/>
            <w:r w:rsidRPr="005C4524">
              <w:rPr>
                <w:rFonts w:asciiTheme="minorHAnsi" w:eastAsia="Times New Roman" w:hAnsiTheme="minorHAnsi" w:cstheme="minorHAnsi"/>
                <w:color w:val="000000"/>
                <w:lang w:eastAsia="en-IE"/>
              </w:rPr>
              <w:t xml:space="preserve"> </w:t>
            </w:r>
          </w:p>
        </w:tc>
        <w:tc>
          <w:tcPr>
            <w:tcW w:w="3804" w:type="dxa"/>
            <w:hideMark/>
          </w:tcPr>
          <w:p w:rsidR="00E80676" w:rsidRPr="005C4524" w:rsidRDefault="00E80676" w:rsidP="00E8067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125.5</w:t>
            </w:r>
          </w:p>
        </w:tc>
      </w:tr>
      <w:tr w:rsidR="00E80676" w:rsidRPr="005C4524" w:rsidTr="006F27B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proofErr w:type="spellStart"/>
            <w:r w:rsidRPr="005C4524">
              <w:rPr>
                <w:rFonts w:asciiTheme="minorHAnsi" w:eastAsia="Times New Roman" w:hAnsiTheme="minorHAnsi" w:cstheme="minorHAnsi"/>
                <w:color w:val="000000"/>
                <w:lang w:eastAsia="en-IE"/>
              </w:rPr>
              <w:t>Fingal</w:t>
            </w:r>
            <w:proofErr w:type="spellEnd"/>
            <w:r w:rsidRPr="005C4524">
              <w:rPr>
                <w:rFonts w:asciiTheme="minorHAnsi" w:eastAsia="Times New Roman" w:hAnsiTheme="minorHAnsi" w:cstheme="minorHAnsi"/>
                <w:color w:val="000000"/>
                <w:lang w:eastAsia="en-IE"/>
              </w:rPr>
              <w:t xml:space="preserve"> County</w:t>
            </w:r>
          </w:p>
        </w:tc>
        <w:tc>
          <w:tcPr>
            <w:tcW w:w="3804" w:type="dxa"/>
            <w:hideMark/>
          </w:tcPr>
          <w:p w:rsidR="00E80676" w:rsidRPr="00581E57" w:rsidRDefault="00E80676" w:rsidP="00E8067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114.5</w:t>
            </w:r>
          </w:p>
        </w:tc>
      </w:tr>
      <w:tr w:rsidR="00E80676" w:rsidRPr="005C4524" w:rsidTr="006F27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Galway City</w:t>
            </w:r>
          </w:p>
        </w:tc>
        <w:tc>
          <w:tcPr>
            <w:tcW w:w="3804" w:type="dxa"/>
            <w:hideMark/>
          </w:tcPr>
          <w:p w:rsidR="00E80676" w:rsidRPr="005C4524" w:rsidRDefault="00E80676" w:rsidP="00E8067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N/A</w:t>
            </w:r>
          </w:p>
        </w:tc>
      </w:tr>
      <w:tr w:rsidR="00E80676" w:rsidRPr="005C4524" w:rsidTr="006F27B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Galway County</w:t>
            </w:r>
          </w:p>
        </w:tc>
        <w:tc>
          <w:tcPr>
            <w:tcW w:w="3804" w:type="dxa"/>
            <w:hideMark/>
          </w:tcPr>
          <w:p w:rsidR="00E80676" w:rsidRPr="005C4524" w:rsidRDefault="00E80676" w:rsidP="00E8067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83</w:t>
            </w:r>
          </w:p>
        </w:tc>
      </w:tr>
      <w:tr w:rsidR="00E80676" w:rsidRPr="005C4524" w:rsidTr="006F27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Kerry County</w:t>
            </w:r>
          </w:p>
        </w:tc>
        <w:tc>
          <w:tcPr>
            <w:tcW w:w="3804" w:type="dxa"/>
            <w:hideMark/>
          </w:tcPr>
          <w:p w:rsidR="00E80676" w:rsidRPr="00581E57" w:rsidRDefault="00E80676" w:rsidP="00E8067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61</w:t>
            </w:r>
          </w:p>
        </w:tc>
      </w:tr>
      <w:tr w:rsidR="00E80676" w:rsidRPr="005C4524" w:rsidTr="006F27B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Kildare County</w:t>
            </w:r>
          </w:p>
        </w:tc>
        <w:tc>
          <w:tcPr>
            <w:tcW w:w="3804" w:type="dxa"/>
            <w:hideMark/>
          </w:tcPr>
          <w:p w:rsidR="00E80676" w:rsidRPr="005C4524" w:rsidRDefault="00E80676" w:rsidP="00E8067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92.5</w:t>
            </w:r>
          </w:p>
        </w:tc>
      </w:tr>
      <w:tr w:rsidR="00E80676" w:rsidRPr="005C4524" w:rsidTr="006F27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Kilkenny County</w:t>
            </w:r>
          </w:p>
        </w:tc>
        <w:tc>
          <w:tcPr>
            <w:tcW w:w="3804" w:type="dxa"/>
            <w:hideMark/>
          </w:tcPr>
          <w:p w:rsidR="00E80676" w:rsidRPr="005C4524" w:rsidRDefault="00E80676" w:rsidP="00E8067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128</w:t>
            </w:r>
          </w:p>
        </w:tc>
      </w:tr>
      <w:tr w:rsidR="00E80676" w:rsidRPr="005C4524" w:rsidTr="006F27B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Laois County</w:t>
            </w:r>
          </w:p>
        </w:tc>
        <w:tc>
          <w:tcPr>
            <w:tcW w:w="3804" w:type="dxa"/>
            <w:hideMark/>
          </w:tcPr>
          <w:p w:rsidR="00E80676" w:rsidRPr="00581E57" w:rsidRDefault="00E80676" w:rsidP="00E8067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33</w:t>
            </w:r>
          </w:p>
        </w:tc>
      </w:tr>
      <w:tr w:rsidR="00E80676" w:rsidRPr="005C4524" w:rsidTr="006F27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Leitrim County</w:t>
            </w:r>
          </w:p>
        </w:tc>
        <w:tc>
          <w:tcPr>
            <w:tcW w:w="3804" w:type="dxa"/>
            <w:hideMark/>
          </w:tcPr>
          <w:p w:rsidR="00E80676" w:rsidRPr="00581E57" w:rsidRDefault="00E80676" w:rsidP="00E8067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95</w:t>
            </w:r>
          </w:p>
        </w:tc>
      </w:tr>
      <w:tr w:rsidR="00E80676" w:rsidRPr="005C4524" w:rsidTr="006F27B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Limerick City &amp; County</w:t>
            </w:r>
          </w:p>
        </w:tc>
        <w:tc>
          <w:tcPr>
            <w:tcW w:w="3804" w:type="dxa"/>
            <w:hideMark/>
          </w:tcPr>
          <w:p w:rsidR="00E80676" w:rsidRPr="005C4524" w:rsidRDefault="00E80676" w:rsidP="00E8067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157.5</w:t>
            </w:r>
          </w:p>
        </w:tc>
      </w:tr>
      <w:tr w:rsidR="00E80676" w:rsidRPr="005C4524" w:rsidTr="006F27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Longford County</w:t>
            </w:r>
          </w:p>
        </w:tc>
        <w:tc>
          <w:tcPr>
            <w:tcW w:w="3804" w:type="dxa"/>
            <w:hideMark/>
          </w:tcPr>
          <w:p w:rsidR="00E80676" w:rsidRPr="005C4524" w:rsidRDefault="00E80676" w:rsidP="00E8067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74.5</w:t>
            </w:r>
          </w:p>
        </w:tc>
      </w:tr>
      <w:tr w:rsidR="00E80676" w:rsidRPr="005C4524" w:rsidTr="006F27B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Louth County</w:t>
            </w:r>
          </w:p>
        </w:tc>
        <w:tc>
          <w:tcPr>
            <w:tcW w:w="3804" w:type="dxa"/>
            <w:hideMark/>
          </w:tcPr>
          <w:p w:rsidR="00E80676" w:rsidRPr="005C4524" w:rsidRDefault="00E80676" w:rsidP="00E8067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45.5</w:t>
            </w:r>
          </w:p>
        </w:tc>
      </w:tr>
      <w:tr w:rsidR="00E80676" w:rsidRPr="005C4524" w:rsidTr="006F27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Mayo County</w:t>
            </w:r>
          </w:p>
        </w:tc>
        <w:tc>
          <w:tcPr>
            <w:tcW w:w="3804" w:type="dxa"/>
            <w:hideMark/>
          </w:tcPr>
          <w:p w:rsidR="00E80676" w:rsidRPr="005C4524" w:rsidRDefault="00E80676" w:rsidP="00E8067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50</w:t>
            </w:r>
          </w:p>
        </w:tc>
      </w:tr>
      <w:tr w:rsidR="00E80676" w:rsidRPr="005C4524" w:rsidTr="006F27B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Meath County</w:t>
            </w:r>
          </w:p>
        </w:tc>
        <w:tc>
          <w:tcPr>
            <w:tcW w:w="3804" w:type="dxa"/>
            <w:hideMark/>
          </w:tcPr>
          <w:p w:rsidR="00E80676" w:rsidRPr="005C4524" w:rsidRDefault="00E80676" w:rsidP="00E8067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102</w:t>
            </w:r>
          </w:p>
        </w:tc>
      </w:tr>
      <w:tr w:rsidR="00E80676" w:rsidRPr="005C4524" w:rsidTr="006F27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Monaghan County</w:t>
            </w:r>
          </w:p>
        </w:tc>
        <w:tc>
          <w:tcPr>
            <w:tcW w:w="3804" w:type="dxa"/>
            <w:hideMark/>
          </w:tcPr>
          <w:p w:rsidR="00E80676" w:rsidRPr="005C4524" w:rsidRDefault="00E80676" w:rsidP="00E8067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67</w:t>
            </w:r>
          </w:p>
        </w:tc>
      </w:tr>
      <w:tr w:rsidR="00E80676" w:rsidRPr="005C4524" w:rsidTr="006F27B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Offaly County</w:t>
            </w:r>
          </w:p>
        </w:tc>
        <w:tc>
          <w:tcPr>
            <w:tcW w:w="3804" w:type="dxa"/>
            <w:hideMark/>
          </w:tcPr>
          <w:p w:rsidR="00E80676" w:rsidRPr="005C4524" w:rsidRDefault="00E80676" w:rsidP="00E8067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98.5</w:t>
            </w:r>
          </w:p>
        </w:tc>
      </w:tr>
      <w:tr w:rsidR="00E80676" w:rsidRPr="005C4524" w:rsidTr="006F27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Roscommon County</w:t>
            </w:r>
          </w:p>
        </w:tc>
        <w:tc>
          <w:tcPr>
            <w:tcW w:w="3804" w:type="dxa"/>
            <w:hideMark/>
          </w:tcPr>
          <w:p w:rsidR="00E80676" w:rsidRPr="005C4524" w:rsidRDefault="00E80676" w:rsidP="00E8067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11</w:t>
            </w:r>
          </w:p>
        </w:tc>
      </w:tr>
      <w:tr w:rsidR="00E80676" w:rsidRPr="005C4524" w:rsidTr="006F27B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Sligo County</w:t>
            </w:r>
          </w:p>
        </w:tc>
        <w:tc>
          <w:tcPr>
            <w:tcW w:w="3804" w:type="dxa"/>
            <w:hideMark/>
          </w:tcPr>
          <w:p w:rsidR="00E80676" w:rsidRPr="00581E57" w:rsidRDefault="00E80676" w:rsidP="00E8067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vertAlign w:val="superscript"/>
                <w:lang w:eastAsia="en-IE"/>
              </w:rPr>
            </w:pPr>
            <w:r w:rsidRPr="005C4524">
              <w:rPr>
                <w:rFonts w:eastAsia="Times New Roman" w:cstheme="minorHAnsi"/>
                <w:color w:val="000000"/>
                <w:lang w:eastAsia="en-IE"/>
              </w:rPr>
              <w:t>59</w:t>
            </w:r>
          </w:p>
        </w:tc>
      </w:tr>
      <w:tr w:rsidR="00E80676" w:rsidRPr="005C4524" w:rsidTr="006F27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South Dublin County</w:t>
            </w:r>
          </w:p>
        </w:tc>
        <w:tc>
          <w:tcPr>
            <w:tcW w:w="3804" w:type="dxa"/>
            <w:hideMark/>
          </w:tcPr>
          <w:p w:rsidR="00E80676" w:rsidRPr="005C4524" w:rsidRDefault="00E80676" w:rsidP="00E8067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43</w:t>
            </w:r>
          </w:p>
        </w:tc>
      </w:tr>
      <w:tr w:rsidR="00E80676" w:rsidRPr="005C4524" w:rsidTr="006F27B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Tipperary County</w:t>
            </w:r>
          </w:p>
        </w:tc>
        <w:tc>
          <w:tcPr>
            <w:tcW w:w="3804" w:type="dxa"/>
            <w:hideMark/>
          </w:tcPr>
          <w:p w:rsidR="00E80676" w:rsidRPr="005C4524" w:rsidRDefault="00E80676" w:rsidP="00E8067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149.5</w:t>
            </w:r>
          </w:p>
        </w:tc>
      </w:tr>
      <w:tr w:rsidR="00E80676" w:rsidRPr="005C4524" w:rsidTr="006F27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Waterford City &amp; County</w:t>
            </w:r>
          </w:p>
        </w:tc>
        <w:tc>
          <w:tcPr>
            <w:tcW w:w="3804" w:type="dxa"/>
            <w:hideMark/>
          </w:tcPr>
          <w:p w:rsidR="00E80676" w:rsidRPr="005C4524" w:rsidRDefault="00E80676" w:rsidP="00E8067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91.5</w:t>
            </w:r>
          </w:p>
        </w:tc>
      </w:tr>
      <w:tr w:rsidR="00E80676" w:rsidRPr="005C4524" w:rsidTr="006F27B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Westmeath County</w:t>
            </w:r>
          </w:p>
        </w:tc>
        <w:tc>
          <w:tcPr>
            <w:tcW w:w="3804" w:type="dxa"/>
            <w:hideMark/>
          </w:tcPr>
          <w:p w:rsidR="00E80676" w:rsidRPr="005C4524" w:rsidRDefault="00E80676" w:rsidP="00E8067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48.5</w:t>
            </w:r>
          </w:p>
        </w:tc>
      </w:tr>
      <w:tr w:rsidR="00E80676" w:rsidRPr="005C4524" w:rsidTr="006F27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Wexford County</w:t>
            </w:r>
          </w:p>
        </w:tc>
        <w:tc>
          <w:tcPr>
            <w:tcW w:w="3804" w:type="dxa"/>
            <w:hideMark/>
          </w:tcPr>
          <w:p w:rsidR="00E80676" w:rsidRPr="005C4524" w:rsidRDefault="00E80676" w:rsidP="00E8067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171.5</w:t>
            </w:r>
          </w:p>
        </w:tc>
      </w:tr>
      <w:tr w:rsidR="00E80676" w:rsidRPr="005C4524" w:rsidTr="006F27B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color w:val="000000"/>
                <w:lang w:eastAsia="en-IE"/>
              </w:rPr>
            </w:pPr>
            <w:r w:rsidRPr="005C4524">
              <w:rPr>
                <w:rFonts w:asciiTheme="minorHAnsi" w:eastAsia="Times New Roman" w:hAnsiTheme="minorHAnsi" w:cstheme="minorHAnsi"/>
                <w:color w:val="000000"/>
                <w:lang w:eastAsia="en-IE"/>
              </w:rPr>
              <w:t>Wicklow County</w:t>
            </w:r>
          </w:p>
        </w:tc>
        <w:tc>
          <w:tcPr>
            <w:tcW w:w="3804" w:type="dxa"/>
            <w:hideMark/>
          </w:tcPr>
          <w:p w:rsidR="00E80676" w:rsidRPr="005C4524" w:rsidRDefault="00E80676" w:rsidP="00E8067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en-IE"/>
              </w:rPr>
            </w:pPr>
            <w:r w:rsidRPr="005C4524">
              <w:rPr>
                <w:rFonts w:eastAsia="Times New Roman" w:cstheme="minorHAnsi"/>
                <w:color w:val="000000"/>
                <w:lang w:eastAsia="en-IE"/>
              </w:rPr>
              <w:t>106.5</w:t>
            </w:r>
          </w:p>
        </w:tc>
      </w:tr>
      <w:tr w:rsidR="00E80676" w:rsidRPr="005C4524" w:rsidTr="006F27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noWrap/>
            <w:hideMark/>
          </w:tcPr>
          <w:p w:rsidR="00E80676" w:rsidRPr="005C4524" w:rsidRDefault="00E80676" w:rsidP="00E80676">
            <w:pPr>
              <w:rPr>
                <w:rFonts w:asciiTheme="minorHAnsi" w:eastAsia="Times New Roman" w:hAnsiTheme="minorHAnsi" w:cstheme="minorHAnsi"/>
                <w:b w:val="0"/>
                <w:bCs w:val="0"/>
                <w:color w:val="000000"/>
                <w:lang w:eastAsia="en-IE"/>
              </w:rPr>
            </w:pPr>
            <w:r w:rsidRPr="005C4524">
              <w:rPr>
                <w:rFonts w:asciiTheme="minorHAnsi" w:eastAsia="Times New Roman" w:hAnsiTheme="minorHAnsi" w:cstheme="minorHAnsi"/>
                <w:color w:val="000000"/>
                <w:lang w:eastAsia="en-IE"/>
              </w:rPr>
              <w:t>Total</w:t>
            </w:r>
          </w:p>
        </w:tc>
        <w:tc>
          <w:tcPr>
            <w:tcW w:w="3804" w:type="dxa"/>
            <w:hideMark/>
          </w:tcPr>
          <w:p w:rsidR="00E80676" w:rsidRPr="005C4524" w:rsidRDefault="00E80676" w:rsidP="00E8067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IE"/>
              </w:rPr>
            </w:pPr>
            <w:r w:rsidRPr="005C4524">
              <w:rPr>
                <w:rFonts w:eastAsia="Times New Roman" w:cstheme="minorHAnsi"/>
                <w:b/>
                <w:bCs/>
                <w:color w:val="000000"/>
                <w:lang w:eastAsia="en-IE"/>
              </w:rPr>
              <w:t>3,478.50</w:t>
            </w:r>
          </w:p>
        </w:tc>
      </w:tr>
    </w:tbl>
    <w:tbl>
      <w:tblPr>
        <w:tblW w:w="3554" w:type="dxa"/>
        <w:tblInd w:w="98" w:type="dxa"/>
        <w:tblLook w:val="04A0" w:firstRow="1" w:lastRow="0" w:firstColumn="1" w:lastColumn="0" w:noHBand="0" w:noVBand="1"/>
      </w:tblPr>
      <w:tblGrid>
        <w:gridCol w:w="967"/>
        <w:gridCol w:w="1361"/>
        <w:gridCol w:w="1233"/>
      </w:tblGrid>
      <w:tr w:rsidR="00AB182E" w:rsidRPr="00B97E75" w:rsidTr="00AB182E">
        <w:trPr>
          <w:trHeight w:val="831"/>
        </w:trPr>
        <w:tc>
          <w:tcPr>
            <w:tcW w:w="3554" w:type="dxa"/>
            <w:gridSpan w:val="3"/>
            <w:tcBorders>
              <w:top w:val="single" w:sz="8" w:space="0" w:color="auto"/>
              <w:left w:val="single" w:sz="8" w:space="0" w:color="auto"/>
              <w:bottom w:val="single" w:sz="4" w:space="0" w:color="auto"/>
              <w:right w:val="single" w:sz="8" w:space="0" w:color="000000"/>
            </w:tcBorders>
            <w:shd w:val="clear" w:color="auto" w:fill="B6DDE8" w:themeFill="accent5" w:themeFillTint="66"/>
            <w:noWrap/>
            <w:vAlign w:val="center"/>
            <w:hideMark/>
          </w:tcPr>
          <w:p w:rsidR="00AB182E" w:rsidRPr="00AB182E" w:rsidRDefault="00AB182E" w:rsidP="00137C7C">
            <w:pPr>
              <w:rPr>
                <w:rFonts w:cstheme="minorHAnsi"/>
                <w:color w:val="000000"/>
              </w:rPr>
            </w:pPr>
            <w:r w:rsidRPr="00B97E75">
              <w:rPr>
                <w:rFonts w:cstheme="minorHAnsi"/>
                <w:color w:val="000000"/>
              </w:rPr>
              <w:lastRenderedPageBreak/>
              <w:t> </w:t>
            </w:r>
            <w:r w:rsidRPr="0040405D">
              <w:rPr>
                <w:rFonts w:cstheme="minorHAnsi"/>
                <w:b/>
                <w:color w:val="000000"/>
              </w:rPr>
              <w:t xml:space="preserve">Average </w:t>
            </w:r>
            <w:r w:rsidRPr="003E001D">
              <w:rPr>
                <w:rFonts w:cstheme="minorHAnsi"/>
                <w:b/>
              </w:rPr>
              <w:t>Number of Jobs Created</w:t>
            </w:r>
            <w:r>
              <w:rPr>
                <w:rFonts w:cstheme="minorHAnsi"/>
                <w:b/>
              </w:rPr>
              <w:t xml:space="preserve"> in 2014 with assistance from the Local Enterprise Office</w:t>
            </w:r>
          </w:p>
        </w:tc>
      </w:tr>
      <w:tr w:rsidR="006E7957" w:rsidRPr="00B97E75" w:rsidTr="00137C7C">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E7957" w:rsidRPr="00B97E75" w:rsidRDefault="006E7957" w:rsidP="00137C7C">
            <w:pPr>
              <w:rPr>
                <w:rFonts w:cstheme="minorHAnsi"/>
                <w:color w:val="000000"/>
              </w:rPr>
            </w:pPr>
            <w:r w:rsidRPr="00B97E75">
              <w:rPr>
                <w:rFonts w:cstheme="minorHAnsi"/>
                <w:color w:val="000000"/>
              </w:rPr>
              <w:t>N</w:t>
            </w:r>
          </w:p>
        </w:tc>
        <w:tc>
          <w:tcPr>
            <w:tcW w:w="1361" w:type="dxa"/>
            <w:tcBorders>
              <w:top w:val="nil"/>
              <w:left w:val="nil"/>
              <w:bottom w:val="single" w:sz="4" w:space="0" w:color="auto"/>
              <w:right w:val="single" w:sz="4" w:space="0" w:color="auto"/>
            </w:tcBorders>
            <w:shd w:val="clear" w:color="auto" w:fill="auto"/>
            <w:noWrap/>
            <w:vAlign w:val="center"/>
            <w:hideMark/>
          </w:tcPr>
          <w:p w:rsidR="006E7957" w:rsidRPr="00D32973" w:rsidRDefault="006E7957" w:rsidP="00137C7C">
            <w:pPr>
              <w:rPr>
                <w:rFonts w:cstheme="minorHAnsi"/>
                <w:bCs/>
                <w:color w:val="000000"/>
              </w:rPr>
            </w:pPr>
            <w:r w:rsidRPr="00D32973">
              <w:rPr>
                <w:rFonts w:cstheme="minorHAnsi"/>
                <w:bCs/>
                <w:color w:val="000000"/>
              </w:rPr>
              <w:t>Valid</w:t>
            </w:r>
          </w:p>
        </w:tc>
        <w:tc>
          <w:tcPr>
            <w:tcW w:w="1233" w:type="dxa"/>
            <w:tcBorders>
              <w:top w:val="single" w:sz="4" w:space="0" w:color="auto"/>
              <w:left w:val="nil"/>
              <w:bottom w:val="single" w:sz="4" w:space="0" w:color="auto"/>
              <w:right w:val="single" w:sz="8" w:space="0" w:color="000000"/>
            </w:tcBorders>
            <w:shd w:val="clear" w:color="auto" w:fill="auto"/>
            <w:noWrap/>
            <w:vAlign w:val="center"/>
            <w:hideMark/>
          </w:tcPr>
          <w:p w:rsidR="006E7957" w:rsidRPr="00B97E75" w:rsidRDefault="006E7957" w:rsidP="00137C7C">
            <w:pPr>
              <w:rPr>
                <w:rFonts w:cstheme="minorHAnsi"/>
                <w:color w:val="000000"/>
              </w:rPr>
            </w:pPr>
            <w:r w:rsidRPr="00B97E75">
              <w:rPr>
                <w:rFonts w:cstheme="minorHAnsi"/>
                <w:color w:val="000000"/>
              </w:rPr>
              <w:t>30</w:t>
            </w:r>
          </w:p>
        </w:tc>
      </w:tr>
      <w:tr w:rsidR="006E7957" w:rsidRPr="00B97E75" w:rsidTr="00137C7C">
        <w:trPr>
          <w:trHeight w:val="59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E7957" w:rsidRPr="00B97E75" w:rsidRDefault="006E7957" w:rsidP="00137C7C">
            <w:pPr>
              <w:rPr>
                <w:rFonts w:cstheme="minorHAnsi"/>
                <w:color w:val="000000"/>
              </w:rPr>
            </w:pPr>
            <w:r w:rsidRPr="00B97E75">
              <w:rPr>
                <w:rFonts w:cstheme="minorHAnsi"/>
                <w:color w:val="000000"/>
              </w:rPr>
              <w:t> </w:t>
            </w:r>
          </w:p>
        </w:tc>
        <w:tc>
          <w:tcPr>
            <w:tcW w:w="1361" w:type="dxa"/>
            <w:tcBorders>
              <w:top w:val="nil"/>
              <w:left w:val="nil"/>
              <w:bottom w:val="single" w:sz="4" w:space="0" w:color="auto"/>
              <w:right w:val="single" w:sz="4" w:space="0" w:color="auto"/>
            </w:tcBorders>
            <w:shd w:val="clear" w:color="auto" w:fill="auto"/>
            <w:noWrap/>
            <w:vAlign w:val="center"/>
            <w:hideMark/>
          </w:tcPr>
          <w:p w:rsidR="006E7957" w:rsidRPr="00D32973" w:rsidRDefault="006E7957" w:rsidP="00137C7C">
            <w:pPr>
              <w:rPr>
                <w:rFonts w:cstheme="minorHAnsi"/>
                <w:bCs/>
                <w:color w:val="000000"/>
              </w:rPr>
            </w:pPr>
            <w:r w:rsidRPr="00D32973">
              <w:rPr>
                <w:rFonts w:cstheme="minorHAnsi"/>
                <w:bCs/>
                <w:color w:val="000000"/>
              </w:rPr>
              <w:t>Not Applicable</w:t>
            </w:r>
          </w:p>
        </w:tc>
        <w:tc>
          <w:tcPr>
            <w:tcW w:w="1233" w:type="dxa"/>
            <w:tcBorders>
              <w:top w:val="single" w:sz="4" w:space="0" w:color="auto"/>
              <w:left w:val="nil"/>
              <w:bottom w:val="single" w:sz="4" w:space="0" w:color="auto"/>
              <w:right w:val="single" w:sz="8" w:space="0" w:color="000000"/>
            </w:tcBorders>
            <w:shd w:val="clear" w:color="auto" w:fill="auto"/>
            <w:noWrap/>
            <w:vAlign w:val="center"/>
            <w:hideMark/>
          </w:tcPr>
          <w:p w:rsidR="006E7957" w:rsidRPr="00B97E75" w:rsidRDefault="006E7957" w:rsidP="00137C7C">
            <w:pPr>
              <w:rPr>
                <w:rFonts w:cstheme="minorHAnsi"/>
                <w:color w:val="000000"/>
              </w:rPr>
            </w:pPr>
            <w:r w:rsidRPr="00B97E75">
              <w:rPr>
                <w:rFonts w:cstheme="minorHAnsi"/>
                <w:color w:val="000000"/>
              </w:rPr>
              <w:t>1</w:t>
            </w:r>
          </w:p>
        </w:tc>
      </w:tr>
      <w:tr w:rsidR="006E7957" w:rsidRPr="00B97E75" w:rsidTr="00137C7C">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E7957" w:rsidRPr="00D32973" w:rsidRDefault="006E7957" w:rsidP="00137C7C">
            <w:pPr>
              <w:rPr>
                <w:rFonts w:cstheme="minorHAnsi"/>
                <w:b/>
                <w:color w:val="000000"/>
              </w:rPr>
            </w:pPr>
            <w:r w:rsidRPr="00D32973">
              <w:rPr>
                <w:rFonts w:cstheme="minorHAnsi"/>
                <w:b/>
                <w:color w:val="000000"/>
              </w:rPr>
              <w:t xml:space="preserve">Average </w:t>
            </w:r>
          </w:p>
        </w:tc>
        <w:tc>
          <w:tcPr>
            <w:tcW w:w="1361" w:type="dxa"/>
            <w:tcBorders>
              <w:top w:val="nil"/>
              <w:left w:val="nil"/>
              <w:bottom w:val="single" w:sz="4" w:space="0" w:color="auto"/>
              <w:right w:val="single" w:sz="4" w:space="0" w:color="auto"/>
            </w:tcBorders>
            <w:shd w:val="clear" w:color="auto" w:fill="auto"/>
            <w:noWrap/>
            <w:vAlign w:val="center"/>
            <w:hideMark/>
          </w:tcPr>
          <w:p w:rsidR="006E7957" w:rsidRPr="00B97E75" w:rsidRDefault="006E7957" w:rsidP="00137C7C">
            <w:pPr>
              <w:rPr>
                <w:rFonts w:cstheme="minorHAnsi"/>
                <w:b/>
                <w:bCs/>
                <w:color w:val="000000"/>
              </w:rPr>
            </w:pPr>
            <w:r w:rsidRPr="00B97E75">
              <w:rPr>
                <w:rFonts w:cstheme="minorHAnsi"/>
                <w:b/>
                <w:bCs/>
                <w:color w:val="000000"/>
              </w:rPr>
              <w:t>Median</w:t>
            </w:r>
          </w:p>
        </w:tc>
        <w:tc>
          <w:tcPr>
            <w:tcW w:w="1233" w:type="dxa"/>
            <w:tcBorders>
              <w:top w:val="single" w:sz="4" w:space="0" w:color="auto"/>
              <w:left w:val="nil"/>
              <w:bottom w:val="single" w:sz="4" w:space="0" w:color="auto"/>
              <w:right w:val="single" w:sz="8" w:space="0" w:color="000000"/>
            </w:tcBorders>
            <w:shd w:val="clear" w:color="auto" w:fill="auto"/>
            <w:noWrap/>
            <w:vAlign w:val="center"/>
            <w:hideMark/>
          </w:tcPr>
          <w:p w:rsidR="006E7957" w:rsidRPr="00D32973" w:rsidRDefault="006E7957" w:rsidP="00137C7C">
            <w:pPr>
              <w:rPr>
                <w:rFonts w:cstheme="minorHAnsi"/>
                <w:b/>
                <w:color w:val="000000"/>
              </w:rPr>
            </w:pPr>
            <w:r w:rsidRPr="00D32973">
              <w:rPr>
                <w:rFonts w:cstheme="minorHAnsi"/>
                <w:b/>
                <w:color w:val="000000"/>
              </w:rPr>
              <w:t>93.75</w:t>
            </w:r>
          </w:p>
        </w:tc>
      </w:tr>
      <w:tr w:rsidR="006E7957" w:rsidRPr="00B97E75" w:rsidTr="00137C7C">
        <w:trPr>
          <w:trHeight w:val="31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6E7957" w:rsidRPr="00B97E75" w:rsidRDefault="006E7957" w:rsidP="00137C7C">
            <w:pPr>
              <w:rPr>
                <w:rFonts w:cstheme="minorHAnsi"/>
                <w:color w:val="000000"/>
              </w:rPr>
            </w:pPr>
            <w:r w:rsidRPr="00B97E75">
              <w:rPr>
                <w:rFonts w:cstheme="minorHAnsi"/>
                <w:color w:val="000000"/>
              </w:rPr>
              <w:t> </w:t>
            </w:r>
          </w:p>
        </w:tc>
        <w:tc>
          <w:tcPr>
            <w:tcW w:w="1361" w:type="dxa"/>
            <w:tcBorders>
              <w:top w:val="nil"/>
              <w:left w:val="nil"/>
              <w:bottom w:val="single" w:sz="8" w:space="0" w:color="auto"/>
              <w:right w:val="single" w:sz="4" w:space="0" w:color="auto"/>
            </w:tcBorders>
            <w:shd w:val="clear" w:color="auto" w:fill="auto"/>
            <w:noWrap/>
            <w:vAlign w:val="center"/>
            <w:hideMark/>
          </w:tcPr>
          <w:p w:rsidR="006E7957" w:rsidRPr="00D32973" w:rsidRDefault="006E7957" w:rsidP="00137C7C">
            <w:pPr>
              <w:rPr>
                <w:rFonts w:cstheme="minorHAnsi"/>
                <w:bCs/>
                <w:color w:val="000000"/>
              </w:rPr>
            </w:pPr>
            <w:r w:rsidRPr="00D32973">
              <w:rPr>
                <w:rFonts w:cstheme="minorHAnsi"/>
                <w:bCs/>
                <w:color w:val="000000"/>
              </w:rPr>
              <w:t>Mean</w:t>
            </w:r>
          </w:p>
        </w:tc>
        <w:tc>
          <w:tcPr>
            <w:tcW w:w="1233" w:type="dxa"/>
            <w:tcBorders>
              <w:top w:val="single" w:sz="4" w:space="0" w:color="auto"/>
              <w:left w:val="nil"/>
              <w:bottom w:val="single" w:sz="8" w:space="0" w:color="auto"/>
              <w:right w:val="single" w:sz="8" w:space="0" w:color="000000"/>
            </w:tcBorders>
            <w:shd w:val="clear" w:color="auto" w:fill="auto"/>
            <w:noWrap/>
            <w:vAlign w:val="center"/>
            <w:hideMark/>
          </w:tcPr>
          <w:p w:rsidR="006E7957" w:rsidRPr="00B97E75" w:rsidRDefault="006E7957" w:rsidP="00137C7C">
            <w:pPr>
              <w:rPr>
                <w:rFonts w:cstheme="minorHAnsi"/>
                <w:color w:val="000000"/>
              </w:rPr>
            </w:pPr>
            <w:r w:rsidRPr="00B97E75">
              <w:rPr>
                <w:rFonts w:cstheme="minorHAnsi"/>
                <w:color w:val="000000"/>
              </w:rPr>
              <w:t>115.95</w:t>
            </w:r>
          </w:p>
        </w:tc>
      </w:tr>
    </w:tbl>
    <w:p w:rsidR="00EF61E3" w:rsidRPr="00B97E75" w:rsidRDefault="00EF61E3">
      <w:pPr>
        <w:rPr>
          <w:rFonts w:cstheme="minorHAnsi"/>
        </w:rPr>
      </w:pPr>
    </w:p>
    <w:p w:rsidR="00E80676" w:rsidRPr="00B97E75" w:rsidRDefault="00E80676">
      <w:pPr>
        <w:rPr>
          <w:rFonts w:cstheme="minorHAnsi"/>
        </w:rPr>
      </w:pPr>
    </w:p>
    <w:p w:rsidR="00EF61E3" w:rsidRPr="00B97E75" w:rsidRDefault="00EF61E3">
      <w:pPr>
        <w:rPr>
          <w:rFonts w:cstheme="minorHAnsi"/>
        </w:rPr>
      </w:pPr>
    </w:p>
    <w:p w:rsidR="00EF61E3" w:rsidRPr="00B97E75" w:rsidRDefault="00EF61E3">
      <w:pPr>
        <w:rPr>
          <w:rFonts w:cstheme="minorHAnsi"/>
        </w:rPr>
      </w:pPr>
    </w:p>
    <w:p w:rsidR="00EF61E3" w:rsidRPr="00B97E75" w:rsidRDefault="00EF61E3">
      <w:pPr>
        <w:rPr>
          <w:rFonts w:cstheme="minorHAnsi"/>
        </w:rPr>
      </w:pPr>
    </w:p>
    <w:p w:rsidR="00EF61E3" w:rsidRPr="00B97E75" w:rsidRDefault="00EF61E3">
      <w:pPr>
        <w:rPr>
          <w:rFonts w:cstheme="minorHAnsi"/>
        </w:rPr>
      </w:pPr>
    </w:p>
    <w:p w:rsidR="00EF61E3" w:rsidRPr="00B97E75" w:rsidRDefault="00EF61E3">
      <w:pPr>
        <w:rPr>
          <w:rFonts w:cstheme="minorHAnsi"/>
        </w:rPr>
      </w:pPr>
    </w:p>
    <w:p w:rsidR="00EF61E3" w:rsidRPr="00B97E75" w:rsidRDefault="00EF61E3">
      <w:pPr>
        <w:rPr>
          <w:rFonts w:cstheme="minorHAnsi"/>
        </w:rPr>
      </w:pPr>
    </w:p>
    <w:p w:rsidR="00EF61E3" w:rsidRPr="00B97E75" w:rsidRDefault="00EF61E3">
      <w:pPr>
        <w:rPr>
          <w:rFonts w:cstheme="minorHAnsi"/>
        </w:rPr>
      </w:pPr>
    </w:p>
    <w:p w:rsidR="00EF61E3" w:rsidRPr="00B97E75" w:rsidRDefault="00EF61E3">
      <w:pPr>
        <w:rPr>
          <w:rFonts w:cstheme="minorHAnsi"/>
        </w:rPr>
      </w:pPr>
    </w:p>
    <w:p w:rsidR="00EF61E3" w:rsidRPr="00B97E75" w:rsidRDefault="00EF61E3">
      <w:pPr>
        <w:rPr>
          <w:rFonts w:cstheme="minorHAnsi"/>
        </w:rPr>
      </w:pPr>
    </w:p>
    <w:p w:rsidR="00EF61E3" w:rsidRPr="00B97E75" w:rsidRDefault="00EF61E3">
      <w:pPr>
        <w:rPr>
          <w:rFonts w:cstheme="minorHAnsi"/>
        </w:rPr>
      </w:pPr>
    </w:p>
    <w:p w:rsidR="00EF61E3" w:rsidRPr="00B97E75" w:rsidRDefault="00EF61E3">
      <w:pPr>
        <w:rPr>
          <w:rFonts w:cstheme="minorHAnsi"/>
        </w:rPr>
      </w:pPr>
    </w:p>
    <w:p w:rsidR="00EF61E3" w:rsidRPr="00B97E75" w:rsidRDefault="00EF61E3">
      <w:pPr>
        <w:rPr>
          <w:rFonts w:cstheme="minorHAnsi"/>
        </w:rPr>
      </w:pPr>
    </w:p>
    <w:p w:rsidR="00EF61E3" w:rsidRPr="00B97E75" w:rsidRDefault="00EF61E3">
      <w:pPr>
        <w:rPr>
          <w:rFonts w:cstheme="minorHAnsi"/>
        </w:rPr>
      </w:pPr>
    </w:p>
    <w:p w:rsidR="00EF61E3" w:rsidRPr="00B97E75" w:rsidRDefault="00EF61E3">
      <w:pPr>
        <w:rPr>
          <w:rFonts w:cstheme="minorHAnsi"/>
        </w:rPr>
      </w:pPr>
    </w:p>
    <w:p w:rsidR="00EF61E3" w:rsidRPr="00B97E75" w:rsidRDefault="00EF61E3">
      <w:pPr>
        <w:rPr>
          <w:rFonts w:cstheme="minorHAnsi"/>
        </w:rPr>
      </w:pPr>
    </w:p>
    <w:p w:rsidR="00EF61E3" w:rsidRPr="00B97E75" w:rsidRDefault="00EF61E3">
      <w:pPr>
        <w:rPr>
          <w:rFonts w:cstheme="minorHAnsi"/>
        </w:rPr>
      </w:pPr>
    </w:p>
    <w:p w:rsidR="00EF61E3" w:rsidRPr="00B97E75" w:rsidRDefault="00EF61E3">
      <w:pPr>
        <w:rPr>
          <w:rFonts w:cstheme="minorHAnsi"/>
        </w:rPr>
      </w:pPr>
    </w:p>
    <w:p w:rsidR="00EF61E3" w:rsidRPr="00B97E75" w:rsidRDefault="00EF61E3">
      <w:pPr>
        <w:rPr>
          <w:rFonts w:cstheme="minorHAnsi"/>
        </w:rPr>
      </w:pPr>
    </w:p>
    <w:p w:rsidR="008A159D" w:rsidRPr="009507EE" w:rsidRDefault="008A159D" w:rsidP="008A159D">
      <w:pPr>
        <w:pStyle w:val="PISectionHeading"/>
      </w:pPr>
      <w:r w:rsidRPr="009507EE">
        <w:lastRenderedPageBreak/>
        <w:t xml:space="preserve"> </w:t>
      </w:r>
      <w:bookmarkStart w:id="12" w:name="_Toc436926488"/>
      <w:r w:rsidRPr="009507EE">
        <w:t>Appendix</w:t>
      </w:r>
      <w:bookmarkEnd w:id="12"/>
      <w:r w:rsidR="00227370">
        <w:t xml:space="preserve">: PSCI Ratings Indicators </w:t>
      </w:r>
    </w:p>
    <w:p w:rsidR="008A159D" w:rsidRDefault="008A159D" w:rsidP="00342963">
      <w:pPr>
        <w:spacing w:after="0" w:line="240" w:lineRule="auto"/>
        <w:rPr>
          <w:rFonts w:eastAsia="Times New Roman" w:cstheme="minorHAnsi"/>
          <w:b/>
          <w:bCs/>
          <w:color w:val="000000"/>
          <w:lang w:eastAsia="en-IE"/>
        </w:rPr>
      </w:pPr>
    </w:p>
    <w:p w:rsidR="00EF61E3" w:rsidRPr="00B97E75" w:rsidRDefault="00227370">
      <w:pPr>
        <w:rPr>
          <w:rFonts w:cstheme="minorHAnsi"/>
        </w:rPr>
      </w:pPr>
      <w:r w:rsidRPr="00227370">
        <w:rPr>
          <w:rFonts w:cstheme="minorHAnsi"/>
          <w:noProof/>
          <w:lang w:eastAsia="en-IE"/>
        </w:rPr>
        <w:drawing>
          <wp:inline distT="0" distB="0" distL="0" distR="0" wp14:anchorId="799D0B84" wp14:editId="18CFC31D">
            <wp:extent cx="5731510" cy="7548521"/>
            <wp:effectExtent l="19050" t="0" r="2540" b="0"/>
            <wp:docPr id="114" name="Picture 113"/>
            <wp:cNvGraphicFramePr/>
            <a:graphic xmlns:a="http://schemas.openxmlformats.org/drawingml/2006/main">
              <a:graphicData uri="http://schemas.openxmlformats.org/drawingml/2006/picture">
                <pic:pic xmlns:pic="http://schemas.openxmlformats.org/drawingml/2006/picture">
                  <pic:nvPicPr>
                    <pic:cNvPr id="24582"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l="6923" t="5916" r="690" b="15912"/>
                    <a:stretch>
                      <a:fillRect/>
                    </a:stretch>
                  </pic:blipFill>
                  <pic:spPr bwMode="auto">
                    <a:xfrm>
                      <a:off x="0" y="0"/>
                      <a:ext cx="5731510" cy="754852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7C12D5" w:rsidRDefault="007C12D5">
      <w:pPr>
        <w:rPr>
          <w:rFonts w:cstheme="minorHAnsi"/>
        </w:rPr>
      </w:pPr>
      <w:r>
        <w:rPr>
          <w:rFonts w:cstheme="minorHAnsi"/>
        </w:rPr>
        <w:br w:type="page"/>
      </w:r>
    </w:p>
    <w:p w:rsidR="007C12D5" w:rsidRDefault="007C12D5" w:rsidP="007C12D5">
      <w:pPr>
        <w:pStyle w:val="PISectionD02"/>
        <w:jc w:val="center"/>
      </w:pPr>
      <w:r>
        <w:lastRenderedPageBreak/>
        <w:t>LGMA Commentary</w:t>
      </w:r>
    </w:p>
    <w:p w:rsidR="007C12D5" w:rsidRPr="002E426F" w:rsidRDefault="007C12D5" w:rsidP="007C12D5">
      <w:pPr>
        <w:pStyle w:val="PISectionD02"/>
      </w:pPr>
      <w:r>
        <w:t xml:space="preserve">Part One: Background </w:t>
      </w:r>
    </w:p>
    <w:p w:rsidR="007C12D5" w:rsidRDefault="007C12D5" w:rsidP="007C12D5">
      <w:pPr>
        <w:tabs>
          <w:tab w:val="left" w:pos="5745"/>
        </w:tabs>
        <w:jc w:val="both"/>
        <w:rPr>
          <w:sz w:val="24"/>
          <w:szCs w:val="24"/>
        </w:rPr>
      </w:pPr>
      <w:r w:rsidRPr="00595745">
        <w:rPr>
          <w:sz w:val="24"/>
          <w:szCs w:val="24"/>
        </w:rPr>
        <w:t xml:space="preserve">The Local Government Management Agency (LGMA) is committed to the </w:t>
      </w:r>
      <w:proofErr w:type="spellStart"/>
      <w:r w:rsidRPr="00595745">
        <w:rPr>
          <w:sz w:val="24"/>
          <w:szCs w:val="24"/>
        </w:rPr>
        <w:t>ongoing</w:t>
      </w:r>
      <w:proofErr w:type="spellEnd"/>
      <w:r w:rsidRPr="00595745">
        <w:rPr>
          <w:sz w:val="24"/>
          <w:szCs w:val="24"/>
        </w:rPr>
        <w:t xml:space="preserve"> measurement of local authority performance.  </w:t>
      </w:r>
      <w:r>
        <w:rPr>
          <w:sz w:val="24"/>
          <w:szCs w:val="24"/>
        </w:rPr>
        <w:t xml:space="preserve">The LGMA </w:t>
      </w:r>
      <w:r w:rsidRPr="00595745">
        <w:rPr>
          <w:sz w:val="24"/>
          <w:szCs w:val="24"/>
        </w:rPr>
        <w:t>welcome</w:t>
      </w:r>
      <w:r>
        <w:rPr>
          <w:sz w:val="24"/>
          <w:szCs w:val="24"/>
        </w:rPr>
        <w:t>s</w:t>
      </w:r>
      <w:r w:rsidRPr="00595745">
        <w:rPr>
          <w:sz w:val="24"/>
          <w:szCs w:val="24"/>
        </w:rPr>
        <w:t xml:space="preserve"> the establishment of the National Oversight and Audit Commission (NOAC)</w:t>
      </w:r>
      <w:r>
        <w:rPr>
          <w:sz w:val="24"/>
          <w:szCs w:val="24"/>
        </w:rPr>
        <w:t>, its focus on transparent performance measurement and realistic metrics for measuring local authorities’ performance</w:t>
      </w:r>
      <w:r w:rsidRPr="00595745">
        <w:rPr>
          <w:sz w:val="24"/>
          <w:szCs w:val="24"/>
        </w:rPr>
        <w:t xml:space="preserve">.  While the previous ‘service indicators’ </w:t>
      </w:r>
      <w:r>
        <w:rPr>
          <w:sz w:val="24"/>
          <w:szCs w:val="24"/>
        </w:rPr>
        <w:t>demonstrated</w:t>
      </w:r>
      <w:r w:rsidRPr="00595745">
        <w:rPr>
          <w:sz w:val="24"/>
          <w:szCs w:val="24"/>
        </w:rPr>
        <w:t xml:space="preserve"> changes in </w:t>
      </w:r>
      <w:r>
        <w:rPr>
          <w:sz w:val="24"/>
          <w:szCs w:val="24"/>
        </w:rPr>
        <w:t>service delivery</w:t>
      </w:r>
      <w:r w:rsidRPr="00595745">
        <w:rPr>
          <w:sz w:val="24"/>
          <w:szCs w:val="24"/>
        </w:rPr>
        <w:t xml:space="preserve">, the move to new performance indicators will give a base for enhanced analysis of the performance of local authorities </w:t>
      </w:r>
      <w:r>
        <w:rPr>
          <w:sz w:val="24"/>
          <w:szCs w:val="24"/>
        </w:rPr>
        <w:t>from 2014 onwards</w:t>
      </w:r>
      <w:r w:rsidRPr="00595745">
        <w:rPr>
          <w:sz w:val="24"/>
          <w:szCs w:val="24"/>
        </w:rPr>
        <w:t xml:space="preserve">.  </w:t>
      </w:r>
      <w:r>
        <w:rPr>
          <w:sz w:val="24"/>
          <w:szCs w:val="24"/>
        </w:rPr>
        <w:t xml:space="preserve">These </w:t>
      </w:r>
      <w:r w:rsidRPr="00595745">
        <w:rPr>
          <w:sz w:val="24"/>
          <w:szCs w:val="24"/>
        </w:rPr>
        <w:t>changes came about through multi-party engagement which included the</w:t>
      </w:r>
      <w:r>
        <w:rPr>
          <w:sz w:val="24"/>
          <w:szCs w:val="24"/>
        </w:rPr>
        <w:t xml:space="preserve"> County &amp; City Management Association</w:t>
      </w:r>
      <w:r w:rsidRPr="00595745">
        <w:rPr>
          <w:sz w:val="24"/>
          <w:szCs w:val="24"/>
        </w:rPr>
        <w:t xml:space="preserve"> </w:t>
      </w:r>
      <w:r>
        <w:rPr>
          <w:sz w:val="24"/>
          <w:szCs w:val="24"/>
        </w:rPr>
        <w:t>(</w:t>
      </w:r>
      <w:r w:rsidRPr="00595745">
        <w:rPr>
          <w:sz w:val="24"/>
          <w:szCs w:val="24"/>
        </w:rPr>
        <w:t>CCMA</w:t>
      </w:r>
      <w:r>
        <w:rPr>
          <w:sz w:val="24"/>
          <w:szCs w:val="24"/>
        </w:rPr>
        <w:t>)</w:t>
      </w:r>
      <w:r w:rsidRPr="00595745">
        <w:rPr>
          <w:sz w:val="24"/>
          <w:szCs w:val="24"/>
        </w:rPr>
        <w:t xml:space="preserve"> </w:t>
      </w:r>
      <w:r>
        <w:rPr>
          <w:sz w:val="24"/>
          <w:szCs w:val="24"/>
        </w:rPr>
        <w:t xml:space="preserve">Key Performance Indicator </w:t>
      </w:r>
      <w:r w:rsidRPr="00595745">
        <w:rPr>
          <w:sz w:val="24"/>
          <w:szCs w:val="24"/>
        </w:rPr>
        <w:t>Working Group and consultations with practitioners in local authorities</w:t>
      </w:r>
      <w:r>
        <w:rPr>
          <w:sz w:val="24"/>
          <w:szCs w:val="24"/>
        </w:rPr>
        <w:t>.</w:t>
      </w:r>
      <w:r w:rsidRPr="00595745">
        <w:rPr>
          <w:sz w:val="24"/>
          <w:szCs w:val="24"/>
        </w:rPr>
        <w:t xml:space="preserve"> </w:t>
      </w:r>
    </w:p>
    <w:p w:rsidR="007C12D5" w:rsidRDefault="007C12D5" w:rsidP="007C12D5">
      <w:pPr>
        <w:jc w:val="both"/>
        <w:rPr>
          <w:sz w:val="24"/>
          <w:szCs w:val="24"/>
        </w:rPr>
      </w:pPr>
      <w:r w:rsidRPr="00D8588E">
        <w:rPr>
          <w:sz w:val="24"/>
          <w:szCs w:val="24"/>
        </w:rPr>
        <w:t>This report must be considered in the context of the most radical reform programme implemented and delivered in local government in over 100 years.  The change delivered and led by local authorities collectively and individually cannot be underestimated and must be commended especially in the light of the reduced resources and increased demand for services that local authorities experienced</w:t>
      </w:r>
      <w:r>
        <w:rPr>
          <w:sz w:val="24"/>
          <w:szCs w:val="24"/>
        </w:rPr>
        <w:t xml:space="preserve">. </w:t>
      </w:r>
    </w:p>
    <w:p w:rsidR="00586F6F" w:rsidRDefault="007C12D5" w:rsidP="00586F6F">
      <w:pPr>
        <w:jc w:val="both"/>
        <w:rPr>
          <w:sz w:val="24"/>
          <w:szCs w:val="24"/>
        </w:rPr>
      </w:pPr>
      <w:r>
        <w:rPr>
          <w:sz w:val="24"/>
          <w:szCs w:val="24"/>
        </w:rPr>
        <w:t>This reform was delivered in the context of a significant contraction of 12.6</w:t>
      </w:r>
      <w:r w:rsidR="0044486A">
        <w:rPr>
          <w:sz w:val="24"/>
          <w:szCs w:val="24"/>
        </w:rPr>
        <w:t>9</w:t>
      </w:r>
      <w:r>
        <w:rPr>
          <w:sz w:val="24"/>
          <w:szCs w:val="24"/>
        </w:rPr>
        <w:t>% in local authority staffing numbers between 2010 and 2014.</w:t>
      </w:r>
    </w:p>
    <w:p w:rsidR="00586F6F" w:rsidRDefault="007C12D5" w:rsidP="00586F6F">
      <w:pPr>
        <w:jc w:val="both"/>
        <w:rPr>
          <w:sz w:val="24"/>
          <w:szCs w:val="24"/>
        </w:rPr>
      </w:pPr>
      <w:r>
        <w:rPr>
          <w:noProof/>
          <w:sz w:val="24"/>
          <w:szCs w:val="24"/>
          <w:lang w:eastAsia="en-IE"/>
        </w:rPr>
        <w:drawing>
          <wp:inline distT="0" distB="0" distL="0" distR="0" wp14:anchorId="757CE242" wp14:editId="5300FD0E">
            <wp:extent cx="4343400" cy="1447800"/>
            <wp:effectExtent l="19050" t="0" r="19050" b="0"/>
            <wp:docPr id="84"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64C5E" w:rsidRDefault="00A64C5E" w:rsidP="00A64C5E">
      <w:pPr>
        <w:spacing w:after="0" w:line="240" w:lineRule="auto"/>
        <w:jc w:val="both"/>
        <w:rPr>
          <w:sz w:val="24"/>
          <w:szCs w:val="24"/>
        </w:rPr>
      </w:pPr>
      <w:r>
        <w:rPr>
          <w:sz w:val="24"/>
          <w:szCs w:val="24"/>
        </w:rPr>
        <w:t>Graph 2 below shows a reduction of 10.36% in local authority budgeted expenditure in the same period</w:t>
      </w:r>
    </w:p>
    <w:p w:rsidR="00586F6F" w:rsidRDefault="00586F6F" w:rsidP="00586F6F">
      <w:pPr>
        <w:rPr>
          <w:sz w:val="24"/>
          <w:szCs w:val="24"/>
        </w:rPr>
      </w:pPr>
      <w:r>
        <w:rPr>
          <w:noProof/>
          <w:lang w:eastAsia="en-IE"/>
        </w:rPr>
        <w:drawing>
          <wp:inline distT="0" distB="0" distL="0" distR="0" wp14:anchorId="67F8DE52" wp14:editId="5175E0A1">
            <wp:extent cx="5205730" cy="2232025"/>
            <wp:effectExtent l="0" t="0" r="13970"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C12D5" w:rsidRDefault="007C12D5" w:rsidP="007C12D5">
      <w:pPr>
        <w:jc w:val="both"/>
        <w:rPr>
          <w:sz w:val="24"/>
          <w:szCs w:val="24"/>
        </w:rPr>
      </w:pPr>
      <w:r>
        <w:rPr>
          <w:sz w:val="24"/>
          <w:szCs w:val="24"/>
        </w:rPr>
        <w:lastRenderedPageBreak/>
        <w:t>Graph 3 illustrates the changing composition of income derived by local authorities in the years 2010 and 2014</w:t>
      </w:r>
    </w:p>
    <w:p w:rsidR="007C12D5" w:rsidRDefault="00586F6F" w:rsidP="007C12D5">
      <w:pPr>
        <w:rPr>
          <w:sz w:val="24"/>
          <w:szCs w:val="24"/>
        </w:rPr>
      </w:pPr>
      <w:r>
        <w:rPr>
          <w:noProof/>
          <w:lang w:eastAsia="en-IE"/>
        </w:rPr>
        <w:drawing>
          <wp:inline distT="0" distB="0" distL="0" distR="0" wp14:anchorId="32376F75" wp14:editId="13BBB5B8">
            <wp:extent cx="4991100" cy="31908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C12D5" w:rsidRDefault="007C12D5" w:rsidP="007C12D5">
      <w:pPr>
        <w:pStyle w:val="ListParagraph"/>
        <w:rPr>
          <w:sz w:val="24"/>
          <w:szCs w:val="24"/>
        </w:rPr>
      </w:pPr>
      <w:r>
        <w:rPr>
          <w:sz w:val="24"/>
          <w:szCs w:val="24"/>
        </w:rPr>
        <w:t>*For the purpose of this G</w:t>
      </w:r>
      <w:r w:rsidRPr="008B3E95">
        <w:rPr>
          <w:sz w:val="24"/>
          <w:szCs w:val="24"/>
        </w:rPr>
        <w:t>raph</w:t>
      </w:r>
      <w:r>
        <w:rPr>
          <w:sz w:val="24"/>
          <w:szCs w:val="24"/>
        </w:rPr>
        <w:t xml:space="preserve"> 3 the </w:t>
      </w:r>
      <w:r w:rsidRPr="008B3E95">
        <w:rPr>
          <w:sz w:val="24"/>
          <w:szCs w:val="24"/>
        </w:rPr>
        <w:t xml:space="preserve">Provision for Debit/Credit Balances and County Demand are excluded. </w:t>
      </w:r>
    </w:p>
    <w:tbl>
      <w:tblPr>
        <w:tblW w:w="9600" w:type="dxa"/>
        <w:tblInd w:w="85" w:type="dxa"/>
        <w:tblLook w:val="04A0" w:firstRow="1" w:lastRow="0" w:firstColumn="1" w:lastColumn="0" w:noHBand="0" w:noVBand="1"/>
      </w:tblPr>
      <w:tblGrid>
        <w:gridCol w:w="4039"/>
        <w:gridCol w:w="1055"/>
        <w:gridCol w:w="1198"/>
        <w:gridCol w:w="1198"/>
        <w:gridCol w:w="1055"/>
        <w:gridCol w:w="1055"/>
      </w:tblGrid>
      <w:tr w:rsidR="007C12D5" w:rsidRPr="00540DCD" w:rsidTr="007C12D5">
        <w:trPr>
          <w:trHeight w:val="465"/>
        </w:trPr>
        <w:tc>
          <w:tcPr>
            <w:tcW w:w="9600" w:type="dxa"/>
            <w:gridSpan w:val="6"/>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7C12D5" w:rsidRPr="00540DCD" w:rsidRDefault="007C12D5" w:rsidP="007C12D5">
            <w:pPr>
              <w:spacing w:line="240" w:lineRule="auto"/>
              <w:jc w:val="center"/>
              <w:rPr>
                <w:rFonts w:ascii="Calibri" w:eastAsia="Times New Roman" w:hAnsi="Calibri"/>
                <w:b/>
                <w:bCs/>
                <w:lang w:eastAsia="en-IE"/>
              </w:rPr>
            </w:pPr>
            <w:r w:rsidRPr="00540DCD">
              <w:rPr>
                <w:rFonts w:ascii="Calibri" w:eastAsia="Times New Roman" w:hAnsi="Calibri"/>
                <w:b/>
                <w:bCs/>
                <w:lang w:eastAsia="en-IE"/>
              </w:rPr>
              <w:t>Local Authority Revenue Account Summary 2003 - 2014 €'m</w:t>
            </w:r>
          </w:p>
        </w:tc>
      </w:tr>
      <w:tr w:rsidR="007C12D5" w:rsidRPr="00540DCD" w:rsidTr="007C12D5">
        <w:trPr>
          <w:trHeight w:val="405"/>
        </w:trPr>
        <w:tc>
          <w:tcPr>
            <w:tcW w:w="4039" w:type="dxa"/>
            <w:tcBorders>
              <w:top w:val="nil"/>
              <w:left w:val="double" w:sz="6" w:space="0" w:color="auto"/>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rPr>
                <w:rFonts w:ascii="Calibri" w:eastAsia="Times New Roman" w:hAnsi="Calibri"/>
                <w:b/>
                <w:bCs/>
                <w:lang w:eastAsia="en-IE"/>
              </w:rPr>
            </w:pPr>
            <w:r w:rsidRPr="00540DCD">
              <w:rPr>
                <w:rFonts w:ascii="Calibri" w:eastAsia="Times New Roman" w:hAnsi="Calibri"/>
                <w:b/>
                <w:bCs/>
                <w:lang w:eastAsia="en-IE"/>
              </w:rPr>
              <w:t>Year</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center"/>
              <w:rPr>
                <w:rFonts w:ascii="Calibri" w:eastAsia="Times New Roman" w:hAnsi="Calibri"/>
                <w:b/>
                <w:bCs/>
                <w:lang w:eastAsia="en-IE"/>
              </w:rPr>
            </w:pPr>
            <w:r w:rsidRPr="00540DCD">
              <w:rPr>
                <w:rFonts w:ascii="Calibri" w:eastAsia="Times New Roman" w:hAnsi="Calibri"/>
                <w:b/>
                <w:bCs/>
                <w:lang w:eastAsia="en-IE"/>
              </w:rPr>
              <w:t>2010</w:t>
            </w:r>
          </w:p>
        </w:tc>
        <w:tc>
          <w:tcPr>
            <w:tcW w:w="1198"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center"/>
              <w:rPr>
                <w:rFonts w:ascii="Calibri" w:eastAsia="Times New Roman" w:hAnsi="Calibri"/>
                <w:b/>
                <w:bCs/>
                <w:lang w:eastAsia="en-IE"/>
              </w:rPr>
            </w:pPr>
            <w:r w:rsidRPr="00540DCD">
              <w:rPr>
                <w:rFonts w:ascii="Calibri" w:eastAsia="Times New Roman" w:hAnsi="Calibri"/>
                <w:b/>
                <w:bCs/>
                <w:lang w:eastAsia="en-IE"/>
              </w:rPr>
              <w:t>2011</w:t>
            </w:r>
          </w:p>
        </w:tc>
        <w:tc>
          <w:tcPr>
            <w:tcW w:w="1198"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center"/>
              <w:rPr>
                <w:rFonts w:ascii="Calibri" w:eastAsia="Times New Roman" w:hAnsi="Calibri"/>
                <w:b/>
                <w:bCs/>
                <w:lang w:eastAsia="en-IE"/>
              </w:rPr>
            </w:pPr>
            <w:r w:rsidRPr="00540DCD">
              <w:rPr>
                <w:rFonts w:ascii="Calibri" w:eastAsia="Times New Roman" w:hAnsi="Calibri"/>
                <w:b/>
                <w:bCs/>
                <w:lang w:eastAsia="en-IE"/>
              </w:rPr>
              <w:t>2012</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center"/>
              <w:rPr>
                <w:rFonts w:ascii="Calibri" w:eastAsia="Times New Roman" w:hAnsi="Calibri"/>
                <w:b/>
                <w:bCs/>
                <w:lang w:eastAsia="en-IE"/>
              </w:rPr>
            </w:pPr>
            <w:r w:rsidRPr="00540DCD">
              <w:rPr>
                <w:rFonts w:ascii="Calibri" w:eastAsia="Times New Roman" w:hAnsi="Calibri"/>
                <w:b/>
                <w:bCs/>
                <w:lang w:eastAsia="en-IE"/>
              </w:rPr>
              <w:t>2013</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center"/>
              <w:rPr>
                <w:rFonts w:ascii="Calibri" w:eastAsia="Times New Roman" w:hAnsi="Calibri"/>
                <w:b/>
                <w:bCs/>
                <w:lang w:eastAsia="en-IE"/>
              </w:rPr>
            </w:pPr>
            <w:r w:rsidRPr="00540DCD">
              <w:rPr>
                <w:rFonts w:ascii="Calibri" w:eastAsia="Times New Roman" w:hAnsi="Calibri"/>
                <w:b/>
                <w:bCs/>
                <w:lang w:eastAsia="en-IE"/>
              </w:rPr>
              <w:t>2014</w:t>
            </w:r>
          </w:p>
        </w:tc>
      </w:tr>
      <w:tr w:rsidR="007C12D5" w:rsidRPr="00540DCD" w:rsidTr="007C12D5">
        <w:trPr>
          <w:trHeight w:val="405"/>
        </w:trPr>
        <w:tc>
          <w:tcPr>
            <w:tcW w:w="4039" w:type="dxa"/>
            <w:tcBorders>
              <w:top w:val="nil"/>
              <w:left w:val="double" w:sz="6" w:space="0" w:color="auto"/>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rPr>
                <w:rFonts w:ascii="Calibri" w:eastAsia="Times New Roman" w:hAnsi="Calibri"/>
                <w:b/>
                <w:bCs/>
                <w:lang w:eastAsia="en-IE"/>
              </w:rPr>
            </w:pPr>
            <w:r w:rsidRPr="00540DCD">
              <w:rPr>
                <w:rFonts w:ascii="Calibri" w:eastAsia="Times New Roman" w:hAnsi="Calibri"/>
                <w:b/>
                <w:bCs/>
                <w:lang w:eastAsia="en-IE"/>
              </w:rPr>
              <w:t xml:space="preserve">Expenditure </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b/>
                <w:bCs/>
                <w:lang w:eastAsia="en-IE"/>
              </w:rPr>
            </w:pPr>
            <w:r w:rsidRPr="00540DCD">
              <w:rPr>
                <w:rFonts w:ascii="Calibri" w:eastAsia="Times New Roman" w:hAnsi="Calibri"/>
                <w:b/>
                <w:bCs/>
                <w:lang w:eastAsia="en-IE"/>
              </w:rPr>
              <w:t>€4,655.7</w:t>
            </w:r>
          </w:p>
        </w:tc>
        <w:tc>
          <w:tcPr>
            <w:tcW w:w="1198"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center"/>
              <w:rPr>
                <w:rFonts w:ascii="Calibri" w:eastAsia="Times New Roman" w:hAnsi="Calibri"/>
                <w:b/>
                <w:bCs/>
                <w:lang w:eastAsia="en-IE"/>
              </w:rPr>
            </w:pPr>
            <w:r w:rsidRPr="00540DCD">
              <w:rPr>
                <w:rFonts w:ascii="Calibri" w:eastAsia="Times New Roman" w:hAnsi="Calibri"/>
                <w:b/>
                <w:bCs/>
                <w:lang w:eastAsia="en-IE"/>
              </w:rPr>
              <w:t>€4,547.90</w:t>
            </w:r>
          </w:p>
        </w:tc>
        <w:tc>
          <w:tcPr>
            <w:tcW w:w="1198"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center"/>
              <w:rPr>
                <w:rFonts w:ascii="Calibri" w:eastAsia="Times New Roman" w:hAnsi="Calibri"/>
                <w:b/>
                <w:bCs/>
                <w:lang w:eastAsia="en-IE"/>
              </w:rPr>
            </w:pPr>
            <w:r w:rsidRPr="00540DCD">
              <w:rPr>
                <w:rFonts w:ascii="Calibri" w:eastAsia="Times New Roman" w:hAnsi="Calibri"/>
                <w:b/>
                <w:bCs/>
                <w:lang w:eastAsia="en-IE"/>
              </w:rPr>
              <w:t>€4,356.20</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b/>
                <w:bCs/>
                <w:lang w:eastAsia="en-IE"/>
              </w:rPr>
            </w:pPr>
            <w:r w:rsidRPr="00540DCD">
              <w:rPr>
                <w:rFonts w:ascii="Calibri" w:eastAsia="Times New Roman" w:hAnsi="Calibri"/>
                <w:b/>
                <w:bCs/>
                <w:lang w:eastAsia="en-IE"/>
              </w:rPr>
              <w:t>€4,180.6</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b/>
                <w:bCs/>
                <w:lang w:eastAsia="en-IE"/>
              </w:rPr>
            </w:pPr>
            <w:r w:rsidRPr="00540DCD">
              <w:rPr>
                <w:rFonts w:ascii="Calibri" w:eastAsia="Times New Roman" w:hAnsi="Calibri"/>
                <w:b/>
                <w:bCs/>
                <w:lang w:eastAsia="en-IE"/>
              </w:rPr>
              <w:t>€4,173.4</w:t>
            </w:r>
          </w:p>
        </w:tc>
      </w:tr>
      <w:tr w:rsidR="007C12D5" w:rsidRPr="00540DCD" w:rsidTr="007C12D5">
        <w:trPr>
          <w:trHeight w:val="405"/>
        </w:trPr>
        <w:tc>
          <w:tcPr>
            <w:tcW w:w="4039" w:type="dxa"/>
            <w:tcBorders>
              <w:top w:val="nil"/>
              <w:left w:val="double" w:sz="6" w:space="0" w:color="auto"/>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rPr>
                <w:rFonts w:ascii="Calibri" w:eastAsia="Times New Roman" w:hAnsi="Calibri"/>
                <w:b/>
                <w:bCs/>
                <w:i/>
                <w:iCs/>
                <w:lang w:eastAsia="en-IE"/>
              </w:rPr>
            </w:pPr>
            <w:r w:rsidRPr="00540DCD">
              <w:rPr>
                <w:rFonts w:ascii="Calibri" w:eastAsia="Times New Roman" w:hAnsi="Calibri"/>
                <w:b/>
                <w:bCs/>
                <w:i/>
                <w:iCs/>
                <w:lang w:eastAsia="en-IE"/>
              </w:rPr>
              <w:t>Financed By</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rPr>
                <w:rFonts w:ascii="Calibri" w:eastAsia="Times New Roman" w:hAnsi="Calibri"/>
                <w:lang w:eastAsia="en-IE"/>
              </w:rPr>
            </w:pPr>
            <w:r w:rsidRPr="00540DCD">
              <w:rPr>
                <w:rFonts w:ascii="Calibri" w:eastAsia="Times New Roman" w:hAnsi="Calibri"/>
                <w:lang w:eastAsia="en-IE"/>
              </w:rPr>
              <w:t> </w:t>
            </w:r>
          </w:p>
        </w:tc>
        <w:tc>
          <w:tcPr>
            <w:tcW w:w="1198"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rPr>
                <w:rFonts w:ascii="Calibri" w:eastAsia="Times New Roman" w:hAnsi="Calibri"/>
                <w:lang w:eastAsia="en-IE"/>
              </w:rPr>
            </w:pPr>
            <w:r w:rsidRPr="00540DCD">
              <w:rPr>
                <w:rFonts w:ascii="Calibri" w:eastAsia="Times New Roman" w:hAnsi="Calibri"/>
                <w:lang w:eastAsia="en-IE"/>
              </w:rPr>
              <w:t> </w:t>
            </w:r>
          </w:p>
        </w:tc>
        <w:tc>
          <w:tcPr>
            <w:tcW w:w="1198"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rPr>
                <w:rFonts w:ascii="Calibri" w:eastAsia="Times New Roman" w:hAnsi="Calibri"/>
                <w:lang w:eastAsia="en-IE"/>
              </w:rPr>
            </w:pPr>
            <w:r w:rsidRPr="00540DCD">
              <w:rPr>
                <w:rFonts w:ascii="Calibri" w:eastAsia="Times New Roman" w:hAnsi="Calibri"/>
                <w:lang w:eastAsia="en-IE"/>
              </w:rPr>
              <w:t> </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rPr>
                <w:rFonts w:ascii="Calibri" w:eastAsia="Times New Roman" w:hAnsi="Calibri"/>
                <w:lang w:eastAsia="en-IE"/>
              </w:rPr>
            </w:pPr>
            <w:r w:rsidRPr="00540DCD">
              <w:rPr>
                <w:rFonts w:ascii="Calibri" w:eastAsia="Times New Roman" w:hAnsi="Calibri"/>
                <w:lang w:eastAsia="en-IE"/>
              </w:rPr>
              <w:t> </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rPr>
                <w:rFonts w:ascii="Calibri" w:eastAsia="Times New Roman" w:hAnsi="Calibri"/>
                <w:lang w:eastAsia="en-IE"/>
              </w:rPr>
            </w:pPr>
            <w:r w:rsidRPr="00540DCD">
              <w:rPr>
                <w:rFonts w:ascii="Calibri" w:eastAsia="Times New Roman" w:hAnsi="Calibri"/>
                <w:lang w:eastAsia="en-IE"/>
              </w:rPr>
              <w:t> </w:t>
            </w:r>
          </w:p>
        </w:tc>
      </w:tr>
      <w:tr w:rsidR="007C12D5" w:rsidRPr="00540DCD" w:rsidTr="007C12D5">
        <w:trPr>
          <w:trHeight w:val="405"/>
        </w:trPr>
        <w:tc>
          <w:tcPr>
            <w:tcW w:w="4039" w:type="dxa"/>
            <w:tcBorders>
              <w:top w:val="nil"/>
              <w:left w:val="double" w:sz="6" w:space="0" w:color="auto"/>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rPr>
                <w:rFonts w:ascii="Calibri" w:eastAsia="Times New Roman" w:hAnsi="Calibri"/>
                <w:lang w:eastAsia="en-IE"/>
              </w:rPr>
            </w:pPr>
            <w:r w:rsidRPr="00540DCD">
              <w:rPr>
                <w:rFonts w:ascii="Calibri" w:eastAsia="Times New Roman" w:hAnsi="Calibri"/>
                <w:lang w:eastAsia="en-IE"/>
              </w:rPr>
              <w:t>Government Grants/Subsidies</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€1,105.4</w:t>
            </w:r>
          </w:p>
        </w:tc>
        <w:tc>
          <w:tcPr>
            <w:tcW w:w="1198"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€1,128.6</w:t>
            </w:r>
          </w:p>
        </w:tc>
        <w:tc>
          <w:tcPr>
            <w:tcW w:w="1198"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€958.2</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€849.2</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€809.6</w:t>
            </w:r>
          </w:p>
        </w:tc>
      </w:tr>
      <w:tr w:rsidR="007C12D5" w:rsidRPr="00540DCD" w:rsidTr="007C12D5">
        <w:trPr>
          <w:trHeight w:val="405"/>
        </w:trPr>
        <w:tc>
          <w:tcPr>
            <w:tcW w:w="4039" w:type="dxa"/>
            <w:tcBorders>
              <w:top w:val="nil"/>
              <w:left w:val="double" w:sz="6" w:space="0" w:color="auto"/>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rPr>
                <w:rFonts w:ascii="Calibri" w:eastAsia="Times New Roman" w:hAnsi="Calibri"/>
                <w:lang w:eastAsia="en-IE"/>
              </w:rPr>
            </w:pPr>
            <w:r w:rsidRPr="00540DCD">
              <w:rPr>
                <w:rFonts w:ascii="Calibri" w:eastAsia="Times New Roman" w:hAnsi="Calibri"/>
                <w:lang w:eastAsia="en-IE"/>
              </w:rPr>
              <w:t>Pension Related Deductions</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€78.9</w:t>
            </w:r>
          </w:p>
        </w:tc>
        <w:tc>
          <w:tcPr>
            <w:tcW w:w="1198"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€78.2</w:t>
            </w:r>
          </w:p>
        </w:tc>
        <w:tc>
          <w:tcPr>
            <w:tcW w:w="1198"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€78.3</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€76.3</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€74.1</w:t>
            </w:r>
          </w:p>
        </w:tc>
      </w:tr>
      <w:tr w:rsidR="007C12D5" w:rsidRPr="00540DCD" w:rsidTr="007C12D5">
        <w:trPr>
          <w:trHeight w:val="405"/>
        </w:trPr>
        <w:tc>
          <w:tcPr>
            <w:tcW w:w="4039" w:type="dxa"/>
            <w:tcBorders>
              <w:top w:val="nil"/>
              <w:left w:val="double" w:sz="6" w:space="0" w:color="auto"/>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rPr>
                <w:rFonts w:ascii="Calibri" w:eastAsia="Times New Roman" w:hAnsi="Calibri"/>
                <w:lang w:eastAsia="en-IE"/>
              </w:rPr>
            </w:pPr>
            <w:r w:rsidRPr="00540DCD">
              <w:rPr>
                <w:rFonts w:ascii="Calibri" w:eastAsia="Times New Roman" w:hAnsi="Calibri"/>
                <w:lang w:eastAsia="en-IE"/>
              </w:rPr>
              <w:t xml:space="preserve">LGF General-Purpose Grant </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€773.9</w:t>
            </w:r>
          </w:p>
        </w:tc>
        <w:tc>
          <w:tcPr>
            <w:tcW w:w="1198"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€705.4</w:t>
            </w:r>
          </w:p>
        </w:tc>
        <w:tc>
          <w:tcPr>
            <w:tcW w:w="1198"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€651.9</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€637.2</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€284.3</w:t>
            </w:r>
          </w:p>
        </w:tc>
      </w:tr>
      <w:tr w:rsidR="007C12D5" w:rsidRPr="00540DCD" w:rsidTr="007C12D5">
        <w:trPr>
          <w:trHeight w:val="405"/>
        </w:trPr>
        <w:tc>
          <w:tcPr>
            <w:tcW w:w="4039" w:type="dxa"/>
            <w:tcBorders>
              <w:top w:val="nil"/>
              <w:left w:val="double" w:sz="6" w:space="0" w:color="auto"/>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rPr>
                <w:rFonts w:ascii="Calibri" w:eastAsia="Times New Roman" w:hAnsi="Calibri"/>
                <w:lang w:eastAsia="en-IE"/>
              </w:rPr>
            </w:pPr>
            <w:r w:rsidRPr="00540DCD">
              <w:rPr>
                <w:rFonts w:ascii="Calibri" w:eastAsia="Times New Roman" w:hAnsi="Calibri"/>
                <w:lang w:eastAsia="en-IE"/>
              </w:rPr>
              <w:t>Goods/Services</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€1,324.8</w:t>
            </w:r>
          </w:p>
        </w:tc>
        <w:tc>
          <w:tcPr>
            <w:tcW w:w="1198"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€1,246.7</w:t>
            </w:r>
          </w:p>
        </w:tc>
        <w:tc>
          <w:tcPr>
            <w:tcW w:w="1198"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€1,180.2</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€1,133.5</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€1,490.7</w:t>
            </w:r>
          </w:p>
        </w:tc>
      </w:tr>
      <w:tr w:rsidR="007C12D5" w:rsidRPr="00540DCD" w:rsidTr="007C12D5">
        <w:trPr>
          <w:trHeight w:val="405"/>
        </w:trPr>
        <w:tc>
          <w:tcPr>
            <w:tcW w:w="4039" w:type="dxa"/>
            <w:tcBorders>
              <w:top w:val="nil"/>
              <w:left w:val="double" w:sz="6" w:space="0" w:color="auto"/>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rPr>
                <w:rFonts w:ascii="Calibri" w:eastAsia="Times New Roman" w:hAnsi="Calibri"/>
                <w:lang w:eastAsia="en-IE"/>
              </w:rPr>
            </w:pPr>
            <w:r w:rsidRPr="00540DCD">
              <w:rPr>
                <w:rFonts w:ascii="Calibri" w:eastAsia="Times New Roman" w:hAnsi="Calibri"/>
                <w:lang w:eastAsia="en-IE"/>
              </w:rPr>
              <w:t>Commercial Rates</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€1,358.7</w:t>
            </w:r>
          </w:p>
        </w:tc>
        <w:tc>
          <w:tcPr>
            <w:tcW w:w="1198"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€1,367.6</w:t>
            </w:r>
          </w:p>
        </w:tc>
        <w:tc>
          <w:tcPr>
            <w:tcW w:w="1198"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€1,461.4</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€1,469.1</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€1,490.1</w:t>
            </w:r>
          </w:p>
        </w:tc>
      </w:tr>
      <w:tr w:rsidR="007C12D5" w:rsidRPr="00540DCD" w:rsidTr="007C12D5">
        <w:trPr>
          <w:trHeight w:val="405"/>
        </w:trPr>
        <w:tc>
          <w:tcPr>
            <w:tcW w:w="4039" w:type="dxa"/>
            <w:tcBorders>
              <w:top w:val="nil"/>
              <w:left w:val="double" w:sz="6" w:space="0" w:color="auto"/>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rPr>
                <w:rFonts w:ascii="Calibri" w:eastAsia="Times New Roman" w:hAnsi="Calibri"/>
                <w:lang w:eastAsia="en-IE"/>
              </w:rPr>
            </w:pPr>
            <w:r w:rsidRPr="00540DCD">
              <w:rPr>
                <w:rFonts w:ascii="Calibri" w:eastAsia="Times New Roman" w:hAnsi="Calibri"/>
                <w:lang w:eastAsia="en-IE"/>
              </w:rPr>
              <w:t>Provision for Debit/Credit Balances</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€14.2</w:t>
            </w:r>
          </w:p>
        </w:tc>
        <w:tc>
          <w:tcPr>
            <w:tcW w:w="1198"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€22.0</w:t>
            </w:r>
          </w:p>
        </w:tc>
        <w:tc>
          <w:tcPr>
            <w:tcW w:w="1198"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€26.3</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€20.2</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€24.1</w:t>
            </w:r>
          </w:p>
        </w:tc>
      </w:tr>
      <w:tr w:rsidR="007C12D5" w:rsidRPr="00540DCD" w:rsidTr="007C12D5">
        <w:trPr>
          <w:trHeight w:val="405"/>
        </w:trPr>
        <w:tc>
          <w:tcPr>
            <w:tcW w:w="4039" w:type="dxa"/>
            <w:tcBorders>
              <w:top w:val="nil"/>
              <w:left w:val="double" w:sz="6" w:space="0" w:color="auto"/>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rPr>
                <w:rFonts w:ascii="Calibri" w:eastAsia="Times New Roman" w:hAnsi="Calibri"/>
                <w:lang w:eastAsia="en-IE"/>
              </w:rPr>
            </w:pPr>
            <w:r w:rsidRPr="00540DCD">
              <w:rPr>
                <w:rFonts w:ascii="Calibri" w:eastAsia="Times New Roman" w:hAnsi="Calibri"/>
                <w:lang w:eastAsia="en-IE"/>
              </w:rPr>
              <w:t>County Demand</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-€0.2</w:t>
            </w:r>
          </w:p>
        </w:tc>
        <w:tc>
          <w:tcPr>
            <w:tcW w:w="1198"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-€0.6</w:t>
            </w:r>
          </w:p>
        </w:tc>
        <w:tc>
          <w:tcPr>
            <w:tcW w:w="1198"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-€0.036</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-€4.9</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lang w:eastAsia="en-IE"/>
              </w:rPr>
            </w:pPr>
            <w:r w:rsidRPr="00540DCD">
              <w:rPr>
                <w:rFonts w:ascii="Calibri" w:eastAsia="Times New Roman" w:hAnsi="Calibri"/>
                <w:lang w:eastAsia="en-IE"/>
              </w:rPr>
              <w:t>€0.5</w:t>
            </w:r>
          </w:p>
        </w:tc>
      </w:tr>
      <w:tr w:rsidR="007C12D5" w:rsidRPr="00540DCD" w:rsidTr="007C12D5">
        <w:trPr>
          <w:trHeight w:val="375"/>
        </w:trPr>
        <w:tc>
          <w:tcPr>
            <w:tcW w:w="4039" w:type="dxa"/>
            <w:tcBorders>
              <w:top w:val="nil"/>
              <w:left w:val="double" w:sz="6" w:space="0" w:color="auto"/>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rPr>
                <w:rFonts w:ascii="Calibri" w:eastAsia="Times New Roman" w:hAnsi="Calibri"/>
                <w:b/>
                <w:bCs/>
                <w:lang w:eastAsia="en-IE"/>
              </w:rPr>
            </w:pPr>
            <w:r w:rsidRPr="00540DCD">
              <w:rPr>
                <w:rFonts w:ascii="Calibri" w:eastAsia="Times New Roman" w:hAnsi="Calibri"/>
                <w:b/>
                <w:bCs/>
                <w:lang w:eastAsia="en-IE"/>
              </w:rPr>
              <w:t>Total Receipts</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b/>
                <w:bCs/>
                <w:lang w:eastAsia="en-IE"/>
              </w:rPr>
            </w:pPr>
            <w:r w:rsidRPr="00540DCD">
              <w:rPr>
                <w:rFonts w:ascii="Calibri" w:eastAsia="Times New Roman" w:hAnsi="Calibri"/>
                <w:b/>
                <w:bCs/>
                <w:lang w:eastAsia="en-IE"/>
              </w:rPr>
              <w:t>€4,655.7</w:t>
            </w:r>
          </w:p>
        </w:tc>
        <w:tc>
          <w:tcPr>
            <w:tcW w:w="1198"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b/>
                <w:bCs/>
                <w:lang w:eastAsia="en-IE"/>
              </w:rPr>
            </w:pPr>
            <w:r w:rsidRPr="00540DCD">
              <w:rPr>
                <w:rFonts w:ascii="Calibri" w:eastAsia="Times New Roman" w:hAnsi="Calibri"/>
                <w:b/>
                <w:bCs/>
                <w:lang w:eastAsia="en-IE"/>
              </w:rPr>
              <w:t>€4,547.9</w:t>
            </w:r>
          </w:p>
        </w:tc>
        <w:tc>
          <w:tcPr>
            <w:tcW w:w="1198"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b/>
                <w:bCs/>
                <w:lang w:eastAsia="en-IE"/>
              </w:rPr>
            </w:pPr>
            <w:r w:rsidRPr="00540DCD">
              <w:rPr>
                <w:rFonts w:ascii="Calibri" w:eastAsia="Times New Roman" w:hAnsi="Calibri"/>
                <w:b/>
                <w:bCs/>
                <w:lang w:eastAsia="en-IE"/>
              </w:rPr>
              <w:t>€4,356.2</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b/>
                <w:bCs/>
                <w:lang w:eastAsia="en-IE"/>
              </w:rPr>
            </w:pPr>
            <w:r w:rsidRPr="00540DCD">
              <w:rPr>
                <w:rFonts w:ascii="Calibri" w:eastAsia="Times New Roman" w:hAnsi="Calibri"/>
                <w:b/>
                <w:bCs/>
                <w:lang w:eastAsia="en-IE"/>
              </w:rPr>
              <w:t>€4,180.6</w:t>
            </w:r>
          </w:p>
        </w:tc>
        <w:tc>
          <w:tcPr>
            <w:tcW w:w="1055" w:type="dxa"/>
            <w:tcBorders>
              <w:top w:val="nil"/>
              <w:left w:val="nil"/>
              <w:bottom w:val="double" w:sz="6" w:space="0" w:color="auto"/>
              <w:right w:val="double" w:sz="6" w:space="0" w:color="auto"/>
            </w:tcBorders>
            <w:shd w:val="clear" w:color="auto" w:fill="auto"/>
            <w:noWrap/>
            <w:vAlign w:val="bottom"/>
            <w:hideMark/>
          </w:tcPr>
          <w:p w:rsidR="007C12D5" w:rsidRPr="00540DCD" w:rsidRDefault="007C12D5" w:rsidP="007C12D5">
            <w:pPr>
              <w:spacing w:line="240" w:lineRule="auto"/>
              <w:jc w:val="right"/>
              <w:rPr>
                <w:rFonts w:ascii="Calibri" w:eastAsia="Times New Roman" w:hAnsi="Calibri"/>
                <w:b/>
                <w:bCs/>
                <w:lang w:eastAsia="en-IE"/>
              </w:rPr>
            </w:pPr>
            <w:r w:rsidRPr="00540DCD">
              <w:rPr>
                <w:rFonts w:ascii="Calibri" w:eastAsia="Times New Roman" w:hAnsi="Calibri"/>
                <w:b/>
                <w:bCs/>
                <w:lang w:eastAsia="en-IE"/>
              </w:rPr>
              <w:t>€4,173.4</w:t>
            </w:r>
          </w:p>
        </w:tc>
      </w:tr>
    </w:tbl>
    <w:p w:rsidR="007C12D5" w:rsidRDefault="007C12D5" w:rsidP="007C12D5">
      <w:pPr>
        <w:rPr>
          <w:sz w:val="24"/>
          <w:szCs w:val="24"/>
        </w:rPr>
      </w:pPr>
    </w:p>
    <w:p w:rsidR="007C12D5" w:rsidRDefault="007C12D5" w:rsidP="007C12D5">
      <w:pPr>
        <w:jc w:val="both"/>
        <w:rPr>
          <w:sz w:val="24"/>
          <w:szCs w:val="24"/>
        </w:rPr>
      </w:pPr>
      <w:r w:rsidRPr="00595745">
        <w:rPr>
          <w:sz w:val="24"/>
          <w:szCs w:val="24"/>
        </w:rPr>
        <w:lastRenderedPageBreak/>
        <w:t>Local authorities responded positively to the ‘Putting People First’</w:t>
      </w:r>
      <w:r>
        <w:rPr>
          <w:rStyle w:val="FootnoteReference"/>
          <w:sz w:val="24"/>
          <w:szCs w:val="24"/>
        </w:rPr>
        <w:footnoteReference w:id="1"/>
      </w:r>
      <w:r w:rsidRPr="00595745">
        <w:rPr>
          <w:sz w:val="24"/>
          <w:szCs w:val="24"/>
        </w:rPr>
        <w:t xml:space="preserve"> agenda and continue</w:t>
      </w:r>
      <w:r>
        <w:rPr>
          <w:sz w:val="24"/>
          <w:szCs w:val="24"/>
        </w:rPr>
        <w:t>d</w:t>
      </w:r>
      <w:r w:rsidRPr="00595745">
        <w:rPr>
          <w:sz w:val="24"/>
          <w:szCs w:val="24"/>
        </w:rPr>
        <w:t xml:space="preserve"> to implement changes for a more efficient and effective offering. </w:t>
      </w:r>
      <w:r>
        <w:rPr>
          <w:sz w:val="24"/>
          <w:szCs w:val="24"/>
        </w:rPr>
        <w:t xml:space="preserve"> Against the background of the continued contraction in local government staffing and funding, </w:t>
      </w:r>
      <w:r w:rsidRPr="00C758F9">
        <w:rPr>
          <w:sz w:val="24"/>
          <w:szCs w:val="24"/>
        </w:rPr>
        <w:t xml:space="preserve">2014 saw </w:t>
      </w:r>
      <w:r>
        <w:rPr>
          <w:sz w:val="24"/>
          <w:szCs w:val="24"/>
        </w:rPr>
        <w:t xml:space="preserve">the sector successfully deliver an ambitious reform programme </w:t>
      </w:r>
      <w:r w:rsidRPr="00C758F9">
        <w:rPr>
          <w:sz w:val="24"/>
          <w:szCs w:val="24"/>
        </w:rPr>
        <w:t xml:space="preserve">through the vehicle of the Local Government Reform Act 2014. </w:t>
      </w:r>
    </w:p>
    <w:p w:rsidR="007C12D5" w:rsidRDefault="007C12D5" w:rsidP="007C12D5">
      <w:pPr>
        <w:jc w:val="both"/>
        <w:rPr>
          <w:sz w:val="24"/>
          <w:szCs w:val="24"/>
        </w:rPr>
      </w:pPr>
      <w:r>
        <w:rPr>
          <w:sz w:val="24"/>
          <w:szCs w:val="24"/>
        </w:rPr>
        <w:t>The principal</w:t>
      </w:r>
      <w:r w:rsidRPr="00C758F9">
        <w:rPr>
          <w:sz w:val="24"/>
          <w:szCs w:val="24"/>
        </w:rPr>
        <w:t xml:space="preserve"> changes </w:t>
      </w:r>
      <w:r>
        <w:rPr>
          <w:sz w:val="24"/>
          <w:szCs w:val="24"/>
        </w:rPr>
        <w:t xml:space="preserve">brought about by the Act and delivered by the sector </w:t>
      </w:r>
      <w:r w:rsidRPr="00C758F9">
        <w:rPr>
          <w:sz w:val="24"/>
          <w:szCs w:val="24"/>
        </w:rPr>
        <w:t>included</w:t>
      </w:r>
      <w:r>
        <w:rPr>
          <w:sz w:val="24"/>
          <w:szCs w:val="24"/>
        </w:rPr>
        <w:t>:</w:t>
      </w:r>
      <w:r w:rsidRPr="00C758F9">
        <w:rPr>
          <w:sz w:val="24"/>
          <w:szCs w:val="24"/>
        </w:rPr>
        <w:t xml:space="preserve">  </w:t>
      </w:r>
    </w:p>
    <w:p w:rsidR="007C12D5" w:rsidRPr="002007E1" w:rsidRDefault="007C12D5" w:rsidP="007C12D5">
      <w:pPr>
        <w:pStyle w:val="ListParagraph"/>
        <w:numPr>
          <w:ilvl w:val="0"/>
          <w:numId w:val="18"/>
        </w:numPr>
        <w:spacing w:after="0"/>
        <w:jc w:val="both"/>
        <w:rPr>
          <w:sz w:val="24"/>
          <w:szCs w:val="24"/>
        </w:rPr>
      </w:pPr>
      <w:r>
        <w:rPr>
          <w:sz w:val="24"/>
          <w:szCs w:val="24"/>
        </w:rPr>
        <w:t>A</w:t>
      </w:r>
      <w:r w:rsidRPr="002007E1">
        <w:rPr>
          <w:sz w:val="24"/>
          <w:szCs w:val="24"/>
        </w:rPr>
        <w:t xml:space="preserve"> reduction in the number of local authorities from 114 to 31 through the dissolution of </w:t>
      </w:r>
      <w:r>
        <w:rPr>
          <w:sz w:val="24"/>
          <w:szCs w:val="24"/>
        </w:rPr>
        <w:t xml:space="preserve">80 </w:t>
      </w:r>
      <w:r w:rsidRPr="002007E1">
        <w:rPr>
          <w:sz w:val="24"/>
          <w:szCs w:val="24"/>
        </w:rPr>
        <w:t xml:space="preserve">town </w:t>
      </w:r>
      <w:r>
        <w:rPr>
          <w:sz w:val="24"/>
          <w:szCs w:val="24"/>
        </w:rPr>
        <w:t xml:space="preserve">councils </w:t>
      </w:r>
      <w:r w:rsidRPr="002007E1">
        <w:rPr>
          <w:sz w:val="24"/>
          <w:szCs w:val="24"/>
        </w:rPr>
        <w:t xml:space="preserve">and five borough councils and the merger of Waterford County </w:t>
      </w:r>
      <w:r>
        <w:rPr>
          <w:sz w:val="24"/>
          <w:szCs w:val="24"/>
        </w:rPr>
        <w:t>and</w:t>
      </w:r>
      <w:r w:rsidRPr="002007E1">
        <w:rPr>
          <w:sz w:val="24"/>
          <w:szCs w:val="24"/>
        </w:rPr>
        <w:t xml:space="preserve"> City Council</w:t>
      </w:r>
      <w:r>
        <w:rPr>
          <w:sz w:val="24"/>
          <w:szCs w:val="24"/>
        </w:rPr>
        <w:t>s</w:t>
      </w:r>
      <w:r w:rsidRPr="002007E1">
        <w:rPr>
          <w:sz w:val="24"/>
          <w:szCs w:val="24"/>
        </w:rPr>
        <w:t>, Limerick County and City Council</w:t>
      </w:r>
      <w:r>
        <w:rPr>
          <w:sz w:val="24"/>
          <w:szCs w:val="24"/>
        </w:rPr>
        <w:t>s</w:t>
      </w:r>
      <w:r w:rsidRPr="002007E1">
        <w:rPr>
          <w:sz w:val="24"/>
          <w:szCs w:val="24"/>
        </w:rPr>
        <w:t xml:space="preserve"> and </w:t>
      </w:r>
      <w:r>
        <w:rPr>
          <w:sz w:val="24"/>
          <w:szCs w:val="24"/>
        </w:rPr>
        <w:t xml:space="preserve">North </w:t>
      </w:r>
      <w:r w:rsidRPr="002007E1">
        <w:rPr>
          <w:sz w:val="24"/>
          <w:szCs w:val="24"/>
        </w:rPr>
        <w:t>Tipp</w:t>
      </w:r>
      <w:r>
        <w:rPr>
          <w:sz w:val="24"/>
          <w:szCs w:val="24"/>
        </w:rPr>
        <w:t xml:space="preserve">erary and South Tipperary County Councils; </w:t>
      </w:r>
    </w:p>
    <w:p w:rsidR="007C12D5" w:rsidRPr="002007E1" w:rsidRDefault="007C12D5" w:rsidP="007C12D5">
      <w:pPr>
        <w:pStyle w:val="ListParagraph"/>
        <w:numPr>
          <w:ilvl w:val="0"/>
          <w:numId w:val="18"/>
        </w:numPr>
        <w:spacing w:after="0"/>
        <w:jc w:val="both"/>
        <w:rPr>
          <w:sz w:val="24"/>
          <w:szCs w:val="24"/>
        </w:rPr>
      </w:pPr>
      <w:r w:rsidRPr="002007E1">
        <w:rPr>
          <w:sz w:val="24"/>
          <w:szCs w:val="24"/>
        </w:rPr>
        <w:t xml:space="preserve">The establishment of Municipal Districts to carry out </w:t>
      </w:r>
      <w:r>
        <w:rPr>
          <w:sz w:val="24"/>
          <w:szCs w:val="24"/>
        </w:rPr>
        <w:t>assigned</w:t>
      </w:r>
      <w:r w:rsidRPr="002007E1">
        <w:rPr>
          <w:sz w:val="24"/>
          <w:szCs w:val="24"/>
        </w:rPr>
        <w:t xml:space="preserve"> Council functions at local level</w:t>
      </w:r>
      <w:r>
        <w:rPr>
          <w:sz w:val="24"/>
          <w:szCs w:val="24"/>
        </w:rPr>
        <w:t>;</w:t>
      </w:r>
    </w:p>
    <w:p w:rsidR="007C12D5" w:rsidRPr="002007E1" w:rsidRDefault="007C12D5" w:rsidP="007C12D5">
      <w:pPr>
        <w:pStyle w:val="ListParagraph"/>
        <w:numPr>
          <w:ilvl w:val="0"/>
          <w:numId w:val="18"/>
        </w:numPr>
        <w:spacing w:after="0"/>
        <w:jc w:val="both"/>
        <w:rPr>
          <w:sz w:val="24"/>
          <w:szCs w:val="24"/>
        </w:rPr>
      </w:pPr>
      <w:r>
        <w:rPr>
          <w:sz w:val="24"/>
          <w:szCs w:val="24"/>
        </w:rPr>
        <w:t>The establishment of Irish Water. On 1</w:t>
      </w:r>
      <w:r w:rsidRPr="005E7555">
        <w:rPr>
          <w:sz w:val="24"/>
          <w:szCs w:val="24"/>
          <w:vertAlign w:val="superscript"/>
        </w:rPr>
        <w:t>st</w:t>
      </w:r>
      <w:r>
        <w:rPr>
          <w:sz w:val="24"/>
          <w:szCs w:val="24"/>
        </w:rPr>
        <w:t xml:space="preserve"> January 2014 Irish Water became the water authority for Ireland with local authorities providing water services on the basis of Service Level Agreements with Irish Water. The transition was complex and extensive and included a considerable alteration of financial arrangements for local authorities</w:t>
      </w:r>
      <w:r w:rsidRPr="002007E1">
        <w:rPr>
          <w:sz w:val="24"/>
          <w:szCs w:val="24"/>
        </w:rPr>
        <w:t>;</w:t>
      </w:r>
    </w:p>
    <w:p w:rsidR="007C12D5" w:rsidRDefault="007C12D5" w:rsidP="007C12D5">
      <w:pPr>
        <w:pStyle w:val="ListParagraph"/>
        <w:numPr>
          <w:ilvl w:val="0"/>
          <w:numId w:val="18"/>
        </w:numPr>
        <w:ind w:left="714"/>
        <w:jc w:val="both"/>
        <w:rPr>
          <w:sz w:val="24"/>
          <w:szCs w:val="24"/>
        </w:rPr>
      </w:pPr>
      <w:r w:rsidRPr="002007E1">
        <w:rPr>
          <w:sz w:val="24"/>
          <w:szCs w:val="24"/>
        </w:rPr>
        <w:t xml:space="preserve">The conferring of additional responsibility on </w:t>
      </w:r>
      <w:r>
        <w:rPr>
          <w:sz w:val="24"/>
          <w:szCs w:val="24"/>
        </w:rPr>
        <w:t xml:space="preserve">local authorities </w:t>
      </w:r>
      <w:r w:rsidRPr="002007E1">
        <w:rPr>
          <w:sz w:val="24"/>
          <w:szCs w:val="24"/>
        </w:rPr>
        <w:t xml:space="preserve"> to lead local economic, enterprise and community development, inc</w:t>
      </w:r>
      <w:r>
        <w:rPr>
          <w:sz w:val="24"/>
          <w:szCs w:val="24"/>
        </w:rPr>
        <w:t xml:space="preserve">luding the establishment of </w:t>
      </w:r>
      <w:r w:rsidRPr="002007E1">
        <w:rPr>
          <w:sz w:val="24"/>
          <w:szCs w:val="24"/>
        </w:rPr>
        <w:t>Local Enterprise Office</w:t>
      </w:r>
      <w:r>
        <w:rPr>
          <w:sz w:val="24"/>
          <w:szCs w:val="24"/>
        </w:rPr>
        <w:t>s</w:t>
      </w:r>
      <w:r w:rsidRPr="002007E1">
        <w:rPr>
          <w:sz w:val="24"/>
          <w:szCs w:val="24"/>
        </w:rPr>
        <w:t xml:space="preserve"> (LEO</w:t>
      </w:r>
      <w:r>
        <w:rPr>
          <w:sz w:val="24"/>
          <w:szCs w:val="24"/>
        </w:rPr>
        <w:t xml:space="preserve">), </w:t>
      </w:r>
      <w:r w:rsidRPr="002007E1">
        <w:rPr>
          <w:sz w:val="24"/>
          <w:szCs w:val="24"/>
        </w:rPr>
        <w:t>Local Community Development Committee</w:t>
      </w:r>
      <w:r>
        <w:rPr>
          <w:sz w:val="24"/>
          <w:szCs w:val="24"/>
        </w:rPr>
        <w:t>s</w:t>
      </w:r>
      <w:r w:rsidRPr="002007E1">
        <w:rPr>
          <w:sz w:val="24"/>
          <w:szCs w:val="24"/>
        </w:rPr>
        <w:t xml:space="preserve"> (LCDC</w:t>
      </w:r>
      <w:r>
        <w:rPr>
          <w:sz w:val="24"/>
          <w:szCs w:val="24"/>
        </w:rPr>
        <w:t xml:space="preserve">) and </w:t>
      </w:r>
      <w:r w:rsidRPr="002007E1">
        <w:rPr>
          <w:sz w:val="24"/>
          <w:szCs w:val="24"/>
        </w:rPr>
        <w:t>Public Participation Network</w:t>
      </w:r>
      <w:r>
        <w:rPr>
          <w:sz w:val="24"/>
          <w:szCs w:val="24"/>
        </w:rPr>
        <w:t>s</w:t>
      </w:r>
      <w:r w:rsidRPr="002007E1">
        <w:rPr>
          <w:sz w:val="24"/>
          <w:szCs w:val="24"/>
        </w:rPr>
        <w:t xml:space="preserve"> (PPN);</w:t>
      </w:r>
    </w:p>
    <w:p w:rsidR="007C12D5" w:rsidRDefault="007C12D5" w:rsidP="007C12D5">
      <w:pPr>
        <w:pStyle w:val="ListParagraph"/>
        <w:numPr>
          <w:ilvl w:val="0"/>
          <w:numId w:val="18"/>
        </w:numPr>
        <w:ind w:left="714"/>
        <w:jc w:val="both"/>
        <w:rPr>
          <w:sz w:val="24"/>
          <w:szCs w:val="24"/>
        </w:rPr>
      </w:pPr>
      <w:r>
        <w:rPr>
          <w:sz w:val="24"/>
          <w:szCs w:val="24"/>
        </w:rPr>
        <w:t>New provisions regarding funding, financial management, audit and oversight.</w:t>
      </w:r>
    </w:p>
    <w:p w:rsidR="007C12D5" w:rsidRDefault="007C12D5" w:rsidP="007C12D5">
      <w:pPr>
        <w:jc w:val="both"/>
        <w:rPr>
          <w:sz w:val="24"/>
          <w:szCs w:val="24"/>
        </w:rPr>
      </w:pPr>
      <w:r>
        <w:rPr>
          <w:sz w:val="24"/>
          <w:szCs w:val="24"/>
        </w:rPr>
        <w:t xml:space="preserve">In addition to the delivery of significant reform measures local authorities designed and implemented shared services across the sector in the area of building control oversight, road management, procurement and payroll. This shared approach facilitated local authorities in continuing to </w:t>
      </w:r>
      <w:r w:rsidRPr="005452A5">
        <w:rPr>
          <w:sz w:val="24"/>
          <w:szCs w:val="24"/>
        </w:rPr>
        <w:t xml:space="preserve">‘do more with less’ by delivering quality services </w:t>
      </w:r>
      <w:r>
        <w:rPr>
          <w:sz w:val="24"/>
          <w:szCs w:val="24"/>
        </w:rPr>
        <w:t xml:space="preserve">efficiently and </w:t>
      </w:r>
      <w:r w:rsidRPr="005452A5">
        <w:rPr>
          <w:sz w:val="24"/>
          <w:szCs w:val="24"/>
        </w:rPr>
        <w:t>in new innovative ways</w:t>
      </w:r>
      <w:r>
        <w:rPr>
          <w:sz w:val="24"/>
          <w:szCs w:val="24"/>
        </w:rPr>
        <w:t xml:space="preserve">. </w:t>
      </w:r>
    </w:p>
    <w:p w:rsidR="007C12D5" w:rsidRDefault="007C12D5" w:rsidP="007C12D5">
      <w:pPr>
        <w:jc w:val="both"/>
        <w:rPr>
          <w:rFonts w:cs="Calibri"/>
          <w:sz w:val="24"/>
          <w:szCs w:val="24"/>
        </w:rPr>
      </w:pPr>
      <w:r w:rsidRPr="00595745">
        <w:rPr>
          <w:rFonts w:cs="Calibri"/>
          <w:sz w:val="24"/>
          <w:szCs w:val="24"/>
        </w:rPr>
        <w:t xml:space="preserve">It is encouraging </w:t>
      </w:r>
      <w:r>
        <w:rPr>
          <w:rFonts w:cs="Calibri"/>
          <w:sz w:val="24"/>
          <w:szCs w:val="24"/>
        </w:rPr>
        <w:t xml:space="preserve">to </w:t>
      </w:r>
      <w:r w:rsidRPr="00595745">
        <w:rPr>
          <w:rFonts w:cs="Calibri"/>
          <w:sz w:val="24"/>
          <w:szCs w:val="24"/>
        </w:rPr>
        <w:t>report that 3,</w:t>
      </w:r>
      <w:r>
        <w:rPr>
          <w:rFonts w:cs="Calibri"/>
          <w:sz w:val="24"/>
          <w:szCs w:val="24"/>
        </w:rPr>
        <w:t>478.5</w:t>
      </w:r>
      <w:r w:rsidRPr="00595745">
        <w:rPr>
          <w:rFonts w:cs="Calibri"/>
          <w:sz w:val="24"/>
          <w:szCs w:val="24"/>
        </w:rPr>
        <w:t xml:space="preserve"> jobs were created with assistance from the Local Enterprise Office</w:t>
      </w:r>
      <w:r>
        <w:rPr>
          <w:rFonts w:cs="Calibri"/>
          <w:sz w:val="24"/>
          <w:szCs w:val="24"/>
        </w:rPr>
        <w:t>s (LEOs)</w:t>
      </w:r>
      <w:r w:rsidRPr="00595745">
        <w:rPr>
          <w:rFonts w:cs="Calibri"/>
          <w:sz w:val="24"/>
          <w:szCs w:val="24"/>
        </w:rPr>
        <w:t xml:space="preserve"> and theses offices are now well integrated within local authorities. </w:t>
      </w:r>
      <w:r>
        <w:rPr>
          <w:rFonts w:cs="Calibri"/>
          <w:sz w:val="24"/>
          <w:szCs w:val="24"/>
        </w:rPr>
        <w:t>A</w:t>
      </w:r>
      <w:r w:rsidRPr="00595745">
        <w:rPr>
          <w:rFonts w:cs="Calibri"/>
          <w:sz w:val="24"/>
          <w:szCs w:val="24"/>
        </w:rPr>
        <w:t xml:space="preserve"> broader scope to this indicator </w:t>
      </w:r>
      <w:r>
        <w:rPr>
          <w:rFonts w:cs="Calibri"/>
          <w:sz w:val="24"/>
          <w:szCs w:val="24"/>
        </w:rPr>
        <w:t xml:space="preserve">could potentially </w:t>
      </w:r>
      <w:r w:rsidRPr="00595745">
        <w:rPr>
          <w:rFonts w:cs="Calibri"/>
          <w:sz w:val="24"/>
          <w:szCs w:val="24"/>
        </w:rPr>
        <w:t>capture the performance of the wider economic development</w:t>
      </w:r>
      <w:r>
        <w:rPr>
          <w:rFonts w:cs="Calibri"/>
          <w:sz w:val="24"/>
          <w:szCs w:val="24"/>
        </w:rPr>
        <w:t xml:space="preserve"> role of local authorities</w:t>
      </w:r>
      <w:r w:rsidRPr="00595745">
        <w:rPr>
          <w:rFonts w:cs="Calibri"/>
          <w:sz w:val="24"/>
          <w:szCs w:val="24"/>
        </w:rPr>
        <w:t xml:space="preserve"> and give a truer insight into all the support that contributes to economic development at a local level.</w:t>
      </w:r>
    </w:p>
    <w:p w:rsidR="007C12D5" w:rsidRDefault="007C12D5" w:rsidP="007C12D5">
      <w:pPr>
        <w:jc w:val="both"/>
        <w:rPr>
          <w:sz w:val="24"/>
          <w:szCs w:val="24"/>
        </w:rPr>
      </w:pPr>
      <w:r w:rsidRPr="00595745">
        <w:rPr>
          <w:sz w:val="24"/>
          <w:szCs w:val="24"/>
        </w:rPr>
        <w:t xml:space="preserve">As housing remains high on political and public-interest agendas, </w:t>
      </w:r>
      <w:r>
        <w:rPr>
          <w:sz w:val="24"/>
          <w:szCs w:val="24"/>
        </w:rPr>
        <w:t>the indicators will</w:t>
      </w:r>
      <w:r w:rsidRPr="00595745">
        <w:rPr>
          <w:sz w:val="24"/>
          <w:szCs w:val="24"/>
        </w:rPr>
        <w:t xml:space="preserve"> continue to monitor the performance in this area and the requirements for local authorities under the Social Housing Strategy 2020.  The critical role that local authorities play in the provision of housing units continues to be challenging, in the context of the current landscape where </w:t>
      </w:r>
      <w:r w:rsidRPr="00595745">
        <w:rPr>
          <w:sz w:val="24"/>
          <w:szCs w:val="24"/>
        </w:rPr>
        <w:lastRenderedPageBreak/>
        <w:t xml:space="preserve">there are serious issues around supply and demand.  As local authorities work to deliver on the Social Housing Strategy </w:t>
      </w:r>
      <w:r>
        <w:rPr>
          <w:sz w:val="24"/>
          <w:szCs w:val="24"/>
        </w:rPr>
        <w:t>it is</w:t>
      </w:r>
      <w:r w:rsidRPr="00595745">
        <w:rPr>
          <w:sz w:val="24"/>
          <w:szCs w:val="24"/>
        </w:rPr>
        <w:t xml:space="preserve"> expect</w:t>
      </w:r>
      <w:r>
        <w:rPr>
          <w:sz w:val="24"/>
          <w:szCs w:val="24"/>
        </w:rPr>
        <w:t>ed that</w:t>
      </w:r>
      <w:r w:rsidRPr="00595745">
        <w:rPr>
          <w:sz w:val="24"/>
          <w:szCs w:val="24"/>
        </w:rPr>
        <w:t xml:space="preserve"> an increase in acquisitions and return-to-market of ‘void’ units </w:t>
      </w:r>
      <w:r>
        <w:rPr>
          <w:sz w:val="24"/>
          <w:szCs w:val="24"/>
        </w:rPr>
        <w:t xml:space="preserve">will become evident </w:t>
      </w:r>
      <w:r w:rsidRPr="00595745">
        <w:rPr>
          <w:sz w:val="24"/>
          <w:szCs w:val="24"/>
        </w:rPr>
        <w:t>over the next few years.  The mechanisms by which local authorities are delivering on housing requirements are evolving</w:t>
      </w:r>
      <w:r>
        <w:rPr>
          <w:sz w:val="24"/>
          <w:szCs w:val="24"/>
        </w:rPr>
        <w:t>: f</w:t>
      </w:r>
      <w:r w:rsidRPr="00595745">
        <w:rPr>
          <w:sz w:val="24"/>
          <w:szCs w:val="24"/>
        </w:rPr>
        <w:t>or example the introduction of the Housing Assistance Payment Scheme (HAP) encourages the continuation of employment without jeopardising a social housing claim.</w:t>
      </w:r>
    </w:p>
    <w:p w:rsidR="007C12D5" w:rsidRDefault="007C12D5" w:rsidP="007C12D5">
      <w:pPr>
        <w:jc w:val="both"/>
        <w:rPr>
          <w:sz w:val="24"/>
          <w:szCs w:val="24"/>
        </w:rPr>
      </w:pPr>
      <w:r w:rsidRPr="00595745">
        <w:rPr>
          <w:sz w:val="24"/>
          <w:szCs w:val="24"/>
        </w:rPr>
        <w:t>The new cost per capita indicators for the fire and planning services</w:t>
      </w:r>
      <w:r>
        <w:rPr>
          <w:sz w:val="24"/>
          <w:szCs w:val="24"/>
        </w:rPr>
        <w:t xml:space="preserve">, and cost per 1,000 </w:t>
      </w:r>
      <w:proofErr w:type="gramStart"/>
      <w:r>
        <w:rPr>
          <w:sz w:val="24"/>
          <w:szCs w:val="24"/>
        </w:rPr>
        <w:t>population</w:t>
      </w:r>
      <w:proofErr w:type="gramEnd"/>
      <w:r>
        <w:rPr>
          <w:sz w:val="24"/>
          <w:szCs w:val="24"/>
        </w:rPr>
        <w:t xml:space="preserve"> for library services, </w:t>
      </w:r>
      <w:r w:rsidRPr="00595745">
        <w:rPr>
          <w:sz w:val="24"/>
          <w:szCs w:val="24"/>
        </w:rPr>
        <w:t>provide</w:t>
      </w:r>
      <w:r>
        <w:rPr>
          <w:sz w:val="24"/>
          <w:szCs w:val="24"/>
        </w:rPr>
        <w:t xml:space="preserve"> transparent data </w:t>
      </w:r>
      <w:r w:rsidRPr="00595745">
        <w:rPr>
          <w:sz w:val="24"/>
          <w:szCs w:val="24"/>
        </w:rPr>
        <w:t xml:space="preserve">which can </w:t>
      </w:r>
      <w:r>
        <w:rPr>
          <w:sz w:val="24"/>
          <w:szCs w:val="24"/>
        </w:rPr>
        <w:t xml:space="preserve">assist with </w:t>
      </w:r>
      <w:r w:rsidRPr="00595745">
        <w:rPr>
          <w:sz w:val="24"/>
          <w:szCs w:val="24"/>
        </w:rPr>
        <w:t>monitor</w:t>
      </w:r>
      <w:r>
        <w:rPr>
          <w:sz w:val="24"/>
          <w:szCs w:val="24"/>
        </w:rPr>
        <w:t>ing</w:t>
      </w:r>
      <w:r w:rsidRPr="00595745">
        <w:rPr>
          <w:sz w:val="24"/>
          <w:szCs w:val="24"/>
        </w:rPr>
        <w:t xml:space="preserve"> value </w:t>
      </w:r>
      <w:r>
        <w:rPr>
          <w:sz w:val="24"/>
          <w:szCs w:val="24"/>
        </w:rPr>
        <w:t xml:space="preserve">for money </w:t>
      </w:r>
      <w:r w:rsidRPr="00595745">
        <w:rPr>
          <w:sz w:val="24"/>
          <w:szCs w:val="24"/>
        </w:rPr>
        <w:t xml:space="preserve">over the coming years. </w:t>
      </w:r>
      <w:r>
        <w:rPr>
          <w:sz w:val="24"/>
          <w:szCs w:val="24"/>
        </w:rPr>
        <w:t>M</w:t>
      </w:r>
      <w:r w:rsidRPr="00595745">
        <w:rPr>
          <w:sz w:val="24"/>
          <w:szCs w:val="24"/>
        </w:rPr>
        <w:t xml:space="preserve">ovement towards a shared services delivery model in </w:t>
      </w:r>
      <w:r>
        <w:rPr>
          <w:sz w:val="24"/>
          <w:szCs w:val="24"/>
        </w:rPr>
        <w:t xml:space="preserve">2014 in areas of </w:t>
      </w:r>
      <w:r w:rsidRPr="00595745">
        <w:rPr>
          <w:sz w:val="24"/>
          <w:szCs w:val="24"/>
        </w:rPr>
        <w:t xml:space="preserve">payroll, building regulations and human resources have provided </w:t>
      </w:r>
      <w:r>
        <w:rPr>
          <w:sz w:val="24"/>
          <w:szCs w:val="24"/>
        </w:rPr>
        <w:t>increased</w:t>
      </w:r>
      <w:r w:rsidRPr="00595745">
        <w:rPr>
          <w:sz w:val="24"/>
          <w:szCs w:val="24"/>
        </w:rPr>
        <w:t xml:space="preserve"> efficiency in service delivery</w:t>
      </w:r>
      <w:r>
        <w:rPr>
          <w:sz w:val="24"/>
          <w:szCs w:val="24"/>
        </w:rPr>
        <w:t>.</w:t>
      </w:r>
      <w:r w:rsidRPr="00595745">
        <w:rPr>
          <w:sz w:val="24"/>
          <w:szCs w:val="24"/>
        </w:rPr>
        <w:t xml:space="preserve">   </w:t>
      </w:r>
      <w:r>
        <w:rPr>
          <w:sz w:val="24"/>
          <w:szCs w:val="24"/>
        </w:rPr>
        <w:t>The sector continues to seek efficiencies through further reform of service delivery models as exemplified by the rollout of a</w:t>
      </w:r>
      <w:r w:rsidRPr="00595745">
        <w:rPr>
          <w:sz w:val="24"/>
          <w:szCs w:val="24"/>
        </w:rPr>
        <w:t xml:space="preserve"> central library management system from mid-2016 onwards</w:t>
      </w:r>
      <w:r>
        <w:rPr>
          <w:sz w:val="24"/>
          <w:szCs w:val="24"/>
        </w:rPr>
        <w:t>.</w:t>
      </w:r>
      <w:r w:rsidRPr="00595745">
        <w:rPr>
          <w:sz w:val="24"/>
          <w:szCs w:val="24"/>
        </w:rPr>
        <w:t xml:space="preserve">  </w:t>
      </w:r>
    </w:p>
    <w:p w:rsidR="000B07BE" w:rsidRDefault="000B07BE" w:rsidP="007C12D5">
      <w:pPr>
        <w:jc w:val="both"/>
        <w:rPr>
          <w:sz w:val="24"/>
          <w:szCs w:val="24"/>
        </w:rPr>
      </w:pPr>
    </w:p>
    <w:p w:rsidR="007C12D5" w:rsidRPr="00D7003D" w:rsidRDefault="007C12D5" w:rsidP="007C12D5">
      <w:pPr>
        <w:jc w:val="both"/>
        <w:rPr>
          <w:b/>
          <w:color w:val="1F497D" w:themeColor="text2"/>
          <w:sz w:val="24"/>
          <w:szCs w:val="24"/>
        </w:rPr>
      </w:pPr>
      <w:r w:rsidRPr="00D7003D">
        <w:rPr>
          <w:b/>
          <w:color w:val="1F497D" w:themeColor="text2"/>
          <w:sz w:val="24"/>
          <w:szCs w:val="24"/>
        </w:rPr>
        <w:t xml:space="preserve">Measuring Performance </w:t>
      </w:r>
    </w:p>
    <w:p w:rsidR="007C12D5" w:rsidRDefault="007C12D5" w:rsidP="007C12D5">
      <w:pPr>
        <w:jc w:val="both"/>
        <w:rPr>
          <w:sz w:val="24"/>
          <w:szCs w:val="24"/>
        </w:rPr>
      </w:pPr>
      <w:r w:rsidRPr="003968A1">
        <w:rPr>
          <w:sz w:val="24"/>
          <w:szCs w:val="24"/>
        </w:rPr>
        <w:t xml:space="preserve">The overall intention of performance measurement is to improve the service from local authorities.  By using the results, </w:t>
      </w:r>
      <w:r>
        <w:rPr>
          <w:sz w:val="24"/>
          <w:szCs w:val="24"/>
        </w:rPr>
        <w:t>decision makers</w:t>
      </w:r>
      <w:r w:rsidRPr="003968A1">
        <w:rPr>
          <w:sz w:val="24"/>
          <w:szCs w:val="24"/>
        </w:rPr>
        <w:t xml:space="preserve"> at local level </w:t>
      </w:r>
      <w:r>
        <w:rPr>
          <w:sz w:val="24"/>
          <w:szCs w:val="24"/>
        </w:rPr>
        <w:t xml:space="preserve">can </w:t>
      </w:r>
      <w:r w:rsidRPr="003968A1">
        <w:rPr>
          <w:sz w:val="24"/>
          <w:szCs w:val="24"/>
        </w:rPr>
        <w:t xml:space="preserve">focus attention </w:t>
      </w:r>
      <w:r>
        <w:rPr>
          <w:sz w:val="24"/>
          <w:szCs w:val="24"/>
        </w:rPr>
        <w:t xml:space="preserve">and resources </w:t>
      </w:r>
      <w:r w:rsidRPr="003968A1">
        <w:rPr>
          <w:sz w:val="24"/>
          <w:szCs w:val="24"/>
        </w:rPr>
        <w:t xml:space="preserve">on areas where improvement could be effected to the benefit of customers. This </w:t>
      </w:r>
      <w:r>
        <w:rPr>
          <w:sz w:val="24"/>
          <w:szCs w:val="24"/>
        </w:rPr>
        <w:t>function</w:t>
      </w:r>
      <w:r w:rsidRPr="003968A1">
        <w:rPr>
          <w:sz w:val="24"/>
          <w:szCs w:val="24"/>
        </w:rPr>
        <w:t xml:space="preserve"> will become increasingly </w:t>
      </w:r>
      <w:r>
        <w:rPr>
          <w:sz w:val="24"/>
          <w:szCs w:val="24"/>
        </w:rPr>
        <w:t>meaningful</w:t>
      </w:r>
      <w:r w:rsidRPr="003968A1">
        <w:rPr>
          <w:sz w:val="24"/>
          <w:szCs w:val="24"/>
        </w:rPr>
        <w:t xml:space="preserve"> as the bank of data increases over time.</w:t>
      </w:r>
    </w:p>
    <w:p w:rsidR="007C12D5" w:rsidRDefault="007C12D5" w:rsidP="007C12D5">
      <w:pPr>
        <w:jc w:val="both"/>
        <w:rPr>
          <w:rFonts w:cs="Arial"/>
          <w:i/>
          <w:sz w:val="24"/>
          <w:szCs w:val="24"/>
        </w:rPr>
      </w:pPr>
      <w:r>
        <w:rPr>
          <w:rFonts w:cs="Arial"/>
          <w:sz w:val="24"/>
          <w:szCs w:val="24"/>
        </w:rPr>
        <w:t>The</w:t>
      </w:r>
      <w:r w:rsidRPr="00AE54CA">
        <w:rPr>
          <w:rFonts w:cs="Arial"/>
          <w:sz w:val="24"/>
          <w:szCs w:val="24"/>
        </w:rPr>
        <w:t xml:space="preserve"> performance indicators are presented under </w:t>
      </w:r>
      <w:r>
        <w:rPr>
          <w:rFonts w:cs="Arial"/>
          <w:sz w:val="24"/>
          <w:szCs w:val="24"/>
        </w:rPr>
        <w:t xml:space="preserve">the following performance indicator </w:t>
      </w:r>
      <w:r w:rsidRPr="00AE54CA">
        <w:rPr>
          <w:rFonts w:cs="Arial"/>
          <w:sz w:val="24"/>
          <w:szCs w:val="24"/>
        </w:rPr>
        <w:t xml:space="preserve">headings: </w:t>
      </w:r>
      <w:r w:rsidRPr="00CF616C">
        <w:rPr>
          <w:rFonts w:cs="Arial"/>
          <w:i/>
          <w:sz w:val="24"/>
          <w:szCs w:val="24"/>
        </w:rPr>
        <w:t>Housing</w:t>
      </w:r>
      <w:r>
        <w:rPr>
          <w:rFonts w:cs="Arial"/>
          <w:sz w:val="24"/>
          <w:szCs w:val="24"/>
        </w:rPr>
        <w:t xml:space="preserve">; </w:t>
      </w:r>
      <w:r w:rsidRPr="00AE54CA">
        <w:rPr>
          <w:rFonts w:cs="Arial"/>
          <w:i/>
          <w:sz w:val="24"/>
          <w:szCs w:val="24"/>
        </w:rPr>
        <w:t>Roads; Water;</w:t>
      </w:r>
      <w:r w:rsidRPr="00AE54CA">
        <w:rPr>
          <w:rFonts w:cs="Arial"/>
          <w:sz w:val="24"/>
          <w:szCs w:val="24"/>
        </w:rPr>
        <w:t xml:space="preserve"> </w:t>
      </w:r>
      <w:r>
        <w:rPr>
          <w:rFonts w:cs="Arial"/>
          <w:i/>
          <w:sz w:val="24"/>
          <w:szCs w:val="24"/>
        </w:rPr>
        <w:t>Waste/</w:t>
      </w:r>
      <w:r w:rsidRPr="00AE54CA">
        <w:rPr>
          <w:rFonts w:cs="Arial"/>
          <w:i/>
          <w:sz w:val="24"/>
          <w:szCs w:val="24"/>
        </w:rPr>
        <w:t>Environment; Planning;</w:t>
      </w:r>
      <w:r>
        <w:rPr>
          <w:rFonts w:cs="Arial"/>
          <w:i/>
          <w:sz w:val="24"/>
          <w:szCs w:val="24"/>
        </w:rPr>
        <w:t xml:space="preserve"> </w:t>
      </w:r>
      <w:r w:rsidRPr="00AE54CA">
        <w:rPr>
          <w:rFonts w:cs="Arial"/>
          <w:i/>
          <w:sz w:val="24"/>
          <w:szCs w:val="24"/>
        </w:rPr>
        <w:t>Fire Service</w:t>
      </w:r>
      <w:r>
        <w:rPr>
          <w:rFonts w:cs="Arial"/>
          <w:i/>
          <w:sz w:val="24"/>
          <w:szCs w:val="24"/>
        </w:rPr>
        <w:t>; Library/Recreation; Youth/Community; C</w:t>
      </w:r>
      <w:r w:rsidRPr="00AE54CA">
        <w:rPr>
          <w:rFonts w:cs="Arial"/>
          <w:i/>
          <w:sz w:val="24"/>
          <w:szCs w:val="24"/>
        </w:rPr>
        <w:t>orporate; Finance;</w:t>
      </w:r>
      <w:r>
        <w:rPr>
          <w:rFonts w:cs="Arial"/>
          <w:i/>
          <w:sz w:val="24"/>
          <w:szCs w:val="24"/>
        </w:rPr>
        <w:t xml:space="preserve"> and</w:t>
      </w:r>
      <w:r w:rsidRPr="00AE54CA">
        <w:rPr>
          <w:rFonts w:cs="Arial"/>
          <w:sz w:val="24"/>
          <w:szCs w:val="24"/>
        </w:rPr>
        <w:t xml:space="preserve"> </w:t>
      </w:r>
      <w:r w:rsidRPr="00AE54CA">
        <w:rPr>
          <w:rFonts w:cs="Arial"/>
          <w:i/>
          <w:sz w:val="24"/>
          <w:szCs w:val="24"/>
        </w:rPr>
        <w:t>Economic Development.</w:t>
      </w:r>
      <w:r w:rsidRPr="00AE54CA">
        <w:rPr>
          <w:rFonts w:cs="Arial"/>
          <w:sz w:val="24"/>
          <w:szCs w:val="24"/>
        </w:rPr>
        <w:t xml:space="preserve"> In many cases a given indicator is actually composed of several statistics.</w:t>
      </w:r>
    </w:p>
    <w:p w:rsidR="007C12D5" w:rsidRDefault="007C12D5" w:rsidP="007C12D5">
      <w:pPr>
        <w:shd w:val="clear" w:color="auto" w:fill="FFFFFF" w:themeFill="background1"/>
        <w:jc w:val="both"/>
        <w:rPr>
          <w:rFonts w:cs="Arial"/>
          <w:sz w:val="24"/>
          <w:szCs w:val="24"/>
        </w:rPr>
      </w:pPr>
      <w:r>
        <w:rPr>
          <w:rFonts w:cs="Arial"/>
          <w:sz w:val="24"/>
          <w:szCs w:val="24"/>
        </w:rPr>
        <w:t>The</w:t>
      </w:r>
      <w:r w:rsidRPr="00146201">
        <w:rPr>
          <w:rFonts w:cs="Arial"/>
          <w:sz w:val="24"/>
          <w:szCs w:val="24"/>
        </w:rPr>
        <w:t xml:space="preserve"> </w:t>
      </w:r>
      <w:r>
        <w:rPr>
          <w:rFonts w:cs="Arial"/>
          <w:sz w:val="24"/>
          <w:szCs w:val="24"/>
        </w:rPr>
        <w:t>LGMA</w:t>
      </w:r>
      <w:r w:rsidRPr="00146201">
        <w:rPr>
          <w:rFonts w:cs="Arial"/>
          <w:sz w:val="24"/>
          <w:szCs w:val="24"/>
        </w:rPr>
        <w:t xml:space="preserve"> welcome</w:t>
      </w:r>
      <w:r>
        <w:rPr>
          <w:rFonts w:cs="Arial"/>
          <w:sz w:val="24"/>
          <w:szCs w:val="24"/>
        </w:rPr>
        <w:t>s</w:t>
      </w:r>
      <w:r w:rsidRPr="00146201">
        <w:rPr>
          <w:rFonts w:cs="Arial"/>
          <w:sz w:val="24"/>
          <w:szCs w:val="24"/>
        </w:rPr>
        <w:t xml:space="preserve"> the focus on performance measurement and the </w:t>
      </w:r>
      <w:r>
        <w:rPr>
          <w:rFonts w:cs="Arial"/>
          <w:sz w:val="24"/>
          <w:szCs w:val="24"/>
        </w:rPr>
        <w:t xml:space="preserve">increased accountability it brings with it.  However, it is important to be cognisant of the following: </w:t>
      </w:r>
    </w:p>
    <w:p w:rsidR="007C12D5" w:rsidRDefault="007C12D5" w:rsidP="007C12D5">
      <w:pPr>
        <w:pStyle w:val="ListParagraph"/>
        <w:numPr>
          <w:ilvl w:val="0"/>
          <w:numId w:val="28"/>
        </w:numPr>
        <w:shd w:val="clear" w:color="auto" w:fill="FFFFFF" w:themeFill="background1"/>
        <w:spacing w:after="0"/>
        <w:jc w:val="both"/>
        <w:rPr>
          <w:rFonts w:cs="Arial"/>
          <w:sz w:val="24"/>
          <w:szCs w:val="24"/>
        </w:rPr>
      </w:pPr>
      <w:r>
        <w:rPr>
          <w:rFonts w:cs="Arial"/>
          <w:sz w:val="24"/>
          <w:szCs w:val="24"/>
        </w:rPr>
        <w:t>E</w:t>
      </w:r>
      <w:r w:rsidRPr="00B52C30">
        <w:rPr>
          <w:rFonts w:cs="Arial"/>
          <w:sz w:val="24"/>
          <w:szCs w:val="24"/>
        </w:rPr>
        <w:t xml:space="preserve">ach local authority is different: </w:t>
      </w:r>
      <w:r>
        <w:rPr>
          <w:rFonts w:cs="Arial"/>
          <w:sz w:val="24"/>
          <w:szCs w:val="24"/>
        </w:rPr>
        <w:t>A</w:t>
      </w:r>
      <w:r w:rsidRPr="00B52C30">
        <w:rPr>
          <w:rFonts w:cs="Arial"/>
          <w:sz w:val="24"/>
          <w:szCs w:val="24"/>
        </w:rPr>
        <w:t>lthough providing a similar range of services local authorities respond to local needs as represented by local politicians, while taking into account national policies and priorities</w:t>
      </w:r>
      <w:r>
        <w:rPr>
          <w:rFonts w:cs="Arial"/>
          <w:sz w:val="24"/>
          <w:szCs w:val="24"/>
        </w:rPr>
        <w:t xml:space="preserve">. </w:t>
      </w:r>
    </w:p>
    <w:p w:rsidR="007C12D5" w:rsidRDefault="007C12D5" w:rsidP="007C12D5">
      <w:pPr>
        <w:pStyle w:val="ListParagraph"/>
        <w:numPr>
          <w:ilvl w:val="0"/>
          <w:numId w:val="28"/>
        </w:numPr>
        <w:shd w:val="clear" w:color="auto" w:fill="FFFFFF" w:themeFill="background1"/>
        <w:spacing w:after="0"/>
        <w:jc w:val="both"/>
        <w:rPr>
          <w:rFonts w:cs="Arial"/>
          <w:sz w:val="24"/>
          <w:szCs w:val="24"/>
        </w:rPr>
      </w:pPr>
      <w:r>
        <w:rPr>
          <w:rFonts w:cs="Arial"/>
          <w:sz w:val="24"/>
          <w:szCs w:val="24"/>
        </w:rPr>
        <w:t>T</w:t>
      </w:r>
      <w:r w:rsidRPr="00B52C30">
        <w:rPr>
          <w:rFonts w:cs="Arial"/>
          <w:sz w:val="24"/>
          <w:szCs w:val="24"/>
        </w:rPr>
        <w:t xml:space="preserve">he </w:t>
      </w:r>
      <w:r>
        <w:rPr>
          <w:rFonts w:cs="Arial"/>
          <w:sz w:val="24"/>
          <w:szCs w:val="24"/>
        </w:rPr>
        <w:t xml:space="preserve">scale of the </w:t>
      </w:r>
      <w:r w:rsidRPr="00B52C30">
        <w:rPr>
          <w:rFonts w:cs="Arial"/>
          <w:sz w:val="24"/>
          <w:szCs w:val="24"/>
        </w:rPr>
        <w:t xml:space="preserve">diversity between local authority areas can have an important impact on performance. Key differences that are relevant include: </w:t>
      </w:r>
    </w:p>
    <w:p w:rsidR="007C12D5" w:rsidRPr="003968A1" w:rsidRDefault="007C12D5" w:rsidP="007C12D5">
      <w:pPr>
        <w:numPr>
          <w:ilvl w:val="0"/>
          <w:numId w:val="27"/>
        </w:numPr>
        <w:spacing w:after="0"/>
        <w:jc w:val="both"/>
        <w:rPr>
          <w:rFonts w:cs="Arial"/>
          <w:sz w:val="24"/>
          <w:szCs w:val="24"/>
        </w:rPr>
      </w:pPr>
      <w:r w:rsidRPr="003968A1">
        <w:rPr>
          <w:rFonts w:cs="Arial"/>
          <w:sz w:val="24"/>
          <w:szCs w:val="24"/>
        </w:rPr>
        <w:t>Geographical size</w:t>
      </w:r>
      <w:r>
        <w:rPr>
          <w:rFonts w:cs="Arial"/>
          <w:sz w:val="24"/>
          <w:szCs w:val="24"/>
        </w:rPr>
        <w:t xml:space="preserve"> of the area under the authority</w:t>
      </w:r>
      <w:r w:rsidRPr="003968A1">
        <w:rPr>
          <w:rFonts w:cs="Arial"/>
          <w:sz w:val="24"/>
          <w:szCs w:val="24"/>
        </w:rPr>
        <w:t xml:space="preserve">; </w:t>
      </w:r>
    </w:p>
    <w:p w:rsidR="007C12D5" w:rsidRDefault="007C12D5" w:rsidP="007C12D5">
      <w:pPr>
        <w:numPr>
          <w:ilvl w:val="0"/>
          <w:numId w:val="27"/>
        </w:numPr>
        <w:spacing w:after="0"/>
        <w:jc w:val="both"/>
        <w:rPr>
          <w:rFonts w:cs="Arial"/>
          <w:sz w:val="24"/>
          <w:szCs w:val="24"/>
        </w:rPr>
      </w:pPr>
      <w:r w:rsidRPr="003968A1">
        <w:rPr>
          <w:rFonts w:cs="Arial"/>
          <w:sz w:val="24"/>
          <w:szCs w:val="24"/>
        </w:rPr>
        <w:t xml:space="preserve">Population density; </w:t>
      </w:r>
    </w:p>
    <w:p w:rsidR="007C12D5" w:rsidRPr="003968A1" w:rsidRDefault="007C12D5" w:rsidP="007C12D5">
      <w:pPr>
        <w:numPr>
          <w:ilvl w:val="0"/>
          <w:numId w:val="27"/>
        </w:numPr>
        <w:spacing w:after="0"/>
        <w:jc w:val="both"/>
        <w:rPr>
          <w:rFonts w:cs="Arial"/>
          <w:sz w:val="24"/>
          <w:szCs w:val="24"/>
        </w:rPr>
      </w:pPr>
      <w:r>
        <w:rPr>
          <w:rFonts w:cs="Arial"/>
          <w:sz w:val="24"/>
          <w:szCs w:val="24"/>
        </w:rPr>
        <w:t>Sources of revenue available to an authority;</w:t>
      </w:r>
    </w:p>
    <w:p w:rsidR="007C12D5" w:rsidRPr="003968A1" w:rsidRDefault="007C12D5" w:rsidP="007C12D5">
      <w:pPr>
        <w:numPr>
          <w:ilvl w:val="0"/>
          <w:numId w:val="27"/>
        </w:numPr>
        <w:spacing w:after="0"/>
        <w:jc w:val="both"/>
        <w:rPr>
          <w:rFonts w:cs="Arial"/>
          <w:sz w:val="24"/>
          <w:szCs w:val="24"/>
        </w:rPr>
      </w:pPr>
      <w:r w:rsidRPr="003968A1">
        <w:rPr>
          <w:rFonts w:cs="Arial"/>
          <w:sz w:val="24"/>
          <w:szCs w:val="24"/>
        </w:rPr>
        <w:t xml:space="preserve">Levels of poverty, unemployment and deprivation; </w:t>
      </w:r>
    </w:p>
    <w:p w:rsidR="007C12D5" w:rsidRDefault="007C12D5" w:rsidP="007C12D5">
      <w:pPr>
        <w:numPr>
          <w:ilvl w:val="0"/>
          <w:numId w:val="27"/>
        </w:numPr>
        <w:spacing w:after="0"/>
        <w:jc w:val="both"/>
        <w:rPr>
          <w:rFonts w:cs="Arial"/>
          <w:sz w:val="24"/>
          <w:szCs w:val="24"/>
        </w:rPr>
      </w:pPr>
      <w:r>
        <w:rPr>
          <w:rFonts w:cs="Arial"/>
          <w:sz w:val="24"/>
          <w:szCs w:val="24"/>
        </w:rPr>
        <w:t xml:space="preserve">The size and nature of the local economy; and </w:t>
      </w:r>
    </w:p>
    <w:p w:rsidR="007C12D5" w:rsidRDefault="007C12D5" w:rsidP="007C12D5">
      <w:pPr>
        <w:numPr>
          <w:ilvl w:val="0"/>
          <w:numId w:val="27"/>
        </w:numPr>
        <w:spacing w:after="0"/>
        <w:jc w:val="both"/>
        <w:rPr>
          <w:rFonts w:cs="Arial"/>
          <w:sz w:val="24"/>
          <w:szCs w:val="24"/>
        </w:rPr>
      </w:pPr>
      <w:r>
        <w:rPr>
          <w:rFonts w:cs="Arial"/>
          <w:sz w:val="24"/>
          <w:szCs w:val="24"/>
        </w:rPr>
        <w:t xml:space="preserve">The scale of the demand for the services provided by the local authority. </w:t>
      </w:r>
    </w:p>
    <w:p w:rsidR="007C12D5" w:rsidRDefault="007C12D5" w:rsidP="007C12D5">
      <w:pPr>
        <w:jc w:val="both"/>
        <w:rPr>
          <w:rFonts w:cs="Arial"/>
          <w:sz w:val="24"/>
          <w:szCs w:val="24"/>
        </w:rPr>
      </w:pPr>
      <w:r>
        <w:rPr>
          <w:rFonts w:cs="Arial"/>
          <w:sz w:val="24"/>
          <w:szCs w:val="24"/>
        </w:rPr>
        <w:lastRenderedPageBreak/>
        <w:t>I</w:t>
      </w:r>
      <w:r w:rsidRPr="003968A1">
        <w:rPr>
          <w:rFonts w:cs="Arial"/>
          <w:sz w:val="24"/>
          <w:szCs w:val="24"/>
        </w:rPr>
        <w:t>t is</w:t>
      </w:r>
      <w:r>
        <w:rPr>
          <w:rFonts w:cs="Arial"/>
          <w:sz w:val="24"/>
          <w:szCs w:val="24"/>
        </w:rPr>
        <w:t xml:space="preserve"> therefore</w:t>
      </w:r>
      <w:r w:rsidRPr="003968A1">
        <w:rPr>
          <w:rFonts w:cs="Arial"/>
          <w:sz w:val="24"/>
          <w:szCs w:val="24"/>
        </w:rPr>
        <w:t xml:space="preserve"> not always meaningful to compare results </w:t>
      </w:r>
      <w:r w:rsidRPr="003968A1">
        <w:rPr>
          <w:rFonts w:cs="Arial"/>
          <w:i/>
          <w:sz w:val="24"/>
          <w:szCs w:val="24"/>
        </w:rPr>
        <w:t>across local authorities</w:t>
      </w:r>
      <w:r w:rsidRPr="003968A1">
        <w:rPr>
          <w:rFonts w:cs="Arial"/>
          <w:sz w:val="24"/>
          <w:szCs w:val="24"/>
        </w:rPr>
        <w:t xml:space="preserve">, but rather it is </w:t>
      </w:r>
      <w:r>
        <w:rPr>
          <w:rFonts w:cs="Arial"/>
          <w:sz w:val="24"/>
          <w:szCs w:val="24"/>
        </w:rPr>
        <w:t xml:space="preserve">often </w:t>
      </w:r>
      <w:r w:rsidRPr="003968A1">
        <w:rPr>
          <w:rFonts w:cs="Arial"/>
          <w:sz w:val="24"/>
          <w:szCs w:val="24"/>
        </w:rPr>
        <w:t xml:space="preserve">more appropriate to compare </w:t>
      </w:r>
      <w:r w:rsidRPr="003968A1">
        <w:rPr>
          <w:rFonts w:cs="Arial"/>
          <w:i/>
          <w:sz w:val="24"/>
          <w:szCs w:val="24"/>
        </w:rPr>
        <w:t>the performance of individual local authorities over time</w:t>
      </w:r>
      <w:r>
        <w:rPr>
          <w:rFonts w:cs="Arial"/>
          <w:sz w:val="24"/>
          <w:szCs w:val="24"/>
        </w:rPr>
        <w:t xml:space="preserve">. </w:t>
      </w:r>
    </w:p>
    <w:p w:rsidR="007C12D5" w:rsidRDefault="007C12D5" w:rsidP="007C12D5">
      <w:pPr>
        <w:jc w:val="both"/>
        <w:rPr>
          <w:rFonts w:cs="Arial"/>
          <w:sz w:val="24"/>
          <w:szCs w:val="24"/>
        </w:rPr>
      </w:pPr>
      <w:r>
        <w:rPr>
          <w:rFonts w:cs="Arial"/>
          <w:sz w:val="24"/>
          <w:szCs w:val="24"/>
        </w:rPr>
        <w:t>Furthermore c</w:t>
      </w:r>
      <w:r w:rsidRPr="005F72E3">
        <w:rPr>
          <w:rFonts w:cs="Arial"/>
          <w:sz w:val="24"/>
          <w:szCs w:val="24"/>
        </w:rPr>
        <w:t xml:space="preserve">aution should be exercised in treating the indicators in isolation from their contextual background. </w:t>
      </w:r>
      <w:r>
        <w:rPr>
          <w:rFonts w:cs="Arial"/>
          <w:sz w:val="24"/>
          <w:szCs w:val="24"/>
        </w:rPr>
        <w:t>The implementation of national policy could, in the short term, impact “negatively” on local authority performance, as in the case of the 2014 housing indicator where performance is affected by the implementation of an extensive voids refurbishment programme. This programme will result in an improvement in both the quantity and quality of local authority housing stock but, in the short term, increases both the cost of re-letting dwellings and the time taken to do so.  The roll out of new policy in the areas of housing provision and the LCDCs, neither of which were fully embedded in 2014, is apparent in the data returned by local authorities.</w:t>
      </w:r>
      <w:r w:rsidDel="00376D82">
        <w:rPr>
          <w:rFonts w:cs="Arial"/>
          <w:sz w:val="24"/>
          <w:szCs w:val="24"/>
        </w:rPr>
        <w:t xml:space="preserve"> </w:t>
      </w:r>
    </w:p>
    <w:p w:rsidR="007C12D5" w:rsidRDefault="007C12D5" w:rsidP="007C12D5">
      <w:pPr>
        <w:jc w:val="both"/>
        <w:rPr>
          <w:rFonts w:cs="Arial"/>
          <w:sz w:val="24"/>
          <w:szCs w:val="24"/>
        </w:rPr>
      </w:pPr>
      <w:r w:rsidRPr="00A34D92">
        <w:rPr>
          <w:rFonts w:cs="Arial"/>
          <w:sz w:val="24"/>
          <w:szCs w:val="24"/>
        </w:rPr>
        <w:t>I</w:t>
      </w:r>
      <w:r w:rsidRPr="00947B79">
        <w:rPr>
          <w:rFonts w:cs="Arial"/>
          <w:sz w:val="24"/>
          <w:szCs w:val="24"/>
        </w:rPr>
        <w:t xml:space="preserve">t must </w:t>
      </w:r>
      <w:r w:rsidRPr="00A34D92">
        <w:rPr>
          <w:rFonts w:cs="Arial"/>
          <w:sz w:val="24"/>
          <w:szCs w:val="24"/>
        </w:rPr>
        <w:t xml:space="preserve">also </w:t>
      </w:r>
      <w:r w:rsidRPr="00947B79">
        <w:rPr>
          <w:rFonts w:cs="Arial"/>
          <w:sz w:val="24"/>
          <w:szCs w:val="24"/>
        </w:rPr>
        <w:t xml:space="preserve">be acknowledged that the publication of </w:t>
      </w:r>
      <w:r>
        <w:rPr>
          <w:rFonts w:cs="Arial"/>
          <w:sz w:val="24"/>
          <w:szCs w:val="24"/>
        </w:rPr>
        <w:t>p</w:t>
      </w:r>
      <w:r w:rsidRPr="00947B79">
        <w:rPr>
          <w:rFonts w:cs="Arial"/>
          <w:sz w:val="24"/>
          <w:szCs w:val="24"/>
        </w:rPr>
        <w:t xml:space="preserve">erformance </w:t>
      </w:r>
      <w:r>
        <w:rPr>
          <w:rFonts w:cs="Arial"/>
          <w:sz w:val="24"/>
          <w:szCs w:val="24"/>
        </w:rPr>
        <w:t>i</w:t>
      </w:r>
      <w:r w:rsidRPr="00947B79">
        <w:rPr>
          <w:rFonts w:cs="Arial"/>
          <w:sz w:val="24"/>
          <w:szCs w:val="24"/>
        </w:rPr>
        <w:t xml:space="preserve">ndicators is just one </w:t>
      </w:r>
      <w:r w:rsidRPr="00A34D92">
        <w:rPr>
          <w:rFonts w:cs="Arial"/>
          <w:sz w:val="24"/>
          <w:szCs w:val="24"/>
        </w:rPr>
        <w:t xml:space="preserve">of many </w:t>
      </w:r>
      <w:r w:rsidRPr="00947B79">
        <w:rPr>
          <w:rFonts w:cs="Arial"/>
          <w:sz w:val="24"/>
          <w:szCs w:val="24"/>
        </w:rPr>
        <w:t xml:space="preserve">ways in which local authorities are accountable for the services they provide. Other means of reporting include monthly </w:t>
      </w:r>
      <w:r>
        <w:rPr>
          <w:rFonts w:cs="Arial"/>
          <w:sz w:val="24"/>
          <w:szCs w:val="24"/>
        </w:rPr>
        <w:t>c</w:t>
      </w:r>
      <w:r w:rsidRPr="00947B79">
        <w:rPr>
          <w:rFonts w:cs="Arial"/>
          <w:sz w:val="24"/>
          <w:szCs w:val="24"/>
        </w:rPr>
        <w:t>ouncil meeting</w:t>
      </w:r>
      <w:r>
        <w:rPr>
          <w:rFonts w:cs="Arial"/>
          <w:sz w:val="24"/>
          <w:szCs w:val="24"/>
        </w:rPr>
        <w:t>s,</w:t>
      </w:r>
      <w:r w:rsidRPr="00947B79">
        <w:rPr>
          <w:rFonts w:cs="Arial"/>
          <w:sz w:val="24"/>
          <w:szCs w:val="24"/>
        </w:rPr>
        <w:t xml:space="preserve"> the annual budget process and the publication of local authority Annual Financial Statements</w:t>
      </w:r>
      <w:r>
        <w:rPr>
          <w:rFonts w:cs="Arial"/>
          <w:sz w:val="24"/>
          <w:szCs w:val="24"/>
        </w:rPr>
        <w:t xml:space="preserve"> (AFSs). Under the Local Government Reform Act </w:t>
      </w:r>
      <w:r w:rsidRPr="00A34D92">
        <w:rPr>
          <w:rFonts w:cs="Arial"/>
          <w:sz w:val="24"/>
          <w:szCs w:val="24"/>
        </w:rPr>
        <w:t xml:space="preserve">2014 </w:t>
      </w:r>
      <w:r w:rsidRPr="00947B79">
        <w:rPr>
          <w:rFonts w:cs="Arial"/>
          <w:sz w:val="24"/>
          <w:szCs w:val="24"/>
        </w:rPr>
        <w:t xml:space="preserve">elected members have a strengthened role in policy formulation and implementation and, since 2015, the powers to vary the rate of Local Property Tax (LPT). Other governance provisions of the Act include the </w:t>
      </w:r>
      <w:r>
        <w:rPr>
          <w:rFonts w:cs="Arial"/>
          <w:sz w:val="24"/>
          <w:szCs w:val="24"/>
        </w:rPr>
        <w:t>requirements on chief executives to submit monthly management reports to Councillors, the establishment of Strategic Policy Committees for Economic Development and Enterprise and</w:t>
      </w:r>
      <w:r w:rsidRPr="00A34D92">
        <w:rPr>
          <w:rFonts w:cs="Arial"/>
          <w:sz w:val="24"/>
          <w:szCs w:val="24"/>
        </w:rPr>
        <w:t xml:space="preserve"> </w:t>
      </w:r>
      <w:r w:rsidRPr="00947B79">
        <w:rPr>
          <w:rFonts w:cs="Arial"/>
          <w:sz w:val="24"/>
          <w:szCs w:val="24"/>
        </w:rPr>
        <w:t xml:space="preserve">the development and publication of </w:t>
      </w:r>
      <w:r w:rsidRPr="00A34D92">
        <w:rPr>
          <w:sz w:val="24"/>
          <w:szCs w:val="24"/>
        </w:rPr>
        <w:t xml:space="preserve">annual service delivery plans. </w:t>
      </w:r>
    </w:p>
    <w:p w:rsidR="007C12D5" w:rsidRPr="00C70370" w:rsidRDefault="007C12D5" w:rsidP="007C12D5">
      <w:pPr>
        <w:shd w:val="clear" w:color="auto" w:fill="FFFFFF" w:themeFill="background1"/>
        <w:jc w:val="both"/>
        <w:rPr>
          <w:rFonts w:cs="Arial"/>
          <w:sz w:val="24"/>
          <w:szCs w:val="24"/>
        </w:rPr>
      </w:pPr>
      <w:r w:rsidRPr="00C70370">
        <w:rPr>
          <w:rFonts w:cs="Arial"/>
          <w:sz w:val="24"/>
          <w:szCs w:val="24"/>
        </w:rPr>
        <w:t>Finally it is important to note that in the area of performance management it is often easier to measure quantity than quality. Local authorities offer a wide range of services a</w:t>
      </w:r>
      <w:r>
        <w:rPr>
          <w:rFonts w:cs="Arial"/>
          <w:sz w:val="24"/>
          <w:szCs w:val="24"/>
        </w:rPr>
        <w:t xml:space="preserve">nd support to their community, </w:t>
      </w:r>
      <w:r w:rsidRPr="00C70370">
        <w:rPr>
          <w:rFonts w:cs="Arial"/>
          <w:sz w:val="24"/>
          <w:szCs w:val="24"/>
        </w:rPr>
        <w:t xml:space="preserve">the breadth and diversity of </w:t>
      </w:r>
      <w:r>
        <w:rPr>
          <w:rFonts w:cs="Arial"/>
          <w:sz w:val="24"/>
          <w:szCs w:val="24"/>
        </w:rPr>
        <w:t xml:space="preserve">which is not easily captured through performance indicators. </w:t>
      </w:r>
      <w:r w:rsidRPr="00C70370">
        <w:rPr>
          <w:rFonts w:cs="Arial"/>
          <w:sz w:val="24"/>
          <w:szCs w:val="24"/>
        </w:rPr>
        <w:t xml:space="preserve">For example, the </w:t>
      </w:r>
      <w:r w:rsidRPr="00C70370">
        <w:rPr>
          <w:sz w:val="24"/>
          <w:szCs w:val="24"/>
        </w:rPr>
        <w:t xml:space="preserve">role that local authorities play in facilitating and enabling economic growth and community development </w:t>
      </w:r>
      <w:r w:rsidRPr="00C70370">
        <w:rPr>
          <w:rFonts w:cs="Arial"/>
          <w:sz w:val="24"/>
          <w:szCs w:val="24"/>
        </w:rPr>
        <w:t xml:space="preserve">is not fully reflected under the indicator for economic development or youth and community. The existence of this wider, more qualitative context to </w:t>
      </w:r>
      <w:r>
        <w:rPr>
          <w:rFonts w:cs="Arial"/>
          <w:sz w:val="24"/>
          <w:szCs w:val="24"/>
        </w:rPr>
        <w:t xml:space="preserve">both </w:t>
      </w:r>
      <w:r w:rsidRPr="00C70370">
        <w:rPr>
          <w:rFonts w:cs="Arial"/>
          <w:sz w:val="24"/>
          <w:szCs w:val="24"/>
        </w:rPr>
        <w:t xml:space="preserve">the </w:t>
      </w:r>
      <w:r>
        <w:rPr>
          <w:rFonts w:cs="Arial"/>
          <w:sz w:val="24"/>
          <w:szCs w:val="24"/>
        </w:rPr>
        <w:t xml:space="preserve">data and role of local authorities </w:t>
      </w:r>
      <w:r w:rsidRPr="00C70370">
        <w:rPr>
          <w:rFonts w:cs="Arial"/>
          <w:sz w:val="24"/>
          <w:szCs w:val="24"/>
        </w:rPr>
        <w:t>should</w:t>
      </w:r>
      <w:r>
        <w:rPr>
          <w:rFonts w:cs="Arial"/>
          <w:sz w:val="24"/>
          <w:szCs w:val="24"/>
        </w:rPr>
        <w:t xml:space="preserve"> also </w:t>
      </w:r>
      <w:r w:rsidRPr="00C70370">
        <w:rPr>
          <w:rFonts w:cs="Arial"/>
          <w:sz w:val="24"/>
          <w:szCs w:val="24"/>
        </w:rPr>
        <w:t xml:space="preserve">be considered. </w:t>
      </w:r>
    </w:p>
    <w:p w:rsidR="007C12D5" w:rsidRPr="00D7003D" w:rsidRDefault="007C12D5" w:rsidP="007C12D5">
      <w:pPr>
        <w:jc w:val="both"/>
        <w:rPr>
          <w:b/>
          <w:color w:val="1F497D" w:themeColor="text2"/>
          <w:sz w:val="24"/>
          <w:szCs w:val="24"/>
        </w:rPr>
      </w:pPr>
      <w:r w:rsidRPr="00D7003D">
        <w:rPr>
          <w:b/>
          <w:color w:val="1F497D" w:themeColor="text2"/>
          <w:sz w:val="24"/>
          <w:szCs w:val="24"/>
        </w:rPr>
        <w:t xml:space="preserve">Methodology </w:t>
      </w:r>
    </w:p>
    <w:p w:rsidR="007C12D5" w:rsidRDefault="007C12D5" w:rsidP="007C12D5">
      <w:pPr>
        <w:jc w:val="both"/>
        <w:rPr>
          <w:sz w:val="24"/>
          <w:szCs w:val="24"/>
        </w:rPr>
      </w:pPr>
      <w:r>
        <w:rPr>
          <w:sz w:val="24"/>
          <w:szCs w:val="24"/>
        </w:rPr>
        <w:t>This</w:t>
      </w:r>
      <w:r w:rsidRPr="00A701C2">
        <w:rPr>
          <w:sz w:val="24"/>
          <w:szCs w:val="24"/>
        </w:rPr>
        <w:t xml:space="preserve"> report is based on data compiled by local authorities and submitted to the Local Government Management Agency (LGM</w:t>
      </w:r>
      <w:r w:rsidRPr="00A701C2">
        <w:rPr>
          <w:caps/>
          <w:sz w:val="24"/>
          <w:szCs w:val="24"/>
        </w:rPr>
        <w:t>A</w:t>
      </w:r>
      <w:r w:rsidRPr="00A701C2">
        <w:rPr>
          <w:sz w:val="24"/>
          <w:szCs w:val="24"/>
        </w:rPr>
        <w:t>).  In a small number of cases the data came from a national source on behalf of all local authorities</w:t>
      </w:r>
      <w:r>
        <w:rPr>
          <w:sz w:val="24"/>
          <w:szCs w:val="24"/>
        </w:rPr>
        <w:t xml:space="preserve"> such </w:t>
      </w:r>
      <w:proofErr w:type="gramStart"/>
      <w:r>
        <w:rPr>
          <w:sz w:val="24"/>
          <w:szCs w:val="24"/>
        </w:rPr>
        <w:t>as  the</w:t>
      </w:r>
      <w:proofErr w:type="gramEnd"/>
      <w:r>
        <w:rPr>
          <w:sz w:val="24"/>
          <w:szCs w:val="24"/>
        </w:rPr>
        <w:t xml:space="preserve"> EPA and Tobin Consulting Engineers</w:t>
      </w:r>
      <w:r w:rsidRPr="00A701C2">
        <w:rPr>
          <w:sz w:val="24"/>
          <w:szCs w:val="24"/>
        </w:rPr>
        <w:t>.</w:t>
      </w:r>
      <w:r>
        <w:rPr>
          <w:sz w:val="24"/>
          <w:szCs w:val="24"/>
        </w:rPr>
        <w:t xml:space="preserve"> </w:t>
      </w:r>
    </w:p>
    <w:p w:rsidR="007C12D5" w:rsidRDefault="007C12D5" w:rsidP="007C12D5">
      <w:pPr>
        <w:jc w:val="both"/>
        <w:rPr>
          <w:sz w:val="24"/>
          <w:szCs w:val="24"/>
        </w:rPr>
      </w:pPr>
      <w:r>
        <w:rPr>
          <w:sz w:val="24"/>
          <w:szCs w:val="24"/>
        </w:rPr>
        <w:t>D</w:t>
      </w:r>
      <w:r w:rsidRPr="00A701C2">
        <w:rPr>
          <w:sz w:val="24"/>
          <w:szCs w:val="24"/>
        </w:rPr>
        <w:t>ata is presented in tabular form</w:t>
      </w:r>
      <w:r>
        <w:rPr>
          <w:sz w:val="24"/>
          <w:szCs w:val="24"/>
        </w:rPr>
        <w:t xml:space="preserve"> and supported by graphs where relevant</w:t>
      </w:r>
      <w:r w:rsidRPr="00A701C2">
        <w:rPr>
          <w:sz w:val="24"/>
          <w:szCs w:val="24"/>
        </w:rPr>
        <w:t xml:space="preserve">. </w:t>
      </w:r>
    </w:p>
    <w:p w:rsidR="007C12D5" w:rsidRDefault="007C12D5" w:rsidP="007C12D5">
      <w:pPr>
        <w:pStyle w:val="ListParagraph"/>
        <w:numPr>
          <w:ilvl w:val="0"/>
          <w:numId w:val="27"/>
        </w:numPr>
        <w:tabs>
          <w:tab w:val="clear" w:pos="1440"/>
          <w:tab w:val="num" w:pos="709"/>
        </w:tabs>
        <w:ind w:left="709" w:hanging="283"/>
        <w:jc w:val="both"/>
        <w:rPr>
          <w:sz w:val="24"/>
          <w:szCs w:val="24"/>
        </w:rPr>
      </w:pPr>
      <w:r w:rsidRPr="00A34D92">
        <w:rPr>
          <w:sz w:val="24"/>
          <w:szCs w:val="24"/>
        </w:rPr>
        <w:lastRenderedPageBreak/>
        <w:t>Where an indicator is new it is not possible to compare 2014 data with previous years</w:t>
      </w:r>
      <w:r>
        <w:rPr>
          <w:sz w:val="24"/>
          <w:szCs w:val="24"/>
        </w:rPr>
        <w:t>;</w:t>
      </w:r>
    </w:p>
    <w:p w:rsidR="007C12D5" w:rsidRDefault="007C12D5" w:rsidP="007C12D5">
      <w:pPr>
        <w:pStyle w:val="ListParagraph"/>
        <w:numPr>
          <w:ilvl w:val="0"/>
          <w:numId w:val="27"/>
        </w:numPr>
        <w:tabs>
          <w:tab w:val="clear" w:pos="1440"/>
          <w:tab w:val="num" w:pos="709"/>
        </w:tabs>
        <w:ind w:left="709" w:hanging="283"/>
        <w:jc w:val="both"/>
        <w:rPr>
          <w:sz w:val="24"/>
          <w:szCs w:val="24"/>
        </w:rPr>
      </w:pPr>
      <w:r>
        <w:rPr>
          <w:sz w:val="24"/>
          <w:szCs w:val="24"/>
        </w:rPr>
        <w:t>W</w:t>
      </w:r>
      <w:r w:rsidRPr="00A34D92">
        <w:rPr>
          <w:sz w:val="24"/>
          <w:szCs w:val="24"/>
        </w:rPr>
        <w:t xml:space="preserve">here the exact </w:t>
      </w:r>
      <w:r>
        <w:rPr>
          <w:sz w:val="24"/>
          <w:szCs w:val="24"/>
        </w:rPr>
        <w:t xml:space="preserve">same </w:t>
      </w:r>
      <w:r w:rsidRPr="00A34D92">
        <w:rPr>
          <w:sz w:val="24"/>
          <w:szCs w:val="24"/>
        </w:rPr>
        <w:t>information has been previously recorded a comparison with data from 201</w:t>
      </w:r>
      <w:r>
        <w:rPr>
          <w:sz w:val="24"/>
          <w:szCs w:val="24"/>
        </w:rPr>
        <w:t>0</w:t>
      </w:r>
      <w:r w:rsidRPr="00A34D92">
        <w:rPr>
          <w:sz w:val="24"/>
          <w:szCs w:val="24"/>
        </w:rPr>
        <w:t xml:space="preserve"> to 201</w:t>
      </w:r>
      <w:r>
        <w:rPr>
          <w:sz w:val="24"/>
          <w:szCs w:val="24"/>
        </w:rPr>
        <w:t>4</w:t>
      </w:r>
      <w:r w:rsidRPr="00A34D92">
        <w:rPr>
          <w:sz w:val="24"/>
          <w:szCs w:val="24"/>
        </w:rPr>
        <w:t xml:space="preserve"> is provided</w:t>
      </w:r>
      <w:r>
        <w:rPr>
          <w:sz w:val="24"/>
          <w:szCs w:val="24"/>
        </w:rPr>
        <w:t>;</w:t>
      </w:r>
      <w:r w:rsidRPr="00A34D92">
        <w:rPr>
          <w:sz w:val="24"/>
          <w:szCs w:val="24"/>
        </w:rPr>
        <w:t xml:space="preserve"> </w:t>
      </w:r>
    </w:p>
    <w:p w:rsidR="007C12D5" w:rsidRDefault="007C12D5" w:rsidP="007C12D5">
      <w:pPr>
        <w:pStyle w:val="ListParagraph"/>
        <w:numPr>
          <w:ilvl w:val="0"/>
          <w:numId w:val="27"/>
        </w:numPr>
        <w:tabs>
          <w:tab w:val="clear" w:pos="1440"/>
          <w:tab w:val="num" w:pos="709"/>
        </w:tabs>
        <w:ind w:left="709" w:hanging="283"/>
        <w:jc w:val="both"/>
        <w:rPr>
          <w:sz w:val="24"/>
          <w:szCs w:val="24"/>
        </w:rPr>
      </w:pPr>
      <w:r w:rsidRPr="00A34D92">
        <w:rPr>
          <w:sz w:val="24"/>
          <w:szCs w:val="24"/>
        </w:rPr>
        <w:t xml:space="preserve">Where the same information </w:t>
      </w:r>
      <w:r>
        <w:rPr>
          <w:sz w:val="24"/>
          <w:szCs w:val="24"/>
        </w:rPr>
        <w:t xml:space="preserve">is recorded, albeit in a different format to previous years, and a comparison is valid, </w:t>
      </w:r>
      <w:r w:rsidRPr="00A34D92">
        <w:rPr>
          <w:sz w:val="24"/>
          <w:szCs w:val="24"/>
        </w:rPr>
        <w:t>this</w:t>
      </w:r>
      <w:r>
        <w:rPr>
          <w:sz w:val="24"/>
          <w:szCs w:val="24"/>
        </w:rPr>
        <w:t xml:space="preserve"> data </w:t>
      </w:r>
      <w:r w:rsidRPr="00A34D92">
        <w:rPr>
          <w:sz w:val="24"/>
          <w:szCs w:val="24"/>
        </w:rPr>
        <w:t xml:space="preserve"> is provided with an explanation as to how the comparison is made; </w:t>
      </w:r>
    </w:p>
    <w:p w:rsidR="007C12D5" w:rsidRDefault="007C12D5" w:rsidP="007C12D5">
      <w:pPr>
        <w:pStyle w:val="ListParagraph"/>
        <w:numPr>
          <w:ilvl w:val="0"/>
          <w:numId w:val="27"/>
        </w:numPr>
        <w:tabs>
          <w:tab w:val="clear" w:pos="1440"/>
          <w:tab w:val="num" w:pos="709"/>
        </w:tabs>
        <w:ind w:left="709" w:hanging="283"/>
        <w:jc w:val="both"/>
        <w:rPr>
          <w:sz w:val="24"/>
          <w:szCs w:val="24"/>
        </w:rPr>
      </w:pPr>
      <w:r>
        <w:rPr>
          <w:sz w:val="24"/>
          <w:szCs w:val="24"/>
        </w:rPr>
        <w:t>W</w:t>
      </w:r>
      <w:r w:rsidRPr="00A34D92">
        <w:rPr>
          <w:sz w:val="24"/>
          <w:szCs w:val="24"/>
        </w:rPr>
        <w:t>here the underlying methodology for calcul</w:t>
      </w:r>
      <w:r>
        <w:rPr>
          <w:sz w:val="24"/>
          <w:szCs w:val="24"/>
        </w:rPr>
        <w:t xml:space="preserve">ating the data has been revised, </w:t>
      </w:r>
      <w:r w:rsidRPr="00A34D92">
        <w:rPr>
          <w:sz w:val="24"/>
          <w:szCs w:val="24"/>
        </w:rPr>
        <w:t xml:space="preserve">direct comparisons with previous years </w:t>
      </w:r>
      <w:r>
        <w:rPr>
          <w:sz w:val="24"/>
          <w:szCs w:val="24"/>
        </w:rPr>
        <w:t xml:space="preserve">is difficult and potentially misleading. </w:t>
      </w:r>
      <w:r w:rsidRPr="00A34D92">
        <w:rPr>
          <w:sz w:val="24"/>
          <w:szCs w:val="24"/>
        </w:rPr>
        <w:t xml:space="preserve">Where this is </w:t>
      </w:r>
      <w:r>
        <w:rPr>
          <w:sz w:val="24"/>
          <w:szCs w:val="24"/>
        </w:rPr>
        <w:t>the case no comparison is made with data from previous years.</w:t>
      </w:r>
    </w:p>
    <w:p w:rsidR="007C12D5" w:rsidRDefault="007C12D5" w:rsidP="007C12D5">
      <w:pPr>
        <w:jc w:val="both"/>
        <w:rPr>
          <w:sz w:val="24"/>
          <w:szCs w:val="24"/>
        </w:rPr>
      </w:pPr>
      <w:r>
        <w:rPr>
          <w:sz w:val="24"/>
          <w:szCs w:val="24"/>
        </w:rPr>
        <w:t xml:space="preserve">The Report covers 35 indicators with a total of 176 pieces of data.  Where relevant contextual notes are provided by local authorities and published with the respective tables </w:t>
      </w:r>
    </w:p>
    <w:p w:rsidR="007C12D5" w:rsidRPr="00D7003D" w:rsidRDefault="007C12D5" w:rsidP="007C12D5">
      <w:pPr>
        <w:jc w:val="both"/>
        <w:rPr>
          <w:color w:val="1F497D" w:themeColor="text2"/>
          <w:sz w:val="24"/>
          <w:szCs w:val="24"/>
        </w:rPr>
      </w:pPr>
      <w:r w:rsidRPr="00D7003D">
        <w:rPr>
          <w:b/>
          <w:color w:val="1F497D" w:themeColor="text2"/>
          <w:sz w:val="24"/>
          <w:szCs w:val="24"/>
        </w:rPr>
        <w:t>Reporting of Averages - Mean Average / Median Average</w:t>
      </w:r>
    </w:p>
    <w:p w:rsidR="007C12D5" w:rsidRDefault="007C12D5" w:rsidP="007C12D5">
      <w:pPr>
        <w:jc w:val="both"/>
        <w:rPr>
          <w:sz w:val="24"/>
          <w:szCs w:val="24"/>
        </w:rPr>
      </w:pPr>
      <w:r>
        <w:rPr>
          <w:sz w:val="24"/>
          <w:szCs w:val="24"/>
        </w:rPr>
        <w:t xml:space="preserve">The mean average is obtained by aggregating a number of scores and dividing the total by the number of scores. It is appropriate to use the mean average when discussing the distribution of a count between the total </w:t>
      </w:r>
      <w:proofErr w:type="gramStart"/>
      <w:r>
        <w:rPr>
          <w:sz w:val="24"/>
          <w:szCs w:val="24"/>
        </w:rPr>
        <w:t>number</w:t>
      </w:r>
      <w:proofErr w:type="gramEnd"/>
      <w:r>
        <w:rPr>
          <w:sz w:val="24"/>
          <w:szCs w:val="24"/>
        </w:rPr>
        <w:t>.</w:t>
      </w:r>
    </w:p>
    <w:p w:rsidR="007C12D5" w:rsidRPr="00A701C2" w:rsidRDefault="007C12D5" w:rsidP="007C12D5">
      <w:pPr>
        <w:jc w:val="both"/>
        <w:rPr>
          <w:sz w:val="24"/>
          <w:szCs w:val="24"/>
        </w:rPr>
      </w:pPr>
      <w:r>
        <w:rPr>
          <w:sz w:val="24"/>
          <w:szCs w:val="24"/>
        </w:rPr>
        <w:t xml:space="preserve">The median average is obtained by placing all the numbers in rank order and finding the value that sits half-way between the smallest and the largest number. It is more accurate to emphasise the median average when looking at most of the performance indicators. This is because they are small sets of numbers and divergent scores (outliers) can disproportionately bias the mean average, making it unrepresentative of the majority of scores. </w:t>
      </w:r>
    </w:p>
    <w:p w:rsidR="007C12D5" w:rsidRDefault="007C12D5" w:rsidP="007C12D5">
      <w:pPr>
        <w:jc w:val="both"/>
        <w:rPr>
          <w:b/>
          <w:color w:val="1F497D" w:themeColor="text2"/>
          <w:sz w:val="24"/>
          <w:szCs w:val="24"/>
        </w:rPr>
      </w:pPr>
    </w:p>
    <w:p w:rsidR="007C12D5" w:rsidRDefault="007C12D5" w:rsidP="007C12D5">
      <w:pPr>
        <w:ind w:left="360"/>
        <w:jc w:val="both"/>
        <w:rPr>
          <w:b/>
        </w:rPr>
      </w:pPr>
      <w:r>
        <w:rPr>
          <w:b/>
        </w:rPr>
        <w:br w:type="page"/>
      </w:r>
    </w:p>
    <w:p w:rsidR="007C12D5" w:rsidRDefault="007C12D5" w:rsidP="007C12D5">
      <w:pPr>
        <w:pStyle w:val="PISectionHeading"/>
      </w:pPr>
      <w:bookmarkStart w:id="13" w:name="_Toc436926476"/>
      <w:r>
        <w:lastRenderedPageBreak/>
        <w:t>Part Two: Findings</w:t>
      </w:r>
      <w:bookmarkEnd w:id="13"/>
      <w:r>
        <w:t xml:space="preserve"> </w:t>
      </w:r>
    </w:p>
    <w:p w:rsidR="007C12D5" w:rsidRPr="00D7003D" w:rsidRDefault="007C12D5" w:rsidP="007C12D5">
      <w:pPr>
        <w:jc w:val="both"/>
        <w:rPr>
          <w:sz w:val="24"/>
          <w:szCs w:val="24"/>
        </w:rPr>
      </w:pPr>
      <w:r>
        <w:rPr>
          <w:b/>
          <w:color w:val="1F497D" w:themeColor="text2"/>
          <w:sz w:val="28"/>
          <w:szCs w:val="28"/>
        </w:rPr>
        <w:t>2.1</w:t>
      </w:r>
      <w:r>
        <w:rPr>
          <w:b/>
          <w:color w:val="1F497D" w:themeColor="text2"/>
          <w:sz w:val="28"/>
          <w:szCs w:val="28"/>
        </w:rPr>
        <w:tab/>
      </w:r>
      <w:r w:rsidRPr="00D7003D">
        <w:rPr>
          <w:b/>
          <w:color w:val="1F497D" w:themeColor="text2"/>
          <w:sz w:val="28"/>
          <w:szCs w:val="28"/>
        </w:rPr>
        <w:t>Housing</w:t>
      </w:r>
      <w:r w:rsidRPr="00D7003D">
        <w:rPr>
          <w:sz w:val="24"/>
          <w:szCs w:val="24"/>
        </w:rPr>
        <w:t xml:space="preserve"> </w:t>
      </w:r>
    </w:p>
    <w:p w:rsidR="007C12D5" w:rsidRPr="008F6D93" w:rsidRDefault="007C12D5" w:rsidP="007C12D5">
      <w:pPr>
        <w:jc w:val="both"/>
        <w:rPr>
          <w:sz w:val="24"/>
          <w:szCs w:val="24"/>
        </w:rPr>
      </w:pPr>
      <w:r w:rsidRPr="008F6D93">
        <w:rPr>
          <w:sz w:val="24"/>
          <w:szCs w:val="24"/>
        </w:rPr>
        <w:t xml:space="preserve">The provision of housing and housing services is a key local authority function. </w:t>
      </w:r>
      <w:r>
        <w:rPr>
          <w:sz w:val="24"/>
          <w:szCs w:val="24"/>
        </w:rPr>
        <w:t xml:space="preserve"> The 2014 </w:t>
      </w:r>
      <w:r w:rsidRPr="008F6D93">
        <w:rPr>
          <w:sz w:val="24"/>
          <w:szCs w:val="24"/>
        </w:rPr>
        <w:t xml:space="preserve">performance indicators </w:t>
      </w:r>
      <w:r>
        <w:rPr>
          <w:sz w:val="24"/>
          <w:szCs w:val="24"/>
        </w:rPr>
        <w:t>focus on a range of inputs and outputs in this area and</w:t>
      </w:r>
      <w:r w:rsidRPr="008F6D93">
        <w:rPr>
          <w:sz w:val="24"/>
          <w:szCs w:val="24"/>
        </w:rPr>
        <w:t xml:space="preserve"> provide data on  </w:t>
      </w:r>
    </w:p>
    <w:p w:rsidR="007C12D5" w:rsidRPr="008F6D93" w:rsidRDefault="007C12D5" w:rsidP="007C12D5">
      <w:pPr>
        <w:pStyle w:val="ListParagraph"/>
        <w:numPr>
          <w:ilvl w:val="1"/>
          <w:numId w:val="15"/>
        </w:numPr>
        <w:spacing w:after="0"/>
        <w:ind w:left="851" w:hanging="284"/>
        <w:jc w:val="both"/>
        <w:rPr>
          <w:sz w:val="24"/>
          <w:szCs w:val="24"/>
        </w:rPr>
      </w:pPr>
      <w:r w:rsidRPr="008F6D93">
        <w:rPr>
          <w:sz w:val="24"/>
          <w:szCs w:val="24"/>
        </w:rPr>
        <w:t>Social housing stock and the means of provision of dwellings;</w:t>
      </w:r>
    </w:p>
    <w:p w:rsidR="007C12D5" w:rsidRPr="008F6D93" w:rsidRDefault="007C12D5" w:rsidP="007C12D5">
      <w:pPr>
        <w:pStyle w:val="ListParagraph"/>
        <w:numPr>
          <w:ilvl w:val="1"/>
          <w:numId w:val="15"/>
        </w:numPr>
        <w:ind w:left="851" w:hanging="284"/>
        <w:jc w:val="both"/>
        <w:rPr>
          <w:sz w:val="24"/>
          <w:szCs w:val="24"/>
        </w:rPr>
      </w:pPr>
      <w:r w:rsidRPr="008F6D93">
        <w:rPr>
          <w:sz w:val="24"/>
          <w:szCs w:val="24"/>
        </w:rPr>
        <w:t xml:space="preserve">Percentage of dwellings vacant </w:t>
      </w:r>
      <w:r>
        <w:rPr>
          <w:sz w:val="24"/>
          <w:szCs w:val="24"/>
        </w:rPr>
        <w:t xml:space="preserve">as </w:t>
      </w:r>
      <w:r w:rsidRPr="008F6D93">
        <w:rPr>
          <w:sz w:val="24"/>
          <w:szCs w:val="24"/>
        </w:rPr>
        <w:t xml:space="preserve">at </w:t>
      </w:r>
      <w:r>
        <w:rPr>
          <w:sz w:val="24"/>
          <w:szCs w:val="24"/>
        </w:rPr>
        <w:t>31/12/2014</w:t>
      </w:r>
      <w:r w:rsidRPr="008F6D93">
        <w:rPr>
          <w:sz w:val="24"/>
          <w:szCs w:val="24"/>
        </w:rPr>
        <w:t>;</w:t>
      </w:r>
    </w:p>
    <w:p w:rsidR="007C12D5" w:rsidRPr="008F6D93" w:rsidRDefault="007C12D5" w:rsidP="007C12D5">
      <w:pPr>
        <w:pStyle w:val="ListParagraph"/>
        <w:numPr>
          <w:ilvl w:val="1"/>
          <w:numId w:val="15"/>
        </w:numPr>
        <w:ind w:left="851" w:hanging="284"/>
        <w:jc w:val="both"/>
        <w:rPr>
          <w:sz w:val="24"/>
          <w:szCs w:val="24"/>
        </w:rPr>
      </w:pPr>
      <w:r w:rsidRPr="008F6D93">
        <w:rPr>
          <w:sz w:val="24"/>
          <w:szCs w:val="24"/>
        </w:rPr>
        <w:t>Average re-letting time for dwellings and re-let cost per unit</w:t>
      </w:r>
      <w:r>
        <w:rPr>
          <w:sz w:val="24"/>
          <w:szCs w:val="24"/>
        </w:rPr>
        <w:t xml:space="preserve"> and</w:t>
      </w:r>
    </w:p>
    <w:p w:rsidR="007C12D5" w:rsidRPr="008F6D93" w:rsidRDefault="007C12D5" w:rsidP="007C12D5">
      <w:pPr>
        <w:pStyle w:val="ListParagraph"/>
        <w:numPr>
          <w:ilvl w:val="1"/>
          <w:numId w:val="15"/>
        </w:numPr>
        <w:ind w:left="851" w:hanging="284"/>
        <w:jc w:val="both"/>
        <w:rPr>
          <w:sz w:val="24"/>
          <w:szCs w:val="24"/>
        </w:rPr>
      </w:pPr>
      <w:r w:rsidRPr="008F6D93">
        <w:rPr>
          <w:sz w:val="24"/>
          <w:szCs w:val="24"/>
        </w:rPr>
        <w:t>The number of inspections carried out on registered tenancies.</w:t>
      </w:r>
    </w:p>
    <w:p w:rsidR="007C12D5" w:rsidRDefault="007C12D5" w:rsidP="007C12D5">
      <w:pPr>
        <w:jc w:val="both"/>
        <w:rPr>
          <w:rFonts w:cs="Calibri"/>
          <w:sz w:val="24"/>
          <w:szCs w:val="24"/>
        </w:rPr>
      </w:pPr>
      <w:r>
        <w:rPr>
          <w:sz w:val="24"/>
          <w:szCs w:val="24"/>
        </w:rPr>
        <w:t xml:space="preserve">New performance indicators record both the total number of social housing dwellings provided by the sector in the period 01/01/2014 to 31/12/2014 and the means by which they were provided.  </w:t>
      </w:r>
      <w:r w:rsidRPr="008F6D93">
        <w:rPr>
          <w:sz w:val="24"/>
          <w:szCs w:val="24"/>
        </w:rPr>
        <w:t>T</w:t>
      </w:r>
      <w:r w:rsidRPr="008F6D93">
        <w:rPr>
          <w:rFonts w:cs="Calibri"/>
          <w:sz w:val="24"/>
          <w:szCs w:val="24"/>
        </w:rPr>
        <w:t xml:space="preserve">he total number of dwellings provided by the local authority sector </w:t>
      </w:r>
      <w:r>
        <w:rPr>
          <w:rFonts w:cs="Calibri"/>
          <w:sz w:val="24"/>
          <w:szCs w:val="24"/>
        </w:rPr>
        <w:t>during</w:t>
      </w:r>
      <w:r w:rsidRPr="008F6D93">
        <w:rPr>
          <w:rFonts w:cs="Calibri"/>
          <w:sz w:val="24"/>
          <w:szCs w:val="24"/>
        </w:rPr>
        <w:t xml:space="preserve"> </w:t>
      </w:r>
      <w:r>
        <w:rPr>
          <w:rFonts w:cs="Calibri"/>
          <w:sz w:val="24"/>
          <w:szCs w:val="24"/>
        </w:rPr>
        <w:t xml:space="preserve">the year 2014 </w:t>
      </w:r>
      <w:r w:rsidRPr="008F6D93">
        <w:rPr>
          <w:rFonts w:cs="Calibri"/>
          <w:sz w:val="24"/>
          <w:szCs w:val="24"/>
        </w:rPr>
        <w:t>was 3,830. The introduction of the Housing Assistance Payment Scheme (HAP) in 2014, initially on a pilot basis to Limerick City and County Council and subsequently on an incremental basis to</w:t>
      </w:r>
      <w:r>
        <w:rPr>
          <w:rFonts w:cs="Calibri"/>
          <w:sz w:val="24"/>
          <w:szCs w:val="24"/>
        </w:rPr>
        <w:t xml:space="preserve"> five</w:t>
      </w:r>
      <w:r w:rsidRPr="008F6D93">
        <w:rPr>
          <w:rFonts w:cs="Calibri"/>
          <w:sz w:val="24"/>
          <w:szCs w:val="24"/>
        </w:rPr>
        <w:t xml:space="preserve"> other local authorities</w:t>
      </w:r>
      <w:r>
        <w:rPr>
          <w:rStyle w:val="FootnoteReference"/>
          <w:rFonts w:cs="Calibri"/>
          <w:sz w:val="24"/>
          <w:szCs w:val="24"/>
        </w:rPr>
        <w:footnoteReference w:id="2"/>
      </w:r>
      <w:r w:rsidRPr="008F6D93">
        <w:rPr>
          <w:rFonts w:cs="Calibri"/>
          <w:sz w:val="24"/>
          <w:szCs w:val="24"/>
        </w:rPr>
        <w:t xml:space="preserve">, saw 12.39% of dwellings being allocated through this mechanism. </w:t>
      </w:r>
    </w:p>
    <w:p w:rsidR="007C12D5" w:rsidRPr="008F6D93" w:rsidRDefault="007C12D5" w:rsidP="007C12D5">
      <w:pPr>
        <w:rPr>
          <w:rFonts w:cs="Calibri"/>
          <w:sz w:val="24"/>
          <w:szCs w:val="24"/>
        </w:rPr>
      </w:pPr>
    </w:p>
    <w:p w:rsidR="007C12D5" w:rsidRDefault="007C12D5" w:rsidP="007C12D5">
      <w:pPr>
        <w:rPr>
          <w:rFonts w:cs="Calibri"/>
          <w:sz w:val="23"/>
          <w:szCs w:val="23"/>
        </w:rPr>
      </w:pPr>
      <w:r>
        <w:rPr>
          <w:rFonts w:cs="Calibri"/>
        </w:rPr>
        <w:t xml:space="preserve">   </w:t>
      </w:r>
      <w:r>
        <w:rPr>
          <w:rFonts w:cs="Calibri"/>
          <w:noProof/>
          <w:sz w:val="23"/>
          <w:szCs w:val="23"/>
          <w:lang w:eastAsia="en-IE"/>
        </w:rPr>
        <w:drawing>
          <wp:inline distT="0" distB="0" distL="0" distR="0" wp14:anchorId="233721FF" wp14:editId="151FF86D">
            <wp:extent cx="2569771" cy="3111335"/>
            <wp:effectExtent l="19050" t="0" r="21029" b="0"/>
            <wp:docPr id="8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cs="Calibri"/>
        </w:rPr>
        <w:t xml:space="preserve">  </w:t>
      </w:r>
      <w:r>
        <w:rPr>
          <w:rFonts w:cs="Calibri"/>
          <w:noProof/>
          <w:lang w:eastAsia="en-IE"/>
        </w:rPr>
        <w:drawing>
          <wp:inline distT="0" distB="0" distL="0" distR="0" wp14:anchorId="068A1756" wp14:editId="7AADF862">
            <wp:extent cx="2709924" cy="3111335"/>
            <wp:effectExtent l="19050" t="0" r="14226" b="0"/>
            <wp:docPr id="8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1316F" w:rsidRDefault="007C12D5" w:rsidP="007C12D5">
      <w:pPr>
        <w:jc w:val="both"/>
        <w:rPr>
          <w:rFonts w:eastAsia="Times New Roman"/>
          <w:bCs/>
          <w:color w:val="000000"/>
          <w:sz w:val="24"/>
          <w:szCs w:val="24"/>
          <w:lang w:eastAsia="en-IE"/>
        </w:rPr>
      </w:pPr>
      <w:r w:rsidRPr="008F6D93">
        <w:rPr>
          <w:rFonts w:cs="Calibri"/>
          <w:sz w:val="24"/>
          <w:szCs w:val="24"/>
        </w:rPr>
        <w:t xml:space="preserve">The total number of social housing dwellings </w:t>
      </w:r>
      <w:r>
        <w:rPr>
          <w:rFonts w:cs="Calibri"/>
          <w:sz w:val="24"/>
          <w:szCs w:val="24"/>
        </w:rPr>
        <w:t>in the sector</w:t>
      </w:r>
      <w:r w:rsidRPr="008F6D93">
        <w:rPr>
          <w:rFonts w:cs="Calibri"/>
          <w:sz w:val="24"/>
          <w:szCs w:val="24"/>
        </w:rPr>
        <w:t xml:space="preserve"> </w:t>
      </w:r>
      <w:r>
        <w:rPr>
          <w:rFonts w:cs="Calibri"/>
          <w:sz w:val="24"/>
          <w:szCs w:val="24"/>
        </w:rPr>
        <w:t xml:space="preserve">as </w:t>
      </w:r>
      <w:r w:rsidRPr="008F6D93">
        <w:rPr>
          <w:rFonts w:cs="Calibri"/>
          <w:sz w:val="24"/>
          <w:szCs w:val="24"/>
        </w:rPr>
        <w:t>at 3</w:t>
      </w:r>
      <w:r>
        <w:rPr>
          <w:rFonts w:cs="Calibri"/>
          <w:sz w:val="24"/>
          <w:szCs w:val="24"/>
        </w:rPr>
        <w:t>1/12/</w:t>
      </w:r>
      <w:r w:rsidRPr="008F6D93">
        <w:rPr>
          <w:rFonts w:cs="Calibri"/>
          <w:sz w:val="24"/>
          <w:szCs w:val="24"/>
        </w:rPr>
        <w:t xml:space="preserve">2014 </w:t>
      </w:r>
      <w:r>
        <w:rPr>
          <w:rFonts w:cs="Calibri"/>
          <w:sz w:val="24"/>
          <w:szCs w:val="24"/>
        </w:rPr>
        <w:t xml:space="preserve">was </w:t>
      </w:r>
      <w:r w:rsidRPr="008F6D93">
        <w:rPr>
          <w:rFonts w:eastAsia="Times New Roman"/>
          <w:bCs/>
          <w:color w:val="000000"/>
          <w:sz w:val="24"/>
          <w:szCs w:val="24"/>
          <w:lang w:eastAsia="en-IE"/>
        </w:rPr>
        <w:t xml:space="preserve">153,773. </w:t>
      </w:r>
      <w:r w:rsidR="00C1316F">
        <w:rPr>
          <w:rFonts w:eastAsia="Times New Roman"/>
          <w:bCs/>
          <w:color w:val="000000"/>
          <w:sz w:val="24"/>
          <w:szCs w:val="24"/>
          <w:lang w:eastAsia="en-IE"/>
        </w:rPr>
        <w:t xml:space="preserve"> </w:t>
      </w:r>
      <w:r w:rsidR="0044486A" w:rsidRPr="00F82540">
        <w:rPr>
          <w:rFonts w:eastAsia="Times New Roman"/>
          <w:bCs/>
          <w:color w:val="000000"/>
          <w:sz w:val="24"/>
          <w:szCs w:val="24"/>
          <w:lang w:eastAsia="en-IE"/>
        </w:rPr>
        <w:t>Of this stock 129,511 were directly provided by local authorities</w:t>
      </w:r>
      <w:r w:rsidR="00C1316F" w:rsidRPr="00F82540">
        <w:rPr>
          <w:rFonts w:eastAsia="Times New Roman"/>
          <w:bCs/>
          <w:color w:val="000000"/>
          <w:sz w:val="24"/>
          <w:szCs w:val="24"/>
          <w:lang w:eastAsia="en-IE"/>
        </w:rPr>
        <w:t>.  This represents a slight decrease from the aggregate number of directly provided units by local authorities in 2013.  It should be noted however that</w:t>
      </w:r>
      <w:r w:rsidR="0044486A" w:rsidRPr="00F82540">
        <w:rPr>
          <w:rFonts w:eastAsia="Times New Roman"/>
          <w:bCs/>
          <w:color w:val="000000"/>
          <w:sz w:val="24"/>
          <w:szCs w:val="24"/>
          <w:lang w:eastAsia="en-IE"/>
        </w:rPr>
        <w:t xml:space="preserve">, </w:t>
      </w:r>
      <w:r w:rsidR="00C1316F" w:rsidRPr="00F82540">
        <w:rPr>
          <w:rFonts w:eastAsia="Times New Roman"/>
          <w:bCs/>
          <w:color w:val="000000"/>
          <w:sz w:val="24"/>
          <w:szCs w:val="24"/>
          <w:lang w:eastAsia="en-IE"/>
        </w:rPr>
        <w:t xml:space="preserve">as in the case of Dublin City Council, a number of single </w:t>
      </w:r>
      <w:r w:rsidR="00C1316F" w:rsidRPr="00F82540">
        <w:rPr>
          <w:rFonts w:eastAsia="Times New Roman"/>
          <w:bCs/>
          <w:color w:val="000000"/>
          <w:sz w:val="24"/>
          <w:szCs w:val="24"/>
          <w:lang w:eastAsia="en-IE"/>
        </w:rPr>
        <w:lastRenderedPageBreak/>
        <w:t xml:space="preserve">void units were amalgamated into larger units as part of the refurbishment programme.  This would have caused some of the reduction in the total number of housing stock.  Some tenant purchases completed in 2014 would have been a further contributing factor.  </w:t>
      </w:r>
    </w:p>
    <w:p w:rsidR="007C12D5" w:rsidRDefault="007C12D5" w:rsidP="007C12D5">
      <w:pPr>
        <w:jc w:val="both"/>
        <w:rPr>
          <w:rFonts w:cs="Calibri"/>
          <w:sz w:val="24"/>
          <w:szCs w:val="24"/>
        </w:rPr>
      </w:pPr>
      <w:r>
        <w:rPr>
          <w:rFonts w:eastAsia="Times New Roman"/>
          <w:bCs/>
          <w:color w:val="000000"/>
          <w:sz w:val="24"/>
          <w:szCs w:val="24"/>
          <w:lang w:eastAsia="en-IE"/>
        </w:rPr>
        <w:t xml:space="preserve">Graph 5 above shows that </w:t>
      </w:r>
      <w:r w:rsidRPr="008F6D93">
        <w:rPr>
          <w:rFonts w:cs="Calibri"/>
          <w:sz w:val="24"/>
          <w:szCs w:val="24"/>
        </w:rPr>
        <w:t>84.22%</w:t>
      </w:r>
      <w:r>
        <w:rPr>
          <w:rFonts w:cs="Calibri"/>
          <w:sz w:val="24"/>
          <w:szCs w:val="24"/>
        </w:rPr>
        <w:t xml:space="preserve"> of the housing stock in 2014 was </w:t>
      </w:r>
      <w:r w:rsidRPr="008F6D93">
        <w:rPr>
          <w:rFonts w:cs="Calibri"/>
          <w:sz w:val="24"/>
          <w:szCs w:val="24"/>
        </w:rPr>
        <w:t xml:space="preserve">directly provided by local authorities with the remainder </w:t>
      </w:r>
      <w:r>
        <w:rPr>
          <w:rFonts w:cs="Calibri"/>
          <w:sz w:val="24"/>
          <w:szCs w:val="24"/>
        </w:rPr>
        <w:t xml:space="preserve">being </w:t>
      </w:r>
      <w:r w:rsidRPr="008F6D93">
        <w:rPr>
          <w:rFonts w:cs="Calibri"/>
          <w:sz w:val="24"/>
          <w:szCs w:val="24"/>
        </w:rPr>
        <w:t xml:space="preserve">provided through </w:t>
      </w:r>
      <w:r>
        <w:rPr>
          <w:rFonts w:cs="Calibri"/>
          <w:sz w:val="24"/>
          <w:szCs w:val="24"/>
        </w:rPr>
        <w:t>Rental Accommodation Scheme (RAS), Social Housing Leasing Initiative (SHLI)</w:t>
      </w:r>
      <w:r w:rsidRPr="008F6D93">
        <w:rPr>
          <w:rFonts w:cs="Calibri"/>
          <w:sz w:val="24"/>
          <w:szCs w:val="24"/>
        </w:rPr>
        <w:t xml:space="preserve"> and </w:t>
      </w:r>
      <w:r>
        <w:rPr>
          <w:rFonts w:cs="Calibri"/>
          <w:sz w:val="24"/>
          <w:szCs w:val="24"/>
        </w:rPr>
        <w:t>HAP</w:t>
      </w:r>
      <w:r w:rsidRPr="008F6D93">
        <w:rPr>
          <w:rFonts w:cs="Calibri"/>
          <w:sz w:val="24"/>
          <w:szCs w:val="24"/>
        </w:rPr>
        <w:t>.</w:t>
      </w:r>
    </w:p>
    <w:p w:rsidR="007C12D5" w:rsidRDefault="007C12D5" w:rsidP="007C12D5">
      <w:pPr>
        <w:jc w:val="both"/>
        <w:rPr>
          <w:rFonts w:cs="Calibri"/>
          <w:sz w:val="24"/>
          <w:szCs w:val="24"/>
        </w:rPr>
      </w:pPr>
      <w:r w:rsidRPr="008F6D93">
        <w:rPr>
          <w:rFonts w:cs="Calibri"/>
          <w:sz w:val="24"/>
          <w:szCs w:val="24"/>
        </w:rPr>
        <w:t>This</w:t>
      </w:r>
      <w:r>
        <w:rPr>
          <w:rFonts w:cs="Calibri"/>
          <w:sz w:val="24"/>
          <w:szCs w:val="24"/>
        </w:rPr>
        <w:t xml:space="preserve"> i</w:t>
      </w:r>
      <w:r w:rsidRPr="008F6D93">
        <w:rPr>
          <w:rFonts w:cs="Calibri"/>
          <w:sz w:val="24"/>
          <w:szCs w:val="24"/>
        </w:rPr>
        <w:t xml:space="preserve">ndicator also measures the percentage of directly provided social housing stock that was vacant </w:t>
      </w:r>
      <w:r>
        <w:rPr>
          <w:rFonts w:cs="Calibri"/>
          <w:sz w:val="24"/>
          <w:szCs w:val="24"/>
        </w:rPr>
        <w:t xml:space="preserve">as </w:t>
      </w:r>
      <w:r w:rsidRPr="008F6D93">
        <w:rPr>
          <w:rFonts w:cs="Calibri"/>
          <w:sz w:val="24"/>
          <w:szCs w:val="24"/>
        </w:rPr>
        <w:t xml:space="preserve">at </w:t>
      </w:r>
      <w:r>
        <w:rPr>
          <w:sz w:val="24"/>
          <w:szCs w:val="24"/>
        </w:rPr>
        <w:t>31/12/2014</w:t>
      </w:r>
      <w:r w:rsidRPr="008F6D93">
        <w:rPr>
          <w:rFonts w:cs="Calibri"/>
          <w:sz w:val="24"/>
          <w:szCs w:val="24"/>
        </w:rPr>
        <w:t xml:space="preserve">. </w:t>
      </w:r>
      <w:r w:rsidRPr="008F6D93">
        <w:rPr>
          <w:rFonts w:cs="Calibri"/>
          <w:sz w:val="24"/>
          <w:szCs w:val="24"/>
          <w:shd w:val="clear" w:color="auto" w:fill="FFFFFF" w:themeFill="background1"/>
        </w:rPr>
        <w:t>The median average percentage of vacant units was 2.89%. Based on data provided</w:t>
      </w:r>
      <w:r>
        <w:rPr>
          <w:rFonts w:cs="Calibri"/>
          <w:sz w:val="24"/>
          <w:szCs w:val="24"/>
          <w:shd w:val="clear" w:color="auto" w:fill="FFFFFF" w:themeFill="background1"/>
        </w:rPr>
        <w:t>,</w:t>
      </w:r>
      <w:r w:rsidRPr="008F6D93">
        <w:rPr>
          <w:rFonts w:cs="Calibri"/>
          <w:sz w:val="24"/>
          <w:szCs w:val="24"/>
          <w:shd w:val="clear" w:color="auto" w:fill="FFFFFF" w:themeFill="background1"/>
        </w:rPr>
        <w:t xml:space="preserve"> a total of 4,9</w:t>
      </w:r>
      <w:r>
        <w:rPr>
          <w:rFonts w:cs="Calibri"/>
          <w:sz w:val="24"/>
          <w:szCs w:val="24"/>
          <w:shd w:val="clear" w:color="auto" w:fill="FFFFFF" w:themeFill="background1"/>
        </w:rPr>
        <w:t>19</w:t>
      </w:r>
      <w:r w:rsidRPr="008F6D93">
        <w:rPr>
          <w:rFonts w:cs="Calibri"/>
          <w:sz w:val="24"/>
          <w:szCs w:val="24"/>
          <w:shd w:val="clear" w:color="auto" w:fill="FFFFFF" w:themeFill="background1"/>
        </w:rPr>
        <w:t xml:space="preserve"> units were vacant which accounts for 3.8% of </w:t>
      </w:r>
      <w:r>
        <w:rPr>
          <w:rFonts w:cs="Calibri"/>
          <w:sz w:val="24"/>
          <w:szCs w:val="24"/>
          <w:shd w:val="clear" w:color="auto" w:fill="FFFFFF" w:themeFill="background1"/>
        </w:rPr>
        <w:t xml:space="preserve">the </w:t>
      </w:r>
      <w:r w:rsidRPr="008F6D93">
        <w:rPr>
          <w:rFonts w:cs="Calibri"/>
          <w:sz w:val="24"/>
          <w:szCs w:val="24"/>
          <w:shd w:val="clear" w:color="auto" w:fill="FFFFFF" w:themeFill="background1"/>
        </w:rPr>
        <w:t>sector’s directly provided social housing stock</w:t>
      </w:r>
      <w:proofErr w:type="gramStart"/>
      <w:r>
        <w:rPr>
          <w:rFonts w:cs="Calibri"/>
          <w:sz w:val="24"/>
          <w:szCs w:val="24"/>
          <w:shd w:val="clear" w:color="auto" w:fill="FFFFFF" w:themeFill="background1"/>
        </w:rPr>
        <w:t>.</w:t>
      </w:r>
      <w:r w:rsidRPr="008F6D93">
        <w:rPr>
          <w:rFonts w:cs="Calibri"/>
          <w:color w:val="FFFFFF" w:themeColor="background1"/>
          <w:sz w:val="24"/>
          <w:szCs w:val="24"/>
        </w:rPr>
        <w:t>.</w:t>
      </w:r>
      <w:proofErr w:type="gramEnd"/>
      <w:r w:rsidRPr="008F6D93">
        <w:rPr>
          <w:rFonts w:cs="Calibri"/>
          <w:sz w:val="24"/>
          <w:szCs w:val="24"/>
        </w:rPr>
        <w:t xml:space="preserve"> </w:t>
      </w:r>
      <w:r>
        <w:rPr>
          <w:rFonts w:cs="Calibri"/>
          <w:sz w:val="24"/>
          <w:szCs w:val="24"/>
        </w:rPr>
        <w:t>This</w:t>
      </w:r>
      <w:r w:rsidRPr="008F6D93">
        <w:rPr>
          <w:rFonts w:cs="Calibri"/>
          <w:sz w:val="24"/>
          <w:szCs w:val="24"/>
        </w:rPr>
        <w:t xml:space="preserve"> indicator includes both housing stock that was subject to major refurbishment</w:t>
      </w:r>
      <w:r>
        <w:rPr>
          <w:rFonts w:cs="Calibri"/>
          <w:sz w:val="24"/>
          <w:szCs w:val="24"/>
        </w:rPr>
        <w:t>,</w:t>
      </w:r>
      <w:r w:rsidRPr="008F6D93">
        <w:rPr>
          <w:rFonts w:cs="Calibri"/>
          <w:sz w:val="24"/>
          <w:szCs w:val="24"/>
        </w:rPr>
        <w:t xml:space="preserve"> and therefore unavailable for tenancy during that period</w:t>
      </w:r>
      <w:r>
        <w:rPr>
          <w:rFonts w:cs="Calibri"/>
          <w:sz w:val="24"/>
          <w:szCs w:val="24"/>
        </w:rPr>
        <w:t>,</w:t>
      </w:r>
      <w:r w:rsidRPr="008F6D93">
        <w:rPr>
          <w:rFonts w:cs="Calibri"/>
          <w:sz w:val="24"/>
          <w:szCs w:val="24"/>
        </w:rPr>
        <w:t xml:space="preserve"> and units for which there was no actual demand</w:t>
      </w:r>
      <w:r>
        <w:rPr>
          <w:rFonts w:cs="Calibri"/>
          <w:sz w:val="24"/>
          <w:szCs w:val="24"/>
        </w:rPr>
        <w:t xml:space="preserve">, thereby lying </w:t>
      </w:r>
      <w:r w:rsidRPr="008F6D93">
        <w:rPr>
          <w:rFonts w:cs="Calibri"/>
          <w:sz w:val="24"/>
          <w:szCs w:val="24"/>
        </w:rPr>
        <w:t xml:space="preserve">vacant. </w:t>
      </w:r>
      <w:r>
        <w:rPr>
          <w:rFonts w:cs="Calibri"/>
          <w:sz w:val="24"/>
          <w:szCs w:val="24"/>
        </w:rPr>
        <w:t xml:space="preserve">No direct comparison is made with data from previous years’ service indicators as the relevant indicator excluded dwellings that were subject to refurbishment.  </w:t>
      </w:r>
    </w:p>
    <w:p w:rsidR="007C12D5" w:rsidRDefault="007C12D5" w:rsidP="007C12D5">
      <w:pPr>
        <w:overflowPunct w:val="0"/>
        <w:autoSpaceDE w:val="0"/>
        <w:autoSpaceDN w:val="0"/>
        <w:adjustRightInd w:val="0"/>
        <w:jc w:val="both"/>
        <w:textAlignment w:val="baseline"/>
        <w:rPr>
          <w:rFonts w:cs="Calibri"/>
          <w:sz w:val="24"/>
          <w:szCs w:val="24"/>
        </w:rPr>
      </w:pPr>
      <w:r w:rsidRPr="008F6D93">
        <w:rPr>
          <w:rFonts w:cs="Calibri"/>
          <w:sz w:val="24"/>
          <w:szCs w:val="24"/>
        </w:rPr>
        <w:t xml:space="preserve">The </w:t>
      </w:r>
      <w:r>
        <w:rPr>
          <w:rFonts w:cs="Calibri"/>
          <w:sz w:val="24"/>
          <w:szCs w:val="24"/>
        </w:rPr>
        <w:t>p</w:t>
      </w:r>
      <w:r w:rsidRPr="008F6D93">
        <w:rPr>
          <w:rFonts w:cs="Calibri"/>
          <w:sz w:val="24"/>
          <w:szCs w:val="24"/>
        </w:rPr>
        <w:t xml:space="preserve">erformance </w:t>
      </w:r>
      <w:r>
        <w:rPr>
          <w:rFonts w:cs="Calibri"/>
          <w:sz w:val="24"/>
          <w:szCs w:val="24"/>
        </w:rPr>
        <w:t>i</w:t>
      </w:r>
      <w:r w:rsidRPr="008F6D93">
        <w:rPr>
          <w:rFonts w:cs="Calibri"/>
          <w:sz w:val="24"/>
          <w:szCs w:val="24"/>
        </w:rPr>
        <w:t xml:space="preserve">ndicators measure the average re-letting time for local authority dwellings, the average re-let cost per unit and the maintenance cost per unit per local authority. </w:t>
      </w:r>
      <w:r>
        <w:rPr>
          <w:rFonts w:cs="Calibri"/>
          <w:sz w:val="24"/>
          <w:szCs w:val="24"/>
        </w:rPr>
        <w:t xml:space="preserve">Data shows that the median average re-letting time increased from 22.2 weeks in 2013 to 24.48 weeks in 2014. </w:t>
      </w:r>
    </w:p>
    <w:p w:rsidR="007C12D5" w:rsidRDefault="007C12D5" w:rsidP="007C12D5">
      <w:pPr>
        <w:overflowPunct w:val="0"/>
        <w:autoSpaceDE w:val="0"/>
        <w:autoSpaceDN w:val="0"/>
        <w:adjustRightInd w:val="0"/>
        <w:textAlignment w:val="baseline"/>
        <w:rPr>
          <w:rFonts w:cs="Calibri"/>
          <w:sz w:val="24"/>
          <w:szCs w:val="24"/>
        </w:rPr>
      </w:pPr>
    </w:p>
    <w:tbl>
      <w:tblPr>
        <w:tblStyle w:val="LightShading-Accent11"/>
        <w:tblpPr w:leftFromText="180" w:rightFromText="180" w:vertAnchor="text" w:horzAnchor="page" w:tblpX="1978" w:tblpY="-29"/>
        <w:tblW w:w="6524" w:type="dxa"/>
        <w:tblLook w:val="04A0" w:firstRow="1" w:lastRow="0" w:firstColumn="1" w:lastColumn="0" w:noHBand="0" w:noVBand="1"/>
      </w:tblPr>
      <w:tblGrid>
        <w:gridCol w:w="1407"/>
        <w:gridCol w:w="1907"/>
        <w:gridCol w:w="1676"/>
        <w:gridCol w:w="1534"/>
      </w:tblGrid>
      <w:tr w:rsidR="007C12D5" w:rsidRPr="00D2277B" w:rsidTr="007C12D5">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07" w:type="dxa"/>
            <w:noWrap/>
            <w:hideMark/>
          </w:tcPr>
          <w:p w:rsidR="007C12D5" w:rsidRPr="00D2277B" w:rsidRDefault="007C12D5" w:rsidP="007C12D5">
            <w:pPr>
              <w:spacing w:line="276" w:lineRule="auto"/>
              <w:jc w:val="left"/>
              <w:rPr>
                <w:rFonts w:asciiTheme="minorHAnsi" w:eastAsia="Times New Roman" w:hAnsiTheme="minorHAnsi"/>
                <w:color w:val="1F497D" w:themeColor="text2"/>
                <w:lang w:eastAsia="en-IE"/>
              </w:rPr>
            </w:pPr>
            <w:r w:rsidRPr="00D2277B">
              <w:rPr>
                <w:rFonts w:asciiTheme="minorHAnsi" w:eastAsia="Times New Roman" w:hAnsiTheme="minorHAnsi"/>
                <w:color w:val="1F497D" w:themeColor="text2"/>
                <w:lang w:eastAsia="en-IE"/>
              </w:rPr>
              <w:t> Average</w:t>
            </w:r>
          </w:p>
        </w:tc>
        <w:tc>
          <w:tcPr>
            <w:tcW w:w="1907" w:type="dxa"/>
            <w:hideMark/>
          </w:tcPr>
          <w:p w:rsidR="007C12D5" w:rsidRPr="00D2277B" w:rsidRDefault="007C12D5" w:rsidP="007C12D5">
            <w:pPr>
              <w:spacing w:line="276" w:lineRule="auto"/>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1F497D" w:themeColor="text2"/>
                <w:lang w:eastAsia="en-IE"/>
              </w:rPr>
            </w:pPr>
            <w:r w:rsidRPr="00D2277B">
              <w:rPr>
                <w:rFonts w:asciiTheme="minorHAnsi" w:eastAsia="Times New Roman" w:hAnsiTheme="minorHAnsi"/>
                <w:color w:val="1F497D" w:themeColor="text2"/>
                <w:lang w:eastAsia="en-IE"/>
              </w:rPr>
              <w:t>Re-letting time (Weeks)</w:t>
            </w:r>
          </w:p>
        </w:tc>
        <w:tc>
          <w:tcPr>
            <w:tcW w:w="1676" w:type="dxa"/>
            <w:hideMark/>
          </w:tcPr>
          <w:p w:rsidR="007C12D5" w:rsidRPr="00D2277B" w:rsidRDefault="007C12D5" w:rsidP="007C12D5">
            <w:pPr>
              <w:spacing w:line="276" w:lineRule="auto"/>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1F497D" w:themeColor="text2"/>
                <w:lang w:eastAsia="en-IE"/>
              </w:rPr>
            </w:pPr>
            <w:r w:rsidRPr="00D2277B">
              <w:rPr>
                <w:rFonts w:asciiTheme="minorHAnsi" w:eastAsia="Times New Roman" w:hAnsiTheme="minorHAnsi"/>
                <w:color w:val="1F497D" w:themeColor="text2"/>
                <w:lang w:eastAsia="en-IE"/>
              </w:rPr>
              <w:t>Re-let cost average €</w:t>
            </w:r>
          </w:p>
        </w:tc>
        <w:tc>
          <w:tcPr>
            <w:tcW w:w="1534" w:type="dxa"/>
            <w:hideMark/>
          </w:tcPr>
          <w:p w:rsidR="007C12D5" w:rsidRPr="00D2277B" w:rsidRDefault="007C12D5" w:rsidP="007C12D5">
            <w:pPr>
              <w:spacing w:line="276" w:lineRule="auto"/>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1F497D" w:themeColor="text2"/>
                <w:lang w:eastAsia="en-IE"/>
              </w:rPr>
            </w:pPr>
            <w:r w:rsidRPr="00D2277B">
              <w:rPr>
                <w:rFonts w:asciiTheme="minorHAnsi" w:eastAsia="Times New Roman" w:hAnsiTheme="minorHAnsi"/>
                <w:color w:val="1F497D" w:themeColor="text2"/>
                <w:lang w:eastAsia="en-IE"/>
              </w:rPr>
              <w:t>Maintenance Cost by Unit €</w:t>
            </w:r>
          </w:p>
        </w:tc>
      </w:tr>
      <w:tr w:rsidR="007C12D5" w:rsidRPr="00D2277B" w:rsidTr="007C12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7" w:type="dxa"/>
            <w:noWrap/>
            <w:hideMark/>
          </w:tcPr>
          <w:p w:rsidR="007C12D5" w:rsidRPr="00D2277B" w:rsidRDefault="007C12D5" w:rsidP="007C12D5">
            <w:pPr>
              <w:spacing w:line="276" w:lineRule="auto"/>
              <w:jc w:val="left"/>
              <w:rPr>
                <w:rFonts w:asciiTheme="minorHAnsi" w:eastAsia="Times New Roman" w:hAnsiTheme="minorHAnsi"/>
                <w:color w:val="1F497D" w:themeColor="text2"/>
                <w:lang w:eastAsia="en-IE"/>
              </w:rPr>
            </w:pPr>
            <w:r w:rsidRPr="00D2277B">
              <w:rPr>
                <w:rFonts w:asciiTheme="minorHAnsi" w:eastAsia="Times New Roman" w:hAnsiTheme="minorHAnsi"/>
                <w:color w:val="1F497D" w:themeColor="text2"/>
                <w:lang w:eastAsia="en-IE"/>
              </w:rPr>
              <w:t xml:space="preserve">Median </w:t>
            </w:r>
          </w:p>
        </w:tc>
        <w:tc>
          <w:tcPr>
            <w:tcW w:w="1907" w:type="dxa"/>
            <w:noWrap/>
            <w:hideMark/>
          </w:tcPr>
          <w:p w:rsidR="007C12D5" w:rsidRPr="00D2277B" w:rsidRDefault="007C12D5" w:rsidP="007C12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1F497D" w:themeColor="text2"/>
                <w:lang w:eastAsia="en-IE"/>
              </w:rPr>
            </w:pPr>
            <w:r>
              <w:rPr>
                <w:rFonts w:asciiTheme="minorHAnsi" w:eastAsia="Times New Roman" w:hAnsiTheme="minorHAnsi"/>
                <w:color w:val="1F497D" w:themeColor="text2"/>
                <w:lang w:eastAsia="en-IE"/>
              </w:rPr>
              <w:t>24.48</w:t>
            </w:r>
          </w:p>
        </w:tc>
        <w:tc>
          <w:tcPr>
            <w:tcW w:w="1676" w:type="dxa"/>
            <w:noWrap/>
            <w:hideMark/>
          </w:tcPr>
          <w:p w:rsidR="007C12D5" w:rsidRPr="00D2277B" w:rsidRDefault="007C12D5" w:rsidP="007C12D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1F497D" w:themeColor="text2"/>
                <w:lang w:eastAsia="en-IE"/>
              </w:rPr>
            </w:pPr>
            <w:r w:rsidRPr="00D2277B">
              <w:rPr>
                <w:rFonts w:asciiTheme="minorHAnsi" w:eastAsia="Times New Roman" w:hAnsiTheme="minorHAnsi"/>
                <w:color w:val="1F497D" w:themeColor="text2"/>
                <w:lang w:eastAsia="en-IE"/>
              </w:rPr>
              <w:t>8375.0</w:t>
            </w:r>
          </w:p>
        </w:tc>
        <w:tc>
          <w:tcPr>
            <w:tcW w:w="1534" w:type="dxa"/>
            <w:noWrap/>
            <w:hideMark/>
          </w:tcPr>
          <w:p w:rsidR="007C12D5" w:rsidRPr="00D2277B" w:rsidRDefault="007C12D5" w:rsidP="007C12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1F497D" w:themeColor="text2"/>
                <w:lang w:eastAsia="en-IE"/>
              </w:rPr>
            </w:pPr>
            <w:r w:rsidRPr="00D2277B">
              <w:rPr>
                <w:rFonts w:asciiTheme="minorHAnsi" w:eastAsia="Times New Roman" w:hAnsiTheme="minorHAnsi"/>
                <w:color w:val="1F497D" w:themeColor="text2"/>
                <w:lang w:eastAsia="en-IE"/>
              </w:rPr>
              <w:t>758.3</w:t>
            </w:r>
          </w:p>
        </w:tc>
      </w:tr>
      <w:tr w:rsidR="007C12D5" w:rsidRPr="00D2277B" w:rsidTr="007C12D5">
        <w:trPr>
          <w:trHeight w:val="300"/>
        </w:trPr>
        <w:tc>
          <w:tcPr>
            <w:cnfStyle w:val="001000000000" w:firstRow="0" w:lastRow="0" w:firstColumn="1" w:lastColumn="0" w:oddVBand="0" w:evenVBand="0" w:oddHBand="0" w:evenHBand="0" w:firstRowFirstColumn="0" w:firstRowLastColumn="0" w:lastRowFirstColumn="0" w:lastRowLastColumn="0"/>
            <w:tcW w:w="1407" w:type="dxa"/>
            <w:noWrap/>
            <w:hideMark/>
          </w:tcPr>
          <w:p w:rsidR="007C12D5" w:rsidRPr="00D2277B" w:rsidRDefault="007C12D5" w:rsidP="007C12D5">
            <w:pPr>
              <w:spacing w:line="276" w:lineRule="auto"/>
              <w:jc w:val="left"/>
              <w:rPr>
                <w:rFonts w:asciiTheme="minorHAnsi" w:eastAsia="Times New Roman" w:hAnsiTheme="minorHAnsi"/>
                <w:color w:val="1F497D" w:themeColor="text2"/>
                <w:lang w:eastAsia="en-IE"/>
              </w:rPr>
            </w:pPr>
            <w:r w:rsidRPr="00D2277B">
              <w:rPr>
                <w:rFonts w:asciiTheme="minorHAnsi" w:eastAsia="Times New Roman" w:hAnsiTheme="minorHAnsi"/>
                <w:color w:val="1F497D" w:themeColor="text2"/>
                <w:lang w:eastAsia="en-IE"/>
              </w:rPr>
              <w:t>Mean</w:t>
            </w:r>
          </w:p>
        </w:tc>
        <w:tc>
          <w:tcPr>
            <w:tcW w:w="1907" w:type="dxa"/>
            <w:noWrap/>
            <w:hideMark/>
          </w:tcPr>
          <w:p w:rsidR="007C12D5" w:rsidRPr="00D2277B" w:rsidRDefault="007C12D5" w:rsidP="007C12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1F497D" w:themeColor="text2"/>
                <w:lang w:eastAsia="en-IE"/>
              </w:rPr>
            </w:pPr>
            <w:r>
              <w:rPr>
                <w:rFonts w:asciiTheme="minorHAnsi" w:eastAsia="Times New Roman" w:hAnsiTheme="minorHAnsi"/>
                <w:color w:val="1F497D" w:themeColor="text2"/>
                <w:lang w:eastAsia="en-IE"/>
              </w:rPr>
              <w:t>31.78</w:t>
            </w:r>
          </w:p>
        </w:tc>
        <w:tc>
          <w:tcPr>
            <w:tcW w:w="1676" w:type="dxa"/>
            <w:noWrap/>
            <w:hideMark/>
          </w:tcPr>
          <w:p w:rsidR="007C12D5" w:rsidRDefault="007C12D5" w:rsidP="007C12D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ajorBidi"/>
                <w:b/>
                <w:bCs/>
                <w:i/>
                <w:iCs/>
                <w:color w:val="1F497D" w:themeColor="text2"/>
                <w:lang w:eastAsia="en-IE"/>
              </w:rPr>
            </w:pPr>
            <w:r>
              <w:rPr>
                <w:rFonts w:asciiTheme="minorHAnsi" w:eastAsia="Times New Roman" w:hAnsiTheme="minorHAnsi"/>
                <w:color w:val="1F497D" w:themeColor="text2"/>
                <w:lang w:eastAsia="en-IE"/>
              </w:rPr>
              <w:t>9,931.70</w:t>
            </w:r>
            <w:r w:rsidRPr="00D2277B">
              <w:rPr>
                <w:rFonts w:asciiTheme="minorHAnsi" w:eastAsia="Times New Roman" w:hAnsiTheme="minorHAnsi"/>
                <w:color w:val="1F497D" w:themeColor="text2"/>
                <w:lang w:eastAsia="en-IE"/>
              </w:rPr>
              <w:t xml:space="preserve">            </w:t>
            </w:r>
          </w:p>
        </w:tc>
        <w:tc>
          <w:tcPr>
            <w:tcW w:w="1534" w:type="dxa"/>
            <w:noWrap/>
            <w:hideMark/>
          </w:tcPr>
          <w:p w:rsidR="007C12D5" w:rsidRDefault="007C12D5" w:rsidP="007C12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ajorBidi"/>
                <w:b/>
                <w:bCs/>
                <w:i/>
                <w:iCs/>
                <w:color w:val="1F497D" w:themeColor="text2"/>
                <w:lang w:eastAsia="en-IE"/>
              </w:rPr>
            </w:pPr>
            <w:r w:rsidRPr="00D2277B">
              <w:rPr>
                <w:rFonts w:asciiTheme="minorHAnsi" w:eastAsia="Times New Roman" w:hAnsiTheme="minorHAnsi"/>
                <w:color w:val="1F497D" w:themeColor="text2"/>
                <w:lang w:eastAsia="en-IE"/>
              </w:rPr>
              <w:t>9</w:t>
            </w:r>
            <w:r>
              <w:rPr>
                <w:rFonts w:asciiTheme="minorHAnsi" w:eastAsia="Times New Roman" w:hAnsiTheme="minorHAnsi"/>
                <w:color w:val="1F497D" w:themeColor="text2"/>
                <w:lang w:eastAsia="en-IE"/>
              </w:rPr>
              <w:t>30.54</w:t>
            </w:r>
          </w:p>
        </w:tc>
      </w:tr>
    </w:tbl>
    <w:p w:rsidR="007C12D5" w:rsidRDefault="007C12D5" w:rsidP="007C12D5">
      <w:pPr>
        <w:overflowPunct w:val="0"/>
        <w:autoSpaceDE w:val="0"/>
        <w:autoSpaceDN w:val="0"/>
        <w:adjustRightInd w:val="0"/>
        <w:textAlignment w:val="baseline"/>
        <w:rPr>
          <w:rFonts w:cs="Calibri"/>
          <w:sz w:val="24"/>
          <w:szCs w:val="24"/>
        </w:rPr>
      </w:pPr>
    </w:p>
    <w:p w:rsidR="007C12D5" w:rsidRDefault="007C12D5" w:rsidP="007C12D5">
      <w:pPr>
        <w:overflowPunct w:val="0"/>
        <w:autoSpaceDE w:val="0"/>
        <w:autoSpaceDN w:val="0"/>
        <w:adjustRightInd w:val="0"/>
        <w:textAlignment w:val="baseline"/>
        <w:rPr>
          <w:rFonts w:cs="Calibri"/>
          <w:sz w:val="24"/>
          <w:szCs w:val="24"/>
        </w:rPr>
      </w:pPr>
    </w:p>
    <w:p w:rsidR="007C12D5" w:rsidRDefault="007C12D5" w:rsidP="007C12D5">
      <w:pPr>
        <w:overflowPunct w:val="0"/>
        <w:autoSpaceDE w:val="0"/>
        <w:autoSpaceDN w:val="0"/>
        <w:adjustRightInd w:val="0"/>
        <w:textAlignment w:val="baseline"/>
        <w:rPr>
          <w:rFonts w:cs="Calibri"/>
          <w:sz w:val="24"/>
          <w:szCs w:val="24"/>
        </w:rPr>
      </w:pPr>
    </w:p>
    <w:p w:rsidR="007C12D5" w:rsidRDefault="007C12D5" w:rsidP="007C12D5">
      <w:pPr>
        <w:overflowPunct w:val="0"/>
        <w:autoSpaceDE w:val="0"/>
        <w:autoSpaceDN w:val="0"/>
        <w:adjustRightInd w:val="0"/>
        <w:textAlignment w:val="baseline"/>
        <w:rPr>
          <w:rFonts w:cs="Calibri"/>
          <w:sz w:val="24"/>
          <w:szCs w:val="24"/>
        </w:rPr>
      </w:pPr>
    </w:p>
    <w:p w:rsidR="007C12D5" w:rsidRDefault="007C12D5" w:rsidP="007C12D5">
      <w:pPr>
        <w:overflowPunct w:val="0"/>
        <w:autoSpaceDE w:val="0"/>
        <w:autoSpaceDN w:val="0"/>
        <w:adjustRightInd w:val="0"/>
        <w:jc w:val="both"/>
        <w:textAlignment w:val="baseline"/>
        <w:rPr>
          <w:rFonts w:cs="Calibri"/>
          <w:sz w:val="24"/>
          <w:szCs w:val="24"/>
        </w:rPr>
      </w:pPr>
      <w:r w:rsidRPr="00A34D92">
        <w:rPr>
          <w:rFonts w:cs="Calibri"/>
          <w:sz w:val="24"/>
          <w:szCs w:val="24"/>
        </w:rPr>
        <w:t xml:space="preserve">The calculation of the re-let cost and the </w:t>
      </w:r>
      <w:r>
        <w:rPr>
          <w:rFonts w:cs="Calibri"/>
          <w:sz w:val="24"/>
          <w:szCs w:val="24"/>
        </w:rPr>
        <w:t xml:space="preserve">maintenance </w:t>
      </w:r>
      <w:r w:rsidRPr="00A34D92">
        <w:rPr>
          <w:rFonts w:cs="Calibri"/>
          <w:sz w:val="24"/>
          <w:szCs w:val="24"/>
        </w:rPr>
        <w:t xml:space="preserve">cost by unit is a new performance </w:t>
      </w:r>
      <w:r>
        <w:rPr>
          <w:rFonts w:cs="Calibri"/>
          <w:sz w:val="24"/>
          <w:szCs w:val="24"/>
        </w:rPr>
        <w:t>indicator</w:t>
      </w:r>
      <w:r w:rsidRPr="00A34D92">
        <w:rPr>
          <w:rFonts w:cs="Calibri"/>
          <w:sz w:val="24"/>
          <w:szCs w:val="24"/>
        </w:rPr>
        <w:t xml:space="preserve"> </w:t>
      </w:r>
      <w:r>
        <w:rPr>
          <w:rFonts w:cs="Calibri"/>
          <w:sz w:val="24"/>
          <w:szCs w:val="24"/>
        </w:rPr>
        <w:t xml:space="preserve">and no comparison can be made with previous years. </w:t>
      </w:r>
    </w:p>
    <w:p w:rsidR="007C12D5" w:rsidRDefault="007C12D5" w:rsidP="007C12D5">
      <w:pPr>
        <w:overflowPunct w:val="0"/>
        <w:autoSpaceDE w:val="0"/>
        <w:autoSpaceDN w:val="0"/>
        <w:adjustRightInd w:val="0"/>
        <w:jc w:val="both"/>
        <w:textAlignment w:val="baseline"/>
        <w:rPr>
          <w:rFonts w:cs="Calibri"/>
          <w:sz w:val="24"/>
          <w:szCs w:val="24"/>
        </w:rPr>
      </w:pPr>
      <w:r w:rsidRPr="008F6D93">
        <w:rPr>
          <w:rFonts w:cs="Calibri"/>
          <w:sz w:val="24"/>
          <w:szCs w:val="24"/>
        </w:rPr>
        <w:t>While these figures provide an important baseline from which to measure future performance</w:t>
      </w:r>
      <w:r>
        <w:rPr>
          <w:rFonts w:cs="Calibri"/>
          <w:sz w:val="24"/>
          <w:szCs w:val="24"/>
        </w:rPr>
        <w:t>, local authorities have highlighted a number of factors which need to be taken into account when examining these tables</w:t>
      </w:r>
      <w:r w:rsidRPr="008F6D93">
        <w:rPr>
          <w:rFonts w:cs="Calibri"/>
          <w:sz w:val="24"/>
          <w:szCs w:val="24"/>
        </w:rPr>
        <w:t xml:space="preserve">: </w:t>
      </w:r>
    </w:p>
    <w:p w:rsidR="007C12D5" w:rsidRPr="008F6D93" w:rsidRDefault="007C12D5" w:rsidP="007C12D5">
      <w:pPr>
        <w:pStyle w:val="ListParagraph"/>
        <w:numPr>
          <w:ilvl w:val="0"/>
          <w:numId w:val="20"/>
        </w:numPr>
        <w:overflowPunct w:val="0"/>
        <w:autoSpaceDE w:val="0"/>
        <w:autoSpaceDN w:val="0"/>
        <w:adjustRightInd w:val="0"/>
        <w:spacing w:after="0"/>
        <w:ind w:left="709" w:hanging="284"/>
        <w:jc w:val="both"/>
        <w:textAlignment w:val="baseline"/>
        <w:rPr>
          <w:rFonts w:cs="Calibri"/>
          <w:sz w:val="24"/>
          <w:szCs w:val="24"/>
        </w:rPr>
      </w:pPr>
      <w:r w:rsidRPr="008F6D93">
        <w:rPr>
          <w:rFonts w:cs="Calibri"/>
          <w:b/>
          <w:sz w:val="24"/>
          <w:szCs w:val="24"/>
        </w:rPr>
        <w:t>2014 Voids Scheme</w:t>
      </w:r>
      <w:r w:rsidRPr="008F6D93">
        <w:rPr>
          <w:rFonts w:cs="Calibri"/>
          <w:sz w:val="24"/>
          <w:szCs w:val="24"/>
        </w:rPr>
        <w:t xml:space="preserve">: In 2014 the DECLG made funding available to local authorities to refurbish dwellings that were previously categorised as </w:t>
      </w:r>
      <w:r>
        <w:rPr>
          <w:rFonts w:cs="Calibri"/>
          <w:sz w:val="24"/>
          <w:szCs w:val="24"/>
        </w:rPr>
        <w:t>“</w:t>
      </w:r>
      <w:r w:rsidRPr="008F6D93">
        <w:rPr>
          <w:rFonts w:cs="Calibri"/>
          <w:sz w:val="24"/>
          <w:szCs w:val="24"/>
        </w:rPr>
        <w:t>void</w:t>
      </w:r>
      <w:r>
        <w:rPr>
          <w:rFonts w:cs="Calibri"/>
          <w:sz w:val="24"/>
          <w:szCs w:val="24"/>
        </w:rPr>
        <w:t>”</w:t>
      </w:r>
      <w:r w:rsidRPr="008F6D93">
        <w:rPr>
          <w:rFonts w:cs="Calibri"/>
          <w:sz w:val="24"/>
          <w:szCs w:val="24"/>
        </w:rPr>
        <w:t>. Going forward this will increase local authority housing stock and provide quality units to individuals and families. However, for the purpose of 2014</w:t>
      </w:r>
      <w:r>
        <w:rPr>
          <w:rFonts w:cs="Calibri"/>
          <w:sz w:val="24"/>
          <w:szCs w:val="24"/>
        </w:rPr>
        <w:t>,</w:t>
      </w:r>
      <w:r w:rsidRPr="008F6D93">
        <w:rPr>
          <w:rFonts w:cs="Calibri"/>
          <w:sz w:val="24"/>
          <w:szCs w:val="24"/>
        </w:rPr>
        <w:t xml:space="preserve"> dwellings that had been vacant for a long period of time and previously classified as void were reclassified as local authority housing stock with a correlating increase to the average number of weeks </w:t>
      </w:r>
      <w:r>
        <w:rPr>
          <w:rFonts w:cs="Calibri"/>
          <w:sz w:val="24"/>
          <w:szCs w:val="24"/>
        </w:rPr>
        <w:t xml:space="preserve">which </w:t>
      </w:r>
      <w:r w:rsidRPr="008F6D93">
        <w:rPr>
          <w:rFonts w:cs="Calibri"/>
          <w:sz w:val="24"/>
          <w:szCs w:val="24"/>
        </w:rPr>
        <w:lastRenderedPageBreak/>
        <w:t xml:space="preserve">dwellings were counted as vacant. Furthermore these dwellings required considerable refurbishment to make them habitable for local authority tenants impacting on both the time taken to re-let the unit and the re-let </w:t>
      </w:r>
      <w:r>
        <w:rPr>
          <w:rFonts w:cs="Calibri"/>
          <w:sz w:val="24"/>
          <w:szCs w:val="24"/>
        </w:rPr>
        <w:t xml:space="preserve">average </w:t>
      </w:r>
      <w:r w:rsidRPr="008F6D93">
        <w:rPr>
          <w:rFonts w:cs="Calibri"/>
          <w:sz w:val="24"/>
          <w:szCs w:val="24"/>
        </w:rPr>
        <w:t>cost</w:t>
      </w:r>
      <w:r>
        <w:rPr>
          <w:rFonts w:cs="Calibri"/>
          <w:sz w:val="24"/>
          <w:szCs w:val="24"/>
        </w:rPr>
        <w:t>.</w:t>
      </w:r>
      <w:r w:rsidRPr="008F6D93">
        <w:rPr>
          <w:rFonts w:cs="Calibri"/>
          <w:sz w:val="24"/>
          <w:szCs w:val="24"/>
        </w:rPr>
        <w:t xml:space="preserve"> </w:t>
      </w:r>
      <w:r>
        <w:rPr>
          <w:rFonts w:cs="Calibri"/>
          <w:sz w:val="24"/>
          <w:szCs w:val="24"/>
        </w:rPr>
        <w:t>This was highlighted as an issue by Dublin City Council and Donegal, Leitrim and Galway County Councils.</w:t>
      </w:r>
    </w:p>
    <w:p w:rsidR="007C12D5" w:rsidRPr="00FF6186" w:rsidRDefault="007C12D5" w:rsidP="007C12D5">
      <w:pPr>
        <w:pStyle w:val="ListParagraph"/>
        <w:numPr>
          <w:ilvl w:val="0"/>
          <w:numId w:val="20"/>
        </w:numPr>
        <w:overflowPunct w:val="0"/>
        <w:autoSpaceDE w:val="0"/>
        <w:autoSpaceDN w:val="0"/>
        <w:adjustRightInd w:val="0"/>
        <w:ind w:left="709" w:hanging="283"/>
        <w:jc w:val="both"/>
        <w:textAlignment w:val="baseline"/>
        <w:rPr>
          <w:rFonts w:cs="Calibri"/>
          <w:sz w:val="24"/>
          <w:szCs w:val="24"/>
        </w:rPr>
      </w:pPr>
      <w:r w:rsidRPr="00750826">
        <w:rPr>
          <w:rFonts w:cs="Calibri"/>
          <w:b/>
          <w:sz w:val="24"/>
          <w:szCs w:val="24"/>
        </w:rPr>
        <w:t>The demand for dwellings:</w:t>
      </w:r>
      <w:r w:rsidRPr="00750826">
        <w:rPr>
          <w:rFonts w:cs="Calibri"/>
          <w:sz w:val="24"/>
          <w:szCs w:val="24"/>
        </w:rPr>
        <w:t xml:space="preserve"> In a number of rural authorities there was little or no demand for social housing units due to their rural or isolated location. These units can be empty for a considerable period of time adding to the re-letting time average. This was highlighted as an issue by Leitrim and Roscommon County Council</w:t>
      </w:r>
      <w:r>
        <w:rPr>
          <w:rFonts w:cs="Calibri"/>
          <w:sz w:val="24"/>
          <w:szCs w:val="24"/>
        </w:rPr>
        <w:t>s</w:t>
      </w:r>
      <w:r w:rsidRPr="00750826">
        <w:rPr>
          <w:rFonts w:cs="Calibri"/>
          <w:sz w:val="24"/>
          <w:szCs w:val="24"/>
        </w:rPr>
        <w:t>.</w:t>
      </w:r>
    </w:p>
    <w:p w:rsidR="007C12D5" w:rsidRDefault="007C12D5" w:rsidP="007C12D5">
      <w:pPr>
        <w:jc w:val="both"/>
        <w:rPr>
          <w:sz w:val="24"/>
          <w:szCs w:val="24"/>
        </w:rPr>
      </w:pPr>
      <w:r>
        <w:rPr>
          <w:rFonts w:cs="Calibri"/>
          <w:sz w:val="24"/>
          <w:szCs w:val="24"/>
        </w:rPr>
        <w:t>This indicator also measures the number of adult individuals placed in emergency accommodation by local authorities through PASS (</w:t>
      </w:r>
      <w:r w:rsidRPr="00146201">
        <w:rPr>
          <w:rFonts w:cs="Calibri"/>
          <w:sz w:val="24"/>
          <w:szCs w:val="24"/>
        </w:rPr>
        <w:t>Pathway Accommodation and Supp</w:t>
      </w:r>
      <w:r>
        <w:rPr>
          <w:rFonts w:cs="Calibri"/>
          <w:sz w:val="24"/>
          <w:szCs w:val="24"/>
        </w:rPr>
        <w:t xml:space="preserve">ort System) on 31/12/2014 and the percentage of those individuals who were classified as long-term homeless. PASS is </w:t>
      </w:r>
      <w:r w:rsidRPr="006B4E70">
        <w:rPr>
          <w:rFonts w:cs="Calibri"/>
          <w:sz w:val="24"/>
          <w:szCs w:val="24"/>
        </w:rPr>
        <w:t>used by local authorities to place individuals</w:t>
      </w:r>
      <w:r>
        <w:rPr>
          <w:rFonts w:cs="Calibri"/>
          <w:sz w:val="24"/>
          <w:szCs w:val="24"/>
        </w:rPr>
        <w:t xml:space="preserve"> in emergency </w:t>
      </w:r>
      <w:r w:rsidRPr="006B4E70">
        <w:rPr>
          <w:rFonts w:cs="Calibri"/>
          <w:sz w:val="24"/>
          <w:szCs w:val="24"/>
        </w:rPr>
        <w:t>accommodation</w:t>
      </w:r>
      <w:r>
        <w:rPr>
          <w:rFonts w:cs="Calibri"/>
          <w:sz w:val="24"/>
          <w:szCs w:val="24"/>
        </w:rPr>
        <w:t xml:space="preserve">. </w:t>
      </w:r>
      <w:r w:rsidRPr="006B4E70">
        <w:rPr>
          <w:rFonts w:cs="Calibri"/>
          <w:sz w:val="24"/>
          <w:szCs w:val="24"/>
        </w:rPr>
        <w:t xml:space="preserve">Data </w:t>
      </w:r>
      <w:r>
        <w:rPr>
          <w:rFonts w:cs="Calibri"/>
          <w:sz w:val="24"/>
          <w:szCs w:val="24"/>
        </w:rPr>
        <w:t xml:space="preserve">provided </w:t>
      </w:r>
      <w:r w:rsidRPr="006B4E70">
        <w:rPr>
          <w:rFonts w:cs="Calibri"/>
          <w:sz w:val="24"/>
          <w:szCs w:val="24"/>
        </w:rPr>
        <w:t>shows that</w:t>
      </w:r>
      <w:r>
        <w:rPr>
          <w:rFonts w:cs="Calibri"/>
          <w:sz w:val="24"/>
          <w:szCs w:val="24"/>
        </w:rPr>
        <w:t xml:space="preserve"> 2</w:t>
      </w:r>
      <w:r w:rsidRPr="006B4E70">
        <w:rPr>
          <w:rFonts w:cs="Calibri"/>
          <w:sz w:val="24"/>
          <w:szCs w:val="24"/>
        </w:rPr>
        <w:t xml:space="preserve">,649 </w:t>
      </w:r>
      <w:r w:rsidRPr="006B4E70">
        <w:rPr>
          <w:sz w:val="24"/>
          <w:szCs w:val="24"/>
        </w:rPr>
        <w:t xml:space="preserve">adults </w:t>
      </w:r>
      <w:r>
        <w:rPr>
          <w:sz w:val="24"/>
          <w:szCs w:val="24"/>
        </w:rPr>
        <w:t xml:space="preserve">were placed </w:t>
      </w:r>
      <w:r w:rsidRPr="006B4E70">
        <w:rPr>
          <w:sz w:val="24"/>
          <w:szCs w:val="24"/>
        </w:rPr>
        <w:t xml:space="preserve">in emergency accommodation </w:t>
      </w:r>
      <w:r>
        <w:rPr>
          <w:sz w:val="24"/>
          <w:szCs w:val="24"/>
        </w:rPr>
        <w:t xml:space="preserve">by local authorities </w:t>
      </w:r>
      <w:r w:rsidRPr="006B4E70">
        <w:rPr>
          <w:sz w:val="24"/>
          <w:szCs w:val="24"/>
        </w:rPr>
        <w:t>on the last day of 2014</w:t>
      </w:r>
      <w:r>
        <w:rPr>
          <w:sz w:val="24"/>
          <w:szCs w:val="24"/>
        </w:rPr>
        <w:t xml:space="preserve">. Of these, </w:t>
      </w:r>
      <w:r w:rsidRPr="006B4E70">
        <w:rPr>
          <w:sz w:val="24"/>
          <w:szCs w:val="24"/>
        </w:rPr>
        <w:t>1,238 were long-term homeless</w:t>
      </w:r>
      <w:r>
        <w:rPr>
          <w:sz w:val="24"/>
          <w:szCs w:val="24"/>
        </w:rPr>
        <w:t>,</w:t>
      </w:r>
      <w:r w:rsidRPr="006B4E70">
        <w:rPr>
          <w:sz w:val="24"/>
          <w:szCs w:val="24"/>
        </w:rPr>
        <w:t xml:space="preserve"> that is</w:t>
      </w:r>
      <w:r>
        <w:rPr>
          <w:sz w:val="24"/>
          <w:szCs w:val="24"/>
        </w:rPr>
        <w:t>,</w:t>
      </w:r>
      <w:r w:rsidRPr="006B4E70">
        <w:rPr>
          <w:sz w:val="24"/>
          <w:szCs w:val="24"/>
        </w:rPr>
        <w:t xml:space="preserve"> adult individuals </w:t>
      </w:r>
      <w:r>
        <w:rPr>
          <w:sz w:val="24"/>
          <w:szCs w:val="24"/>
        </w:rPr>
        <w:t xml:space="preserve">who </w:t>
      </w:r>
      <w:r w:rsidRPr="006B4E70">
        <w:rPr>
          <w:sz w:val="24"/>
          <w:szCs w:val="24"/>
        </w:rPr>
        <w:t xml:space="preserve">were using emergency accommodation services in excess of six months, either continuously or cumulatively, over the year.  </w:t>
      </w:r>
      <w:r>
        <w:rPr>
          <w:sz w:val="24"/>
          <w:szCs w:val="24"/>
        </w:rPr>
        <w:t>F</w:t>
      </w:r>
      <w:r w:rsidRPr="006B4E70">
        <w:rPr>
          <w:sz w:val="24"/>
          <w:szCs w:val="24"/>
        </w:rPr>
        <w:t>igures show that</w:t>
      </w:r>
      <w:r>
        <w:rPr>
          <w:sz w:val="24"/>
          <w:szCs w:val="24"/>
        </w:rPr>
        <w:t xml:space="preserve"> both </w:t>
      </w:r>
      <w:r w:rsidRPr="006B4E70">
        <w:rPr>
          <w:sz w:val="24"/>
          <w:szCs w:val="24"/>
        </w:rPr>
        <w:t xml:space="preserve">the majority of </w:t>
      </w:r>
      <w:r>
        <w:rPr>
          <w:sz w:val="24"/>
          <w:szCs w:val="24"/>
        </w:rPr>
        <w:t xml:space="preserve">adult individuals placed in emergency accommodation and the majority of individuals classified as long-term homeless are in Dublin City, reflecting both the physical location of the number of beds available and the prevalence of the problem in the capital city. </w:t>
      </w:r>
    </w:p>
    <w:p w:rsidR="00EB3EF8" w:rsidRDefault="00EB3EF8" w:rsidP="007C12D5">
      <w:pPr>
        <w:rPr>
          <w:b/>
          <w:color w:val="1F497D" w:themeColor="text2"/>
          <w:sz w:val="28"/>
          <w:szCs w:val="28"/>
        </w:rPr>
      </w:pPr>
    </w:p>
    <w:p w:rsidR="007C12D5" w:rsidRDefault="007C12D5" w:rsidP="007C12D5">
      <w:pPr>
        <w:rPr>
          <w:b/>
          <w:color w:val="1F497D" w:themeColor="text2"/>
          <w:sz w:val="28"/>
          <w:szCs w:val="28"/>
        </w:rPr>
      </w:pPr>
      <w:r>
        <w:rPr>
          <w:b/>
          <w:color w:val="1F497D" w:themeColor="text2"/>
          <w:sz w:val="28"/>
          <w:szCs w:val="28"/>
        </w:rPr>
        <w:br w:type="page"/>
      </w:r>
    </w:p>
    <w:p w:rsidR="007C12D5" w:rsidRPr="00593BB4" w:rsidRDefault="007C12D5" w:rsidP="007C12D5">
      <w:pPr>
        <w:jc w:val="both"/>
        <w:rPr>
          <w:b/>
          <w:color w:val="1F497D" w:themeColor="text2"/>
          <w:sz w:val="28"/>
          <w:szCs w:val="28"/>
        </w:rPr>
      </w:pPr>
      <w:r>
        <w:rPr>
          <w:b/>
          <w:color w:val="1F497D" w:themeColor="text2"/>
          <w:sz w:val="28"/>
          <w:szCs w:val="28"/>
        </w:rPr>
        <w:lastRenderedPageBreak/>
        <w:t>2.2</w:t>
      </w:r>
      <w:r>
        <w:rPr>
          <w:b/>
          <w:color w:val="1F497D" w:themeColor="text2"/>
          <w:sz w:val="28"/>
          <w:szCs w:val="28"/>
        </w:rPr>
        <w:tab/>
      </w:r>
      <w:r w:rsidRPr="00593BB4">
        <w:rPr>
          <w:b/>
          <w:color w:val="1F497D" w:themeColor="text2"/>
          <w:sz w:val="28"/>
          <w:szCs w:val="28"/>
        </w:rPr>
        <w:t>Roads</w:t>
      </w:r>
    </w:p>
    <w:p w:rsidR="007C12D5" w:rsidRDefault="007C12D5" w:rsidP="007C12D5">
      <w:pPr>
        <w:jc w:val="both"/>
        <w:rPr>
          <w:sz w:val="24"/>
          <w:szCs w:val="24"/>
        </w:rPr>
      </w:pPr>
      <w:r w:rsidRPr="002F1BC1">
        <w:rPr>
          <w:sz w:val="24"/>
          <w:szCs w:val="24"/>
        </w:rPr>
        <w:t xml:space="preserve">A major function of a local authority is to use public funds to provide a comfortable, safe and economical road surface. This requires balancing priorities and making difficult decisions in order to manage pavements. The </w:t>
      </w:r>
      <w:proofErr w:type="spellStart"/>
      <w:r w:rsidRPr="002F1BC1">
        <w:rPr>
          <w:sz w:val="24"/>
          <w:szCs w:val="24"/>
        </w:rPr>
        <w:t>MapRoad</w:t>
      </w:r>
      <w:proofErr w:type="spellEnd"/>
      <w:r w:rsidRPr="002F1BC1">
        <w:rPr>
          <w:sz w:val="24"/>
          <w:szCs w:val="24"/>
        </w:rPr>
        <w:t xml:space="preserve"> system, utilised by local authorities and supported by a Pavement Surface Condition Index (PSCI) rating system, (see Appendix </w:t>
      </w:r>
      <w:r w:rsidR="00626A2A">
        <w:rPr>
          <w:sz w:val="24"/>
          <w:szCs w:val="24"/>
        </w:rPr>
        <w:t>at page 80</w:t>
      </w:r>
      <w:r w:rsidRPr="002F1BC1">
        <w:rPr>
          <w:sz w:val="24"/>
          <w:szCs w:val="24"/>
        </w:rPr>
        <w:t xml:space="preserve">) provides a standardised means </w:t>
      </w:r>
      <w:r>
        <w:rPr>
          <w:sz w:val="24"/>
          <w:szCs w:val="24"/>
        </w:rPr>
        <w:t>to rate the</w:t>
      </w:r>
      <w:r w:rsidRPr="002F1BC1">
        <w:rPr>
          <w:sz w:val="24"/>
          <w:szCs w:val="24"/>
        </w:rPr>
        <w:t xml:space="preserve"> surface condition, the most vital element in any pavem</w:t>
      </w:r>
      <w:r>
        <w:rPr>
          <w:sz w:val="24"/>
          <w:szCs w:val="24"/>
        </w:rPr>
        <w:t>ent management system.</w:t>
      </w:r>
    </w:p>
    <w:p w:rsidR="007C12D5" w:rsidRDefault="005807E3" w:rsidP="007C12D5">
      <w:pPr>
        <w:jc w:val="both"/>
        <w:rPr>
          <w:sz w:val="24"/>
          <w:szCs w:val="24"/>
        </w:rPr>
      </w:pPr>
      <w:r>
        <w:rPr>
          <w:noProof/>
          <w:sz w:val="24"/>
          <w:szCs w:val="24"/>
          <w:lang w:eastAsia="en-I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2.25pt;margin-top:-.15pt;width:431.25pt;height:54.25pt;z-index:251659264" fillcolor="#dbe5f1 [660]" strokecolor="#9cf" strokeweight="1.5pt">
            <v:fill color2="#f8fafd"/>
            <v:shadow opacity=".5" offset="6pt,-5pt" offset2=",2pt"/>
            <v:textbox>
              <w:txbxContent>
                <w:p w:rsidR="005F6CA3" w:rsidRPr="00537A61" w:rsidRDefault="005F6CA3" w:rsidP="007C12D5">
                  <w:pPr>
                    <w:spacing w:line="360" w:lineRule="auto"/>
                    <w:rPr>
                      <w:sz w:val="24"/>
                      <w:szCs w:val="24"/>
                    </w:rPr>
                  </w:pPr>
                  <w:r w:rsidRPr="00537A61">
                    <w:rPr>
                      <w:sz w:val="24"/>
                      <w:szCs w:val="24"/>
                    </w:rPr>
                    <w:t>There are almost 91,000kms of regional and local roads in Ireland which accounts for 94% of the country’s road network and they carry 54% of all road traffic</w:t>
                  </w:r>
                </w:p>
              </w:txbxContent>
            </v:textbox>
          </v:shape>
        </w:pict>
      </w:r>
    </w:p>
    <w:p w:rsidR="007C12D5" w:rsidRDefault="007C12D5" w:rsidP="007C12D5">
      <w:pPr>
        <w:jc w:val="both"/>
        <w:rPr>
          <w:sz w:val="24"/>
          <w:szCs w:val="24"/>
        </w:rPr>
      </w:pPr>
    </w:p>
    <w:p w:rsidR="007C12D5" w:rsidRDefault="007C12D5" w:rsidP="007C12D5">
      <w:pPr>
        <w:jc w:val="both"/>
        <w:rPr>
          <w:sz w:val="24"/>
          <w:szCs w:val="24"/>
        </w:rPr>
      </w:pPr>
    </w:p>
    <w:p w:rsidR="007C12D5" w:rsidRPr="00866531" w:rsidRDefault="007C12D5" w:rsidP="007C12D5">
      <w:pPr>
        <w:jc w:val="both"/>
        <w:rPr>
          <w:sz w:val="24"/>
          <w:szCs w:val="24"/>
        </w:rPr>
      </w:pPr>
      <w:r w:rsidRPr="00E41A33">
        <w:rPr>
          <w:sz w:val="24"/>
          <w:szCs w:val="24"/>
        </w:rPr>
        <w:t xml:space="preserve">The </w:t>
      </w:r>
      <w:r>
        <w:rPr>
          <w:sz w:val="24"/>
          <w:szCs w:val="24"/>
        </w:rPr>
        <w:t>PSCI</w:t>
      </w:r>
      <w:r w:rsidRPr="00E41A33">
        <w:rPr>
          <w:sz w:val="24"/>
          <w:szCs w:val="24"/>
        </w:rPr>
        <w:t xml:space="preserve"> rating </w:t>
      </w:r>
      <w:r>
        <w:rPr>
          <w:sz w:val="24"/>
          <w:szCs w:val="24"/>
        </w:rPr>
        <w:t>system, approved by the Department of Transport, Tourism and Sport (</w:t>
      </w:r>
      <w:proofErr w:type="spellStart"/>
      <w:r>
        <w:rPr>
          <w:sz w:val="24"/>
          <w:szCs w:val="24"/>
        </w:rPr>
        <w:t>DTTaS</w:t>
      </w:r>
      <w:proofErr w:type="spellEnd"/>
      <w:r>
        <w:rPr>
          <w:sz w:val="24"/>
          <w:szCs w:val="24"/>
        </w:rPr>
        <w:t>), provides</w:t>
      </w:r>
      <w:r w:rsidRPr="00E41A33">
        <w:rPr>
          <w:sz w:val="24"/>
          <w:szCs w:val="24"/>
        </w:rPr>
        <w:t xml:space="preserve"> local authorities </w:t>
      </w:r>
      <w:r>
        <w:rPr>
          <w:sz w:val="24"/>
          <w:szCs w:val="24"/>
        </w:rPr>
        <w:t xml:space="preserve">with a standardised means </w:t>
      </w:r>
      <w:r w:rsidRPr="00E41A33">
        <w:rPr>
          <w:sz w:val="24"/>
          <w:szCs w:val="24"/>
        </w:rPr>
        <w:t xml:space="preserve">to assess </w:t>
      </w:r>
      <w:r>
        <w:rPr>
          <w:sz w:val="24"/>
          <w:szCs w:val="24"/>
        </w:rPr>
        <w:t xml:space="preserve">and rate </w:t>
      </w:r>
      <w:r w:rsidRPr="00E41A33">
        <w:rPr>
          <w:sz w:val="24"/>
          <w:szCs w:val="24"/>
        </w:rPr>
        <w:t xml:space="preserve">the surface condition of roads. </w:t>
      </w:r>
      <w:r>
        <w:rPr>
          <w:sz w:val="24"/>
          <w:szCs w:val="24"/>
        </w:rPr>
        <w:t xml:space="preserve">Using a ratings scale of 1 to 10, where 1 indicates extensive structural distress and 10 indicates no visible defects, local authorities can measure and record the condition of regional and primary roads at a given time. </w:t>
      </w:r>
      <w:r w:rsidRPr="00B37D5D">
        <w:rPr>
          <w:sz w:val="24"/>
          <w:szCs w:val="24"/>
        </w:rPr>
        <w:t>On average local authorities had recorded and rate</w:t>
      </w:r>
      <w:r>
        <w:rPr>
          <w:sz w:val="24"/>
          <w:szCs w:val="24"/>
        </w:rPr>
        <w:t>d</w:t>
      </w:r>
      <w:r w:rsidRPr="00B37D5D">
        <w:rPr>
          <w:sz w:val="24"/>
          <w:szCs w:val="24"/>
        </w:rPr>
        <w:t xml:space="preserve"> </w:t>
      </w:r>
      <w:r>
        <w:rPr>
          <w:sz w:val="24"/>
          <w:szCs w:val="24"/>
        </w:rPr>
        <w:t>57.9</w:t>
      </w:r>
      <w:r w:rsidRPr="00B37D5D">
        <w:rPr>
          <w:sz w:val="24"/>
          <w:szCs w:val="24"/>
        </w:rPr>
        <w:t>% of their regional road</w:t>
      </w:r>
      <w:r>
        <w:rPr>
          <w:sz w:val="24"/>
          <w:szCs w:val="24"/>
        </w:rPr>
        <w:t>s</w:t>
      </w:r>
      <w:r w:rsidRPr="00B37D5D">
        <w:rPr>
          <w:sz w:val="24"/>
          <w:szCs w:val="24"/>
        </w:rPr>
        <w:t xml:space="preserve"> and </w:t>
      </w:r>
      <w:r>
        <w:rPr>
          <w:sz w:val="24"/>
          <w:szCs w:val="24"/>
        </w:rPr>
        <w:t>66.36</w:t>
      </w:r>
      <w:r w:rsidRPr="00B37D5D">
        <w:rPr>
          <w:sz w:val="24"/>
          <w:szCs w:val="24"/>
        </w:rPr>
        <w:t xml:space="preserve">% of their local roads </w:t>
      </w:r>
      <w:r>
        <w:rPr>
          <w:sz w:val="24"/>
          <w:szCs w:val="24"/>
        </w:rPr>
        <w:t xml:space="preserve">against the </w:t>
      </w:r>
      <w:r w:rsidRPr="00B37D5D">
        <w:rPr>
          <w:sz w:val="24"/>
          <w:szCs w:val="24"/>
        </w:rPr>
        <w:t xml:space="preserve">PSCI </w:t>
      </w:r>
      <w:r>
        <w:rPr>
          <w:sz w:val="24"/>
          <w:szCs w:val="24"/>
        </w:rPr>
        <w:t>a</w:t>
      </w:r>
      <w:r w:rsidRPr="00B37D5D">
        <w:rPr>
          <w:sz w:val="24"/>
          <w:szCs w:val="24"/>
        </w:rPr>
        <w:t>s at 31/12/</w:t>
      </w:r>
      <w:r>
        <w:rPr>
          <w:sz w:val="24"/>
          <w:szCs w:val="24"/>
        </w:rPr>
        <w:t>2014.</w:t>
      </w:r>
      <w:r w:rsidRPr="00866531">
        <w:rPr>
          <w:sz w:val="24"/>
          <w:szCs w:val="24"/>
        </w:rPr>
        <w:t xml:space="preserve"> </w:t>
      </w:r>
    </w:p>
    <w:p w:rsidR="007C12D5" w:rsidRDefault="007C12D5" w:rsidP="007C12D5">
      <w:pPr>
        <w:jc w:val="both"/>
        <w:rPr>
          <w:sz w:val="24"/>
          <w:szCs w:val="24"/>
        </w:rPr>
      </w:pPr>
      <w:r>
        <w:rPr>
          <w:sz w:val="24"/>
          <w:szCs w:val="24"/>
        </w:rPr>
        <w:t>It is important to note that a number of local authorities</w:t>
      </w:r>
      <w:r>
        <w:rPr>
          <w:rStyle w:val="FootnoteReference"/>
          <w:sz w:val="24"/>
          <w:szCs w:val="24"/>
        </w:rPr>
        <w:footnoteReference w:id="3"/>
      </w:r>
      <w:r>
        <w:rPr>
          <w:sz w:val="24"/>
          <w:szCs w:val="24"/>
        </w:rPr>
        <w:t xml:space="preserve"> had not commenced the assessment of regional and local roads against the PSCI rating system in 2014. Where this is the case, an N/A or ‘not applicable’ is recorded. In addition a number of local authorities had undertaken mechanical surveys of their pavement surfaces prior to 2014 which, although available to local authorities, were not recorded against the </w:t>
      </w:r>
      <w:proofErr w:type="spellStart"/>
      <w:r>
        <w:rPr>
          <w:sz w:val="24"/>
          <w:szCs w:val="24"/>
        </w:rPr>
        <w:t>MapRoad</w:t>
      </w:r>
      <w:proofErr w:type="spellEnd"/>
      <w:r>
        <w:rPr>
          <w:sz w:val="24"/>
          <w:szCs w:val="24"/>
        </w:rPr>
        <w:t xml:space="preserve"> System.</w:t>
      </w:r>
    </w:p>
    <w:p w:rsidR="007C12D5" w:rsidRDefault="007C12D5" w:rsidP="007C12D5">
      <w:pPr>
        <w:jc w:val="both"/>
        <w:rPr>
          <w:sz w:val="24"/>
          <w:szCs w:val="24"/>
        </w:rPr>
      </w:pPr>
      <w:r>
        <w:rPr>
          <w:sz w:val="24"/>
          <w:szCs w:val="24"/>
        </w:rPr>
        <w:t>Where undertaken, T</w:t>
      </w:r>
      <w:r w:rsidRPr="00E41A33">
        <w:rPr>
          <w:sz w:val="24"/>
          <w:szCs w:val="24"/>
        </w:rPr>
        <w:t>able</w:t>
      </w:r>
      <w:r>
        <w:rPr>
          <w:sz w:val="24"/>
          <w:szCs w:val="24"/>
        </w:rPr>
        <w:t>s</w:t>
      </w:r>
      <w:r w:rsidRPr="00E41A33">
        <w:rPr>
          <w:sz w:val="24"/>
          <w:szCs w:val="24"/>
        </w:rPr>
        <w:t xml:space="preserve"> </w:t>
      </w:r>
      <w:r>
        <w:rPr>
          <w:sz w:val="24"/>
          <w:szCs w:val="24"/>
        </w:rPr>
        <w:t>6</w:t>
      </w:r>
      <w:r w:rsidRPr="00E41A33">
        <w:rPr>
          <w:sz w:val="24"/>
          <w:szCs w:val="24"/>
        </w:rPr>
        <w:t xml:space="preserve"> to </w:t>
      </w:r>
      <w:r>
        <w:rPr>
          <w:sz w:val="24"/>
          <w:szCs w:val="24"/>
        </w:rPr>
        <w:t xml:space="preserve">9 </w:t>
      </w:r>
      <w:r w:rsidRPr="00E41A33">
        <w:rPr>
          <w:sz w:val="24"/>
          <w:szCs w:val="24"/>
        </w:rPr>
        <w:t xml:space="preserve">record the rating, on the condition of regional and local roads, as a percentage of the road </w:t>
      </w:r>
      <w:r>
        <w:rPr>
          <w:sz w:val="24"/>
          <w:szCs w:val="24"/>
        </w:rPr>
        <w:t xml:space="preserve">that was surveyed by local authorities </w:t>
      </w:r>
      <w:r w:rsidRPr="00E41A33">
        <w:rPr>
          <w:sz w:val="24"/>
          <w:szCs w:val="24"/>
        </w:rPr>
        <w:t xml:space="preserve">and recorded on the </w:t>
      </w:r>
      <w:proofErr w:type="spellStart"/>
      <w:r>
        <w:rPr>
          <w:sz w:val="24"/>
          <w:szCs w:val="24"/>
        </w:rPr>
        <w:t>MapRoad</w:t>
      </w:r>
      <w:proofErr w:type="spellEnd"/>
      <w:r>
        <w:rPr>
          <w:sz w:val="24"/>
          <w:szCs w:val="24"/>
        </w:rPr>
        <w:t xml:space="preserve"> system as at 31/12/2014. For the purpose of analysing the data presented in these tables we have condensed the 10 categories, as per Department of Transport, Tourism and Sport, under four headings; Structural Distress (Category 1-4), Pavement Defects (Category 5-6), Surface Defects (Category 7-8) and Minor/No Visible Defects (Category 9-10). The colour coding used is similar to that used for the PSCI Rating Table. </w:t>
      </w:r>
    </w:p>
    <w:p w:rsidR="007C12D5" w:rsidRDefault="007C12D5" w:rsidP="007C12D5">
      <w:pPr>
        <w:jc w:val="both"/>
        <w:rPr>
          <w:sz w:val="24"/>
          <w:szCs w:val="24"/>
        </w:rPr>
      </w:pPr>
      <w:r>
        <w:rPr>
          <w:sz w:val="24"/>
          <w:szCs w:val="24"/>
        </w:rPr>
        <w:t xml:space="preserve">The data recorded in these tables, summarised in Graphs 6-10 over, indicates that, </w:t>
      </w:r>
      <w:r w:rsidRPr="00CF616C">
        <w:rPr>
          <w:i/>
          <w:sz w:val="24"/>
          <w:szCs w:val="24"/>
        </w:rPr>
        <w:t>where surveyed</w:t>
      </w:r>
      <w:r>
        <w:rPr>
          <w:sz w:val="24"/>
          <w:szCs w:val="24"/>
        </w:rPr>
        <w:t>, the condition rating for regional and local roads is as follows:</w:t>
      </w:r>
    </w:p>
    <w:p w:rsidR="007C12D5" w:rsidRDefault="007C12D5" w:rsidP="007C12D5">
      <w:pPr>
        <w:rPr>
          <w:sz w:val="24"/>
          <w:szCs w:val="24"/>
        </w:rPr>
      </w:pPr>
    </w:p>
    <w:p w:rsidR="007C12D5" w:rsidRDefault="007C12D5" w:rsidP="007C12D5">
      <w:pPr>
        <w:pStyle w:val="ListParagraph"/>
        <w:numPr>
          <w:ilvl w:val="0"/>
          <w:numId w:val="19"/>
        </w:numPr>
        <w:ind w:left="851" w:hanging="284"/>
        <w:jc w:val="both"/>
        <w:rPr>
          <w:sz w:val="24"/>
          <w:szCs w:val="24"/>
        </w:rPr>
      </w:pPr>
      <w:r>
        <w:rPr>
          <w:noProof/>
          <w:sz w:val="24"/>
          <w:szCs w:val="24"/>
          <w:lang w:eastAsia="en-IE"/>
        </w:rPr>
        <w:lastRenderedPageBreak/>
        <w:drawing>
          <wp:anchor distT="0" distB="0" distL="114300" distR="114300" simplePos="0" relativeHeight="251660288" behindDoc="0" locked="0" layoutInCell="1" allowOverlap="1" wp14:anchorId="7F1EC601" wp14:editId="5A9EFEAF">
            <wp:simplePos x="0" y="0"/>
            <wp:positionH relativeFrom="margin">
              <wp:posOffset>2857500</wp:posOffset>
            </wp:positionH>
            <wp:positionV relativeFrom="margin">
              <wp:posOffset>-42545</wp:posOffset>
            </wp:positionV>
            <wp:extent cx="3287395" cy="1846580"/>
            <wp:effectExtent l="19050" t="0" r="27305" b="1270"/>
            <wp:wrapSquare wrapText="bothSides"/>
            <wp:docPr id="8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Pr>
          <w:sz w:val="24"/>
          <w:szCs w:val="24"/>
        </w:rPr>
        <w:t xml:space="preserve">24% of </w:t>
      </w:r>
      <w:r w:rsidRPr="00AF3C68">
        <w:rPr>
          <w:b/>
          <w:sz w:val="24"/>
          <w:szCs w:val="24"/>
        </w:rPr>
        <w:t>Regional roads</w:t>
      </w:r>
      <w:r>
        <w:rPr>
          <w:sz w:val="24"/>
          <w:szCs w:val="24"/>
        </w:rPr>
        <w:t xml:space="preserve"> surveyed have minor or no surface defects (Cat. 9-10), 44% have extensive to moderate surface defects (Cat. 7-8), 24% have moderate to significant pavement defects (Cat. 5-6) and 8% have some level of structural distress (Cat. 1-4);</w:t>
      </w:r>
    </w:p>
    <w:p w:rsidR="007C12D5" w:rsidRPr="00DD67B0" w:rsidRDefault="007C12D5" w:rsidP="007C12D5">
      <w:pPr>
        <w:pStyle w:val="ListParagraph"/>
        <w:ind w:left="851"/>
        <w:rPr>
          <w:sz w:val="16"/>
          <w:szCs w:val="16"/>
        </w:rPr>
      </w:pPr>
    </w:p>
    <w:p w:rsidR="007C12D5" w:rsidRPr="00DD67B0" w:rsidRDefault="007C12D5" w:rsidP="007C12D5">
      <w:pPr>
        <w:pStyle w:val="ListParagraph"/>
        <w:numPr>
          <w:ilvl w:val="0"/>
          <w:numId w:val="29"/>
        </w:numPr>
        <w:spacing w:after="0"/>
        <w:ind w:left="851" w:hanging="284"/>
        <w:jc w:val="both"/>
        <w:rPr>
          <w:sz w:val="24"/>
          <w:szCs w:val="24"/>
        </w:rPr>
      </w:pPr>
      <w:r>
        <w:rPr>
          <w:noProof/>
          <w:sz w:val="24"/>
          <w:szCs w:val="24"/>
          <w:lang w:eastAsia="en-IE"/>
        </w:rPr>
        <w:drawing>
          <wp:anchor distT="0" distB="0" distL="114300" distR="114300" simplePos="0" relativeHeight="251661312" behindDoc="0" locked="0" layoutInCell="1" allowOverlap="1" wp14:anchorId="209D7630" wp14:editId="53CBD785">
            <wp:simplePos x="0" y="0"/>
            <wp:positionH relativeFrom="margin">
              <wp:posOffset>2814955</wp:posOffset>
            </wp:positionH>
            <wp:positionV relativeFrom="margin">
              <wp:posOffset>1955800</wp:posOffset>
            </wp:positionV>
            <wp:extent cx="3287395" cy="1848485"/>
            <wp:effectExtent l="0" t="0" r="8255" b="0"/>
            <wp:wrapSquare wrapText="bothSides"/>
            <wp:docPr id="9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Pr="00DD67B0">
        <w:rPr>
          <w:sz w:val="24"/>
          <w:szCs w:val="24"/>
        </w:rPr>
        <w:t xml:space="preserve">15% of </w:t>
      </w:r>
      <w:r w:rsidRPr="00DD67B0">
        <w:rPr>
          <w:b/>
          <w:sz w:val="24"/>
          <w:szCs w:val="24"/>
        </w:rPr>
        <w:t>Local Primary roads</w:t>
      </w:r>
      <w:r w:rsidRPr="00DD67B0">
        <w:rPr>
          <w:sz w:val="24"/>
          <w:szCs w:val="24"/>
        </w:rPr>
        <w:t xml:space="preserve"> surveyed have minor or no surface defects (</w:t>
      </w:r>
      <w:r>
        <w:rPr>
          <w:sz w:val="24"/>
          <w:szCs w:val="24"/>
        </w:rPr>
        <w:t>C</w:t>
      </w:r>
      <w:r w:rsidRPr="00DD67B0">
        <w:rPr>
          <w:sz w:val="24"/>
          <w:szCs w:val="24"/>
        </w:rPr>
        <w:t>at. 9-10), 43% have extensive to moderate surface defects (Cat. 7-8), 31% have moderate to significant pavement defects (Cat. 5-6) and 11% have some level of structural distress (Cat. 1-4);</w:t>
      </w:r>
    </w:p>
    <w:p w:rsidR="007C12D5" w:rsidRPr="0021766D" w:rsidRDefault="007C12D5" w:rsidP="007C12D5">
      <w:pPr>
        <w:spacing w:after="0" w:line="240" w:lineRule="auto"/>
        <w:ind w:left="851"/>
        <w:rPr>
          <w:sz w:val="16"/>
          <w:szCs w:val="16"/>
        </w:rPr>
      </w:pPr>
      <w:r w:rsidRPr="0021766D">
        <w:rPr>
          <w:noProof/>
          <w:sz w:val="16"/>
          <w:szCs w:val="16"/>
          <w:lang w:eastAsia="en-IE"/>
        </w:rPr>
        <w:drawing>
          <wp:anchor distT="0" distB="0" distL="114300" distR="114300" simplePos="0" relativeHeight="251662336" behindDoc="0" locked="0" layoutInCell="1" allowOverlap="1" wp14:anchorId="4E17D91D" wp14:editId="03F11889">
            <wp:simplePos x="0" y="0"/>
            <wp:positionH relativeFrom="margin">
              <wp:posOffset>2806700</wp:posOffset>
            </wp:positionH>
            <wp:positionV relativeFrom="margin">
              <wp:posOffset>3880485</wp:posOffset>
            </wp:positionV>
            <wp:extent cx="3295650" cy="1848485"/>
            <wp:effectExtent l="19050" t="0" r="19050" b="0"/>
            <wp:wrapSquare wrapText="bothSides"/>
            <wp:docPr id="9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7C12D5" w:rsidRDefault="007C12D5" w:rsidP="007C12D5">
      <w:pPr>
        <w:pStyle w:val="ListParagraph"/>
        <w:numPr>
          <w:ilvl w:val="0"/>
          <w:numId w:val="19"/>
        </w:numPr>
        <w:spacing w:after="0"/>
        <w:ind w:left="851" w:hanging="284"/>
        <w:jc w:val="both"/>
        <w:rPr>
          <w:sz w:val="24"/>
          <w:szCs w:val="24"/>
        </w:rPr>
      </w:pPr>
      <w:r>
        <w:rPr>
          <w:sz w:val="24"/>
          <w:szCs w:val="24"/>
        </w:rPr>
        <w:t xml:space="preserve">12% of </w:t>
      </w:r>
      <w:r w:rsidRPr="00AF3C68">
        <w:rPr>
          <w:b/>
          <w:sz w:val="24"/>
          <w:szCs w:val="24"/>
        </w:rPr>
        <w:t>Local Secondary roads</w:t>
      </w:r>
      <w:r>
        <w:rPr>
          <w:sz w:val="24"/>
          <w:szCs w:val="24"/>
        </w:rPr>
        <w:t xml:space="preserve"> surveyed have minor or no surface defects (Cat. 9-10), 36% have extensive to moderate surface defects (Cat. 7-8), 35% have moderate to significant pavement defects (Cat. 5-6) and 17% have some level of structural distress (Cat. 1-4); and</w:t>
      </w:r>
    </w:p>
    <w:p w:rsidR="007C12D5" w:rsidRPr="00DD67B0" w:rsidRDefault="007C12D5" w:rsidP="007C12D5">
      <w:pPr>
        <w:pStyle w:val="ListParagraph"/>
        <w:ind w:left="851"/>
        <w:rPr>
          <w:sz w:val="16"/>
          <w:szCs w:val="16"/>
        </w:rPr>
      </w:pPr>
    </w:p>
    <w:p w:rsidR="007C12D5" w:rsidRDefault="007C12D5" w:rsidP="007C12D5">
      <w:pPr>
        <w:pStyle w:val="ListParagraph"/>
        <w:numPr>
          <w:ilvl w:val="0"/>
          <w:numId w:val="30"/>
        </w:numPr>
        <w:tabs>
          <w:tab w:val="left" w:pos="4253"/>
        </w:tabs>
        <w:spacing w:after="0"/>
        <w:ind w:left="851"/>
        <w:jc w:val="both"/>
        <w:rPr>
          <w:sz w:val="24"/>
          <w:szCs w:val="24"/>
        </w:rPr>
      </w:pPr>
      <w:r>
        <w:rPr>
          <w:noProof/>
          <w:sz w:val="24"/>
          <w:szCs w:val="24"/>
          <w:lang w:eastAsia="en-IE"/>
        </w:rPr>
        <w:drawing>
          <wp:anchor distT="0" distB="0" distL="114300" distR="114300" simplePos="0" relativeHeight="251663360" behindDoc="0" locked="0" layoutInCell="1" allowOverlap="1" wp14:anchorId="534701EE" wp14:editId="6621F035">
            <wp:simplePos x="0" y="0"/>
            <wp:positionH relativeFrom="margin">
              <wp:posOffset>2981325</wp:posOffset>
            </wp:positionH>
            <wp:positionV relativeFrom="margin">
              <wp:posOffset>5838825</wp:posOffset>
            </wp:positionV>
            <wp:extent cx="3291205" cy="1847850"/>
            <wp:effectExtent l="0" t="0" r="4445" b="0"/>
            <wp:wrapSquare wrapText="bothSides"/>
            <wp:docPr id="9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Pr="00DD67B0">
        <w:rPr>
          <w:sz w:val="24"/>
          <w:szCs w:val="24"/>
        </w:rPr>
        <w:t xml:space="preserve">10% of </w:t>
      </w:r>
      <w:r w:rsidRPr="00DD67B0">
        <w:rPr>
          <w:b/>
          <w:sz w:val="24"/>
          <w:szCs w:val="24"/>
        </w:rPr>
        <w:t>Local Tertiary roads</w:t>
      </w:r>
      <w:r w:rsidRPr="00DD67B0">
        <w:rPr>
          <w:sz w:val="24"/>
          <w:szCs w:val="24"/>
        </w:rPr>
        <w:t xml:space="preserve"> surveyed have minor or no surface defects (Cat. 9-10), 29% have extensive to moderate surface defects</w:t>
      </w:r>
      <w:r>
        <w:rPr>
          <w:sz w:val="24"/>
          <w:szCs w:val="24"/>
        </w:rPr>
        <w:t xml:space="preserve"> </w:t>
      </w:r>
      <w:r w:rsidRPr="00DD67B0">
        <w:rPr>
          <w:sz w:val="24"/>
          <w:szCs w:val="24"/>
        </w:rPr>
        <w:t>(Cat. 7-8), 30% have moderate to significant pavement defects (Cat. 5-6) and 31% have some level of structural distress (Cat. 1-4).</w:t>
      </w:r>
    </w:p>
    <w:p w:rsidR="007C12D5" w:rsidRPr="0021766D" w:rsidRDefault="007C12D5" w:rsidP="007C12D5">
      <w:pPr>
        <w:pStyle w:val="ListParagraph"/>
        <w:tabs>
          <w:tab w:val="left" w:pos="4253"/>
        </w:tabs>
        <w:spacing w:after="0"/>
        <w:ind w:left="851"/>
        <w:jc w:val="both"/>
        <w:rPr>
          <w:sz w:val="16"/>
          <w:szCs w:val="16"/>
        </w:rPr>
      </w:pPr>
    </w:p>
    <w:p w:rsidR="007C12D5" w:rsidRDefault="007C12D5" w:rsidP="007C12D5">
      <w:pPr>
        <w:pStyle w:val="ListParagraph"/>
        <w:numPr>
          <w:ilvl w:val="0"/>
          <w:numId w:val="19"/>
        </w:numPr>
        <w:spacing w:after="0" w:line="240" w:lineRule="auto"/>
        <w:ind w:left="284" w:hanging="284"/>
      </w:pPr>
      <w:r w:rsidRPr="004C489B">
        <w:rPr>
          <w:b/>
          <w:color w:val="1F497D" w:themeColor="text2"/>
          <w:sz w:val="24"/>
          <w:szCs w:val="24"/>
        </w:rPr>
        <w:t>Legend:</w:t>
      </w:r>
      <w:r>
        <w:rPr>
          <w:noProof/>
          <w:lang w:eastAsia="en-IE"/>
        </w:rPr>
        <w:t xml:space="preserve">     </w:t>
      </w:r>
      <w:r w:rsidRPr="00AF3C68">
        <w:rPr>
          <w:noProof/>
          <w:color w:val="943634" w:themeColor="accent2" w:themeShade="BF"/>
          <w:sz w:val="18"/>
          <w:szCs w:val="18"/>
          <w:lang w:eastAsia="en-IE"/>
        </w:rPr>
        <w:t>Cat. 1-4</w:t>
      </w:r>
      <w:r w:rsidRPr="00AF3C68">
        <w:rPr>
          <w:noProof/>
          <w:sz w:val="18"/>
          <w:szCs w:val="18"/>
          <w:lang w:eastAsia="en-IE"/>
        </w:rPr>
        <w:t xml:space="preserve">                    </w:t>
      </w:r>
      <w:r>
        <w:rPr>
          <w:noProof/>
          <w:sz w:val="18"/>
          <w:szCs w:val="18"/>
          <w:lang w:eastAsia="en-IE"/>
        </w:rPr>
        <w:t xml:space="preserve"> </w:t>
      </w:r>
      <w:r w:rsidRPr="00AF3C68">
        <w:rPr>
          <w:noProof/>
          <w:color w:val="E36C0A" w:themeColor="accent6" w:themeShade="BF"/>
          <w:sz w:val="18"/>
          <w:szCs w:val="18"/>
          <w:lang w:eastAsia="en-IE"/>
        </w:rPr>
        <w:t>Cat. 5-6</w:t>
      </w:r>
      <w:r w:rsidRPr="00AF3C68">
        <w:rPr>
          <w:noProof/>
          <w:sz w:val="18"/>
          <w:szCs w:val="18"/>
          <w:lang w:eastAsia="en-IE"/>
        </w:rPr>
        <w:t xml:space="preserve">               </w:t>
      </w:r>
      <w:r>
        <w:rPr>
          <w:noProof/>
          <w:sz w:val="18"/>
          <w:szCs w:val="18"/>
          <w:lang w:eastAsia="en-IE"/>
        </w:rPr>
        <w:t xml:space="preserve">   </w:t>
      </w:r>
      <w:r w:rsidRPr="00AF3C68">
        <w:rPr>
          <w:noProof/>
          <w:sz w:val="18"/>
          <w:szCs w:val="18"/>
          <w:lang w:eastAsia="en-IE"/>
        </w:rPr>
        <w:t xml:space="preserve"> </w:t>
      </w:r>
      <w:r w:rsidRPr="00AF3C68">
        <w:rPr>
          <w:noProof/>
          <w:color w:val="548DD4" w:themeColor="text2" w:themeTint="99"/>
          <w:sz w:val="18"/>
          <w:szCs w:val="18"/>
          <w:lang w:eastAsia="en-IE"/>
        </w:rPr>
        <w:t>Cat. 7-8</w:t>
      </w:r>
      <w:r w:rsidRPr="00AF3C68">
        <w:rPr>
          <w:noProof/>
          <w:sz w:val="18"/>
          <w:szCs w:val="18"/>
          <w:lang w:eastAsia="en-IE"/>
        </w:rPr>
        <w:t xml:space="preserve">               </w:t>
      </w:r>
      <w:r>
        <w:rPr>
          <w:noProof/>
          <w:sz w:val="18"/>
          <w:szCs w:val="18"/>
          <w:lang w:eastAsia="en-IE"/>
        </w:rPr>
        <w:t xml:space="preserve">         </w:t>
      </w:r>
      <w:r w:rsidRPr="00AF3C68">
        <w:rPr>
          <w:noProof/>
          <w:color w:val="76923C" w:themeColor="accent3" w:themeShade="BF"/>
          <w:sz w:val="18"/>
          <w:szCs w:val="18"/>
          <w:lang w:eastAsia="en-IE"/>
        </w:rPr>
        <w:t>Cat. 9-10</w:t>
      </w:r>
      <w:r>
        <w:rPr>
          <w:noProof/>
          <w:lang w:eastAsia="en-IE"/>
        </w:rPr>
        <w:drawing>
          <wp:inline distT="0" distB="0" distL="0" distR="0" wp14:anchorId="3F091EE9" wp14:editId="5BF39B92">
            <wp:extent cx="5096318" cy="393405"/>
            <wp:effectExtent l="19050" t="0" r="28132" b="6645"/>
            <wp:docPr id="9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C12D5" w:rsidRPr="00F27497" w:rsidRDefault="007C12D5" w:rsidP="007C12D5">
      <w:pPr>
        <w:rPr>
          <w:sz w:val="24"/>
          <w:szCs w:val="24"/>
        </w:rPr>
      </w:pPr>
      <w:r>
        <w:rPr>
          <w:noProof/>
          <w:sz w:val="24"/>
          <w:szCs w:val="24"/>
          <w:lang w:eastAsia="en-IE"/>
        </w:rPr>
        <w:lastRenderedPageBreak/>
        <w:drawing>
          <wp:inline distT="0" distB="0" distL="0" distR="0" wp14:anchorId="2BA42275" wp14:editId="52CAA3FE">
            <wp:extent cx="4572000" cy="2743200"/>
            <wp:effectExtent l="19050" t="0" r="19050" b="0"/>
            <wp:docPr id="9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C12D5" w:rsidRDefault="007C12D5" w:rsidP="007C12D5">
      <w:pPr>
        <w:jc w:val="both"/>
        <w:rPr>
          <w:sz w:val="24"/>
          <w:szCs w:val="24"/>
        </w:rPr>
      </w:pPr>
      <w:r w:rsidRPr="00F27497">
        <w:rPr>
          <w:sz w:val="24"/>
          <w:szCs w:val="24"/>
        </w:rPr>
        <w:t xml:space="preserve">Using </w:t>
      </w:r>
      <w:r>
        <w:rPr>
          <w:sz w:val="24"/>
          <w:szCs w:val="24"/>
        </w:rPr>
        <w:t>this data</w:t>
      </w:r>
      <w:r w:rsidRPr="00F27497">
        <w:rPr>
          <w:sz w:val="24"/>
          <w:szCs w:val="24"/>
        </w:rPr>
        <w:t xml:space="preserve"> it will be possible </w:t>
      </w:r>
      <w:r>
        <w:rPr>
          <w:sz w:val="24"/>
          <w:szCs w:val="24"/>
        </w:rPr>
        <w:t xml:space="preserve">for local authorities </w:t>
      </w:r>
      <w:r w:rsidRPr="00F27497">
        <w:rPr>
          <w:sz w:val="24"/>
          <w:szCs w:val="24"/>
        </w:rPr>
        <w:t xml:space="preserve">to track and trend the condition of </w:t>
      </w:r>
      <w:r>
        <w:rPr>
          <w:sz w:val="24"/>
          <w:szCs w:val="24"/>
        </w:rPr>
        <w:t xml:space="preserve">the road </w:t>
      </w:r>
      <w:r w:rsidRPr="00F27497">
        <w:rPr>
          <w:sz w:val="24"/>
          <w:szCs w:val="24"/>
        </w:rPr>
        <w:t>network</w:t>
      </w:r>
      <w:r>
        <w:rPr>
          <w:sz w:val="24"/>
          <w:szCs w:val="24"/>
        </w:rPr>
        <w:t xml:space="preserve">, </w:t>
      </w:r>
      <w:r w:rsidRPr="00F27497">
        <w:rPr>
          <w:sz w:val="24"/>
          <w:szCs w:val="24"/>
        </w:rPr>
        <w:t>both globally and broken into its components (Regional, Local etc.)</w:t>
      </w:r>
      <w:r>
        <w:rPr>
          <w:sz w:val="24"/>
          <w:szCs w:val="24"/>
        </w:rPr>
        <w:t>, to assess the treatment required and to allocate road budgets accordingly</w:t>
      </w:r>
      <w:r w:rsidRPr="00F27497">
        <w:rPr>
          <w:sz w:val="24"/>
          <w:szCs w:val="24"/>
        </w:rPr>
        <w:t xml:space="preserve">.  The </w:t>
      </w:r>
      <w:r>
        <w:rPr>
          <w:sz w:val="24"/>
          <w:szCs w:val="24"/>
        </w:rPr>
        <w:t xml:space="preserve">PSCI ratings </w:t>
      </w:r>
      <w:r w:rsidRPr="00F27497">
        <w:rPr>
          <w:sz w:val="24"/>
          <w:szCs w:val="24"/>
        </w:rPr>
        <w:t xml:space="preserve">will also </w:t>
      </w:r>
      <w:r>
        <w:rPr>
          <w:sz w:val="24"/>
          <w:szCs w:val="24"/>
        </w:rPr>
        <w:t xml:space="preserve">support the development of </w:t>
      </w:r>
      <w:r w:rsidRPr="00F27497">
        <w:rPr>
          <w:sz w:val="24"/>
          <w:szCs w:val="24"/>
        </w:rPr>
        <w:t xml:space="preserve">key performance indicators (KPIs) and </w:t>
      </w:r>
      <w:r>
        <w:rPr>
          <w:sz w:val="24"/>
          <w:szCs w:val="24"/>
        </w:rPr>
        <w:t xml:space="preserve">enable </w:t>
      </w:r>
      <w:r w:rsidRPr="00F27497">
        <w:rPr>
          <w:sz w:val="24"/>
          <w:szCs w:val="24"/>
        </w:rPr>
        <w:t xml:space="preserve">performance to be compared with other networks in other countries.  PSCI can also be used </w:t>
      </w:r>
      <w:r>
        <w:rPr>
          <w:sz w:val="24"/>
          <w:szCs w:val="24"/>
        </w:rPr>
        <w:t xml:space="preserve">by the </w:t>
      </w:r>
      <w:proofErr w:type="spellStart"/>
      <w:r>
        <w:rPr>
          <w:sz w:val="24"/>
          <w:szCs w:val="24"/>
        </w:rPr>
        <w:t>DTTaS</w:t>
      </w:r>
      <w:proofErr w:type="spellEnd"/>
      <w:r>
        <w:rPr>
          <w:sz w:val="24"/>
          <w:szCs w:val="24"/>
        </w:rPr>
        <w:t xml:space="preserve"> to determine the requirements for f</w:t>
      </w:r>
      <w:r w:rsidRPr="00F27497">
        <w:rPr>
          <w:sz w:val="24"/>
          <w:szCs w:val="24"/>
        </w:rPr>
        <w:t xml:space="preserve">unding </w:t>
      </w:r>
      <w:r>
        <w:rPr>
          <w:sz w:val="24"/>
          <w:szCs w:val="24"/>
        </w:rPr>
        <w:t>the r</w:t>
      </w:r>
      <w:r w:rsidRPr="00F27497">
        <w:rPr>
          <w:sz w:val="24"/>
          <w:szCs w:val="24"/>
        </w:rPr>
        <w:t xml:space="preserve">oad pavement network, both at present and for the future. </w:t>
      </w:r>
    </w:p>
    <w:p w:rsidR="007C12D5" w:rsidRDefault="007C12D5" w:rsidP="007C12D5">
      <w:pPr>
        <w:jc w:val="both"/>
        <w:rPr>
          <w:sz w:val="24"/>
          <w:szCs w:val="24"/>
        </w:rPr>
      </w:pPr>
      <w:r w:rsidRPr="00811CE0">
        <w:rPr>
          <w:sz w:val="24"/>
          <w:szCs w:val="24"/>
        </w:rPr>
        <w:t>The</w:t>
      </w:r>
      <w:r>
        <w:rPr>
          <w:sz w:val="24"/>
          <w:szCs w:val="24"/>
        </w:rPr>
        <w:t xml:space="preserve"> indicators also show that the</w:t>
      </w:r>
      <w:r w:rsidRPr="00811CE0">
        <w:rPr>
          <w:sz w:val="24"/>
          <w:szCs w:val="24"/>
        </w:rPr>
        <w:t xml:space="preserve"> percentage of motor tax transactions carried out on</w:t>
      </w:r>
      <w:r>
        <w:rPr>
          <w:sz w:val="24"/>
          <w:szCs w:val="24"/>
        </w:rPr>
        <w:t>-</w:t>
      </w:r>
      <w:r w:rsidRPr="00811CE0">
        <w:rPr>
          <w:sz w:val="24"/>
          <w:szCs w:val="24"/>
        </w:rPr>
        <w:t xml:space="preserve">line </w:t>
      </w:r>
      <w:r>
        <w:rPr>
          <w:sz w:val="24"/>
          <w:szCs w:val="24"/>
        </w:rPr>
        <w:t xml:space="preserve">continues to grow: </w:t>
      </w:r>
      <w:r w:rsidRPr="00811CE0">
        <w:rPr>
          <w:sz w:val="24"/>
          <w:szCs w:val="24"/>
        </w:rPr>
        <w:t>from a median average of 29</w:t>
      </w:r>
      <w:r>
        <w:rPr>
          <w:sz w:val="24"/>
          <w:szCs w:val="24"/>
        </w:rPr>
        <w:t>.2</w:t>
      </w:r>
      <w:r w:rsidRPr="00811CE0">
        <w:rPr>
          <w:sz w:val="24"/>
          <w:szCs w:val="24"/>
        </w:rPr>
        <w:t>% in 2010 to 50</w:t>
      </w:r>
      <w:r>
        <w:rPr>
          <w:sz w:val="24"/>
          <w:szCs w:val="24"/>
        </w:rPr>
        <w:t xml:space="preserve">.02% in 2014, </w:t>
      </w:r>
      <w:r w:rsidRPr="00811CE0">
        <w:rPr>
          <w:sz w:val="24"/>
          <w:szCs w:val="24"/>
        </w:rPr>
        <w:t xml:space="preserve">an </w:t>
      </w:r>
      <w:r>
        <w:rPr>
          <w:sz w:val="24"/>
          <w:szCs w:val="24"/>
        </w:rPr>
        <w:t xml:space="preserve">overall </w:t>
      </w:r>
      <w:r w:rsidRPr="00811CE0">
        <w:rPr>
          <w:sz w:val="24"/>
          <w:szCs w:val="24"/>
        </w:rPr>
        <w:t>increase of 71.3%</w:t>
      </w:r>
      <w:r>
        <w:rPr>
          <w:sz w:val="24"/>
          <w:szCs w:val="24"/>
        </w:rPr>
        <w:t xml:space="preserve"> in the use of this facility</w:t>
      </w:r>
      <w:r w:rsidRPr="00811CE0">
        <w:rPr>
          <w:sz w:val="24"/>
          <w:szCs w:val="24"/>
        </w:rPr>
        <w:t xml:space="preserve">. </w:t>
      </w:r>
    </w:p>
    <w:p w:rsidR="007C12D5" w:rsidRDefault="007C12D5" w:rsidP="007C12D5">
      <w:pPr>
        <w:tabs>
          <w:tab w:val="left" w:pos="567"/>
        </w:tabs>
        <w:rPr>
          <w:sz w:val="24"/>
          <w:szCs w:val="24"/>
        </w:rPr>
      </w:pPr>
      <w:r>
        <w:rPr>
          <w:sz w:val="24"/>
          <w:szCs w:val="24"/>
        </w:rPr>
        <w:t xml:space="preserve">             </w:t>
      </w:r>
      <w:r w:rsidRPr="00811CE0">
        <w:rPr>
          <w:noProof/>
          <w:sz w:val="24"/>
          <w:szCs w:val="24"/>
          <w:lang w:eastAsia="en-IE"/>
        </w:rPr>
        <w:drawing>
          <wp:inline distT="0" distB="0" distL="0" distR="0" wp14:anchorId="430217AC" wp14:editId="4252F781">
            <wp:extent cx="3657600" cy="2486025"/>
            <wp:effectExtent l="19050" t="0" r="19050" b="0"/>
            <wp:docPr id="9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C12D5" w:rsidRDefault="007C12D5" w:rsidP="007C12D5">
      <w:pPr>
        <w:rPr>
          <w:sz w:val="24"/>
          <w:szCs w:val="24"/>
        </w:rPr>
      </w:pPr>
    </w:p>
    <w:p w:rsidR="007C12D5" w:rsidRDefault="007C12D5" w:rsidP="007C12D5">
      <w:pPr>
        <w:rPr>
          <w:b/>
          <w:color w:val="1F497D" w:themeColor="text2"/>
          <w:sz w:val="28"/>
          <w:szCs w:val="28"/>
        </w:rPr>
      </w:pPr>
      <w:r>
        <w:rPr>
          <w:b/>
          <w:color w:val="1F497D" w:themeColor="text2"/>
          <w:sz w:val="28"/>
          <w:szCs w:val="28"/>
        </w:rPr>
        <w:br w:type="page"/>
      </w:r>
    </w:p>
    <w:p w:rsidR="007C12D5" w:rsidRDefault="007C12D5" w:rsidP="007C12D5">
      <w:pPr>
        <w:rPr>
          <w:b/>
          <w:color w:val="1F497D" w:themeColor="text2"/>
          <w:sz w:val="28"/>
          <w:szCs w:val="28"/>
        </w:rPr>
      </w:pPr>
      <w:r>
        <w:rPr>
          <w:b/>
          <w:color w:val="1F497D" w:themeColor="text2"/>
          <w:sz w:val="28"/>
          <w:szCs w:val="28"/>
        </w:rPr>
        <w:lastRenderedPageBreak/>
        <w:t>2.3</w:t>
      </w:r>
      <w:r>
        <w:rPr>
          <w:b/>
          <w:color w:val="1F497D" w:themeColor="text2"/>
          <w:sz w:val="28"/>
          <w:szCs w:val="28"/>
        </w:rPr>
        <w:tab/>
      </w:r>
      <w:r w:rsidRPr="00540E69">
        <w:rPr>
          <w:b/>
          <w:color w:val="1F497D" w:themeColor="text2"/>
          <w:sz w:val="28"/>
          <w:szCs w:val="28"/>
        </w:rPr>
        <w:t xml:space="preserve">Water </w:t>
      </w:r>
    </w:p>
    <w:p w:rsidR="007C12D5" w:rsidRDefault="007C12D5" w:rsidP="007C12D5">
      <w:pPr>
        <w:autoSpaceDE w:val="0"/>
        <w:autoSpaceDN w:val="0"/>
        <w:adjustRightInd w:val="0"/>
        <w:jc w:val="both"/>
        <w:rPr>
          <w:sz w:val="24"/>
          <w:szCs w:val="24"/>
        </w:rPr>
      </w:pPr>
      <w:r w:rsidRPr="00FF6186">
        <w:rPr>
          <w:sz w:val="24"/>
          <w:szCs w:val="24"/>
        </w:rPr>
        <w:t xml:space="preserve">Irish Water was the statutory body for the provision of water from 01/01/2014. The data provided in Table </w:t>
      </w:r>
      <w:r>
        <w:rPr>
          <w:sz w:val="24"/>
          <w:szCs w:val="24"/>
        </w:rPr>
        <w:t>11</w:t>
      </w:r>
      <w:r w:rsidRPr="00FF6186">
        <w:rPr>
          <w:sz w:val="24"/>
          <w:szCs w:val="24"/>
        </w:rPr>
        <w:t xml:space="preserve"> </w:t>
      </w:r>
      <w:r>
        <w:rPr>
          <w:sz w:val="24"/>
          <w:szCs w:val="24"/>
        </w:rPr>
        <w:t xml:space="preserve">in Section </w:t>
      </w:r>
      <w:r w:rsidR="00DC1289">
        <w:rPr>
          <w:sz w:val="24"/>
          <w:szCs w:val="24"/>
        </w:rPr>
        <w:t>3</w:t>
      </w:r>
      <w:r>
        <w:rPr>
          <w:sz w:val="24"/>
          <w:szCs w:val="24"/>
        </w:rPr>
        <w:t xml:space="preserve"> </w:t>
      </w:r>
      <w:r w:rsidRPr="00FF6186">
        <w:rPr>
          <w:sz w:val="24"/>
          <w:szCs w:val="24"/>
        </w:rPr>
        <w:t xml:space="preserve">on unaccounted for water (UFW), as a percentage of total volume of water supplied between January and June 2015, was provided by the local authorities to Irish Water and was based on actual consumption information available. </w:t>
      </w:r>
      <w:r w:rsidR="00C1316F">
        <w:rPr>
          <w:sz w:val="24"/>
          <w:szCs w:val="24"/>
        </w:rPr>
        <w:t xml:space="preserve"> </w:t>
      </w:r>
      <w:r w:rsidRPr="00FF6186">
        <w:rPr>
          <w:sz w:val="24"/>
          <w:szCs w:val="24"/>
        </w:rPr>
        <w:t xml:space="preserve">Data previously published on UFW in the service indicator reports </w:t>
      </w:r>
      <w:r w:rsidRPr="00FF6186">
        <w:rPr>
          <w:rFonts w:cs="Arial"/>
          <w:sz w:val="24"/>
          <w:szCs w:val="24"/>
        </w:rPr>
        <w:t xml:space="preserve">involved a degree of estimation to calculate the indicator because a number of assumptions were required about the level of water </w:t>
      </w:r>
      <w:r w:rsidRPr="00FF6186">
        <w:rPr>
          <w:rFonts w:cs="Arial"/>
          <w:i/>
          <w:iCs/>
          <w:sz w:val="24"/>
          <w:szCs w:val="24"/>
        </w:rPr>
        <w:t xml:space="preserve">produced </w:t>
      </w:r>
      <w:r w:rsidRPr="00FF6186">
        <w:rPr>
          <w:rFonts w:cs="Arial"/>
          <w:sz w:val="24"/>
          <w:szCs w:val="24"/>
        </w:rPr>
        <w:t xml:space="preserve">and water </w:t>
      </w:r>
      <w:r w:rsidRPr="00FF6186">
        <w:rPr>
          <w:rFonts w:cs="Arial"/>
          <w:i/>
          <w:iCs/>
          <w:sz w:val="24"/>
          <w:szCs w:val="24"/>
        </w:rPr>
        <w:t xml:space="preserve">consumed </w:t>
      </w:r>
      <w:r w:rsidRPr="00FF6186">
        <w:rPr>
          <w:rFonts w:cs="Arial"/>
          <w:sz w:val="24"/>
          <w:szCs w:val="24"/>
        </w:rPr>
        <w:t xml:space="preserve">- in relation to the number of household/non-domestic connections, levels of household consumption, and telemetry. </w:t>
      </w:r>
      <w:r w:rsidR="00C1316F">
        <w:rPr>
          <w:rFonts w:cs="Arial"/>
          <w:sz w:val="24"/>
          <w:szCs w:val="24"/>
        </w:rPr>
        <w:t xml:space="preserve"> </w:t>
      </w:r>
      <w:r w:rsidRPr="00FF6186">
        <w:rPr>
          <w:sz w:val="24"/>
          <w:szCs w:val="24"/>
        </w:rPr>
        <w:t xml:space="preserve">The roll out of domestic metering by Irish Water across the county in 2014 has enabled a calculation of UFW using data based on actual domestic consumption from Irish Water which now presents a more robust baseline. </w:t>
      </w:r>
    </w:p>
    <w:p w:rsidR="007C12D5" w:rsidRDefault="007C12D5" w:rsidP="007C12D5">
      <w:pPr>
        <w:jc w:val="both"/>
        <w:rPr>
          <w:sz w:val="24"/>
          <w:szCs w:val="24"/>
        </w:rPr>
      </w:pPr>
      <w:r>
        <w:rPr>
          <w:sz w:val="24"/>
          <w:szCs w:val="24"/>
        </w:rPr>
        <w:t>This indicator also shows that 99.4% of public drinking water supplies and 97.9% of private drinking water supplies were in compliance with statutory requirements in 2013.</w:t>
      </w:r>
    </w:p>
    <w:p w:rsidR="00793E03" w:rsidRDefault="00793E03" w:rsidP="007C12D5">
      <w:pPr>
        <w:rPr>
          <w:b/>
          <w:color w:val="1F497D" w:themeColor="text2"/>
          <w:sz w:val="28"/>
          <w:szCs w:val="28"/>
        </w:rPr>
      </w:pPr>
    </w:p>
    <w:p w:rsidR="007C12D5" w:rsidRPr="00593BB4" w:rsidRDefault="007C12D5" w:rsidP="007C12D5">
      <w:pPr>
        <w:rPr>
          <w:b/>
          <w:color w:val="1F497D" w:themeColor="text2"/>
          <w:sz w:val="28"/>
          <w:szCs w:val="28"/>
        </w:rPr>
      </w:pPr>
      <w:r>
        <w:rPr>
          <w:b/>
          <w:color w:val="1F497D" w:themeColor="text2"/>
          <w:sz w:val="28"/>
          <w:szCs w:val="28"/>
        </w:rPr>
        <w:t>2.4</w:t>
      </w:r>
      <w:r>
        <w:rPr>
          <w:b/>
          <w:color w:val="1F497D" w:themeColor="text2"/>
          <w:sz w:val="28"/>
          <w:szCs w:val="28"/>
        </w:rPr>
        <w:tab/>
      </w:r>
      <w:r w:rsidRPr="00593BB4">
        <w:rPr>
          <w:b/>
          <w:color w:val="1F497D" w:themeColor="text2"/>
          <w:sz w:val="28"/>
          <w:szCs w:val="28"/>
        </w:rPr>
        <w:t xml:space="preserve">Waste </w:t>
      </w:r>
      <w:r>
        <w:rPr>
          <w:b/>
          <w:color w:val="1F497D" w:themeColor="text2"/>
          <w:sz w:val="28"/>
          <w:szCs w:val="28"/>
        </w:rPr>
        <w:t xml:space="preserve">/ Environment </w:t>
      </w:r>
    </w:p>
    <w:p w:rsidR="007C12D5" w:rsidRPr="00E321E6" w:rsidRDefault="007C12D5" w:rsidP="007C12D5">
      <w:pPr>
        <w:pStyle w:val="ListBullet"/>
        <w:numPr>
          <w:ilvl w:val="0"/>
          <w:numId w:val="0"/>
        </w:numPr>
        <w:spacing w:line="276" w:lineRule="auto"/>
        <w:rPr>
          <w:rFonts w:asciiTheme="minorHAnsi" w:hAnsiTheme="minorHAnsi"/>
          <w:sz w:val="24"/>
          <w:szCs w:val="24"/>
        </w:rPr>
      </w:pPr>
      <w:r w:rsidRPr="00E321E6">
        <w:rPr>
          <w:rFonts w:asciiTheme="minorHAnsi" w:hAnsiTheme="minorHAnsi"/>
          <w:sz w:val="24"/>
          <w:szCs w:val="24"/>
        </w:rPr>
        <w:t xml:space="preserve">A number of indicators measure local authority performance in the delivery of environmental services. This area includes a broad spectrum of services from </w:t>
      </w:r>
      <w:r w:rsidRPr="00E321E6">
        <w:rPr>
          <w:rStyle w:val="apple-converted-space"/>
          <w:rFonts w:asciiTheme="minorHAnsi" w:hAnsiTheme="minorHAnsi"/>
          <w:sz w:val="24"/>
          <w:szCs w:val="24"/>
          <w:shd w:val="clear" w:color="auto" w:fill="FFFFFF"/>
        </w:rPr>
        <w:t>assessing</w:t>
      </w:r>
      <w:r w:rsidRPr="00E321E6">
        <w:rPr>
          <w:rFonts w:asciiTheme="minorHAnsi" w:hAnsiTheme="minorHAnsi" w:cs="Arial"/>
          <w:sz w:val="24"/>
          <w:szCs w:val="24"/>
          <w:shd w:val="clear" w:color="auto" w:fill="FFFFFF"/>
        </w:rPr>
        <w:t xml:space="preserve"> pollution potential and water quality, to driving waste management, enforcement of litter pollution legislation and the creation of greater environmental awareness.</w:t>
      </w:r>
      <w:r>
        <w:rPr>
          <w:rFonts w:asciiTheme="minorHAnsi" w:hAnsiTheme="minorHAnsi" w:cs="Arial"/>
          <w:sz w:val="24"/>
          <w:szCs w:val="24"/>
          <w:shd w:val="clear" w:color="auto" w:fill="FFFFFF"/>
        </w:rPr>
        <w:t xml:space="preserve"> Performance indicators in this area record that in 2014:</w:t>
      </w:r>
    </w:p>
    <w:p w:rsidR="007C12D5" w:rsidRDefault="007C12D5" w:rsidP="007C12D5">
      <w:pPr>
        <w:pStyle w:val="ListBullet"/>
        <w:numPr>
          <w:ilvl w:val="0"/>
          <w:numId w:val="21"/>
        </w:numPr>
        <w:spacing w:line="276" w:lineRule="auto"/>
        <w:ind w:left="851" w:hanging="284"/>
        <w:rPr>
          <w:rFonts w:asciiTheme="minorHAnsi" w:hAnsiTheme="minorHAnsi"/>
          <w:sz w:val="24"/>
          <w:szCs w:val="24"/>
        </w:rPr>
      </w:pPr>
      <w:r>
        <w:rPr>
          <w:rFonts w:asciiTheme="minorHAnsi" w:hAnsiTheme="minorHAnsi"/>
          <w:sz w:val="24"/>
          <w:szCs w:val="24"/>
        </w:rPr>
        <w:t>522,141 households had access to a three-bin service;</w:t>
      </w:r>
    </w:p>
    <w:p w:rsidR="007C12D5" w:rsidRDefault="007C12D5" w:rsidP="007C12D5">
      <w:pPr>
        <w:pStyle w:val="ListBullet"/>
        <w:numPr>
          <w:ilvl w:val="0"/>
          <w:numId w:val="21"/>
        </w:numPr>
        <w:spacing w:line="276" w:lineRule="auto"/>
        <w:ind w:left="851" w:hanging="284"/>
        <w:rPr>
          <w:rFonts w:asciiTheme="minorHAnsi" w:hAnsiTheme="minorHAnsi"/>
          <w:sz w:val="24"/>
          <w:szCs w:val="24"/>
        </w:rPr>
      </w:pPr>
      <w:r>
        <w:rPr>
          <w:rFonts w:asciiTheme="minorHAnsi" w:hAnsiTheme="minorHAnsi"/>
          <w:sz w:val="24"/>
          <w:szCs w:val="24"/>
        </w:rPr>
        <w:t>113 complaints relating to waste were referred to the EPA Office of Environmental Enforcement (OEE) because they persisted after investigation of the complaint by local authorities;</w:t>
      </w:r>
    </w:p>
    <w:p w:rsidR="007C12D5" w:rsidRDefault="007C12D5" w:rsidP="007C12D5">
      <w:pPr>
        <w:pStyle w:val="ListBullet"/>
        <w:numPr>
          <w:ilvl w:val="0"/>
          <w:numId w:val="21"/>
        </w:numPr>
        <w:spacing w:line="276" w:lineRule="auto"/>
        <w:ind w:left="851" w:hanging="284"/>
        <w:rPr>
          <w:rFonts w:asciiTheme="minorHAnsi" w:hAnsiTheme="minorHAnsi"/>
          <w:sz w:val="24"/>
          <w:szCs w:val="24"/>
        </w:rPr>
      </w:pPr>
      <w:r>
        <w:rPr>
          <w:rFonts w:asciiTheme="minorHAnsi" w:hAnsiTheme="minorHAnsi"/>
          <w:sz w:val="24"/>
          <w:szCs w:val="24"/>
        </w:rPr>
        <w:t xml:space="preserve">A total of 54,934 complaints were made to local authorities in regard to litter, noise, </w:t>
      </w:r>
      <w:proofErr w:type="gramStart"/>
      <w:r>
        <w:rPr>
          <w:rFonts w:asciiTheme="minorHAnsi" w:hAnsiTheme="minorHAnsi"/>
          <w:sz w:val="24"/>
          <w:szCs w:val="24"/>
        </w:rPr>
        <w:t>air</w:t>
      </w:r>
      <w:proofErr w:type="gramEnd"/>
      <w:r>
        <w:rPr>
          <w:rFonts w:asciiTheme="minorHAnsi" w:hAnsiTheme="minorHAnsi"/>
          <w:sz w:val="24"/>
          <w:szCs w:val="24"/>
        </w:rPr>
        <w:t xml:space="preserve"> and water pollution. </w:t>
      </w:r>
    </w:p>
    <w:p w:rsidR="007C12D5" w:rsidRDefault="007C12D5" w:rsidP="007C12D5">
      <w:pPr>
        <w:pStyle w:val="ListBullet"/>
        <w:numPr>
          <w:ilvl w:val="0"/>
          <w:numId w:val="0"/>
        </w:numPr>
        <w:spacing w:line="276" w:lineRule="auto"/>
        <w:jc w:val="left"/>
        <w:rPr>
          <w:rFonts w:asciiTheme="minorHAnsi" w:hAnsiTheme="minorHAnsi"/>
          <w:b/>
          <w:sz w:val="24"/>
          <w:szCs w:val="24"/>
        </w:rPr>
      </w:pPr>
    </w:p>
    <w:p w:rsidR="007C12D5" w:rsidRDefault="007C12D5" w:rsidP="007C12D5">
      <w:pPr>
        <w:pStyle w:val="ListBullet"/>
        <w:numPr>
          <w:ilvl w:val="0"/>
          <w:numId w:val="0"/>
        </w:numPr>
        <w:spacing w:line="276" w:lineRule="auto"/>
        <w:rPr>
          <w:rFonts w:asciiTheme="minorHAnsi" w:hAnsiTheme="minorHAnsi"/>
          <w:sz w:val="24"/>
          <w:szCs w:val="24"/>
        </w:rPr>
      </w:pPr>
      <w:r w:rsidRPr="002F2E8B">
        <w:rPr>
          <w:rFonts w:asciiTheme="minorHAnsi" w:hAnsiTheme="minorHAnsi"/>
          <w:sz w:val="24"/>
          <w:szCs w:val="24"/>
        </w:rPr>
        <w:t>The promotion of litter free towns and cities is a</w:t>
      </w:r>
      <w:r>
        <w:rPr>
          <w:rFonts w:asciiTheme="minorHAnsi" w:hAnsiTheme="minorHAnsi"/>
          <w:sz w:val="24"/>
          <w:szCs w:val="24"/>
        </w:rPr>
        <w:t>n</w:t>
      </w:r>
      <w:r w:rsidRPr="002F2E8B">
        <w:rPr>
          <w:rFonts w:asciiTheme="minorHAnsi" w:hAnsiTheme="minorHAnsi"/>
          <w:sz w:val="24"/>
          <w:szCs w:val="24"/>
        </w:rPr>
        <w:t xml:space="preserve"> important function for local authorities.</w:t>
      </w:r>
      <w:r>
        <w:rPr>
          <w:rFonts w:asciiTheme="minorHAnsi" w:hAnsiTheme="minorHAnsi"/>
          <w:sz w:val="24"/>
          <w:szCs w:val="24"/>
        </w:rPr>
        <w:t xml:space="preserve"> Graph 1</w:t>
      </w:r>
      <w:r w:rsidR="00EB3EF8">
        <w:rPr>
          <w:rFonts w:asciiTheme="minorHAnsi" w:hAnsiTheme="minorHAnsi"/>
          <w:sz w:val="24"/>
          <w:szCs w:val="24"/>
        </w:rPr>
        <w:t>2</w:t>
      </w:r>
      <w:r>
        <w:rPr>
          <w:rFonts w:asciiTheme="minorHAnsi" w:hAnsiTheme="minorHAnsi"/>
          <w:sz w:val="24"/>
          <w:szCs w:val="24"/>
        </w:rPr>
        <w:t xml:space="preserve"> below shows that while the percentage of areas classified as “litter free” decreased slightly from 11.30 to 10.93 between 2010 and 2014 (an overall decrease of 3.27%), areas slightly polluted increased from 62.60 to 68.64 (an overall increase of 9.65%) and  areas categorised as  significantly polluted decreased from 0.4 to 0.25 (an overall decrease of 37.5%).  Data used for this indicator was available in respect of 28 of the 31 local authorities. It was submitted by Tobin Consulting Engineers and informs the National Litter Pollution Monitoring System Report as produced by same. </w:t>
      </w:r>
    </w:p>
    <w:p w:rsidR="007C12D5" w:rsidRDefault="007C12D5" w:rsidP="007C12D5">
      <w:pPr>
        <w:pStyle w:val="ListBullet"/>
        <w:numPr>
          <w:ilvl w:val="0"/>
          <w:numId w:val="0"/>
        </w:numPr>
        <w:spacing w:line="276" w:lineRule="auto"/>
        <w:rPr>
          <w:rFonts w:asciiTheme="minorHAnsi" w:hAnsiTheme="minorHAnsi"/>
          <w:sz w:val="24"/>
          <w:szCs w:val="24"/>
        </w:rPr>
      </w:pPr>
      <w:r>
        <w:rPr>
          <w:rFonts w:asciiTheme="minorHAnsi" w:hAnsiTheme="minorHAnsi"/>
          <w:sz w:val="24"/>
          <w:szCs w:val="24"/>
        </w:rPr>
        <w:t xml:space="preserve">                   </w:t>
      </w:r>
    </w:p>
    <w:p w:rsidR="007C12D5" w:rsidRDefault="007C12D5" w:rsidP="007C12D5">
      <w:pPr>
        <w:pStyle w:val="ListBullet"/>
        <w:numPr>
          <w:ilvl w:val="0"/>
          <w:numId w:val="0"/>
        </w:numPr>
        <w:spacing w:line="276" w:lineRule="auto"/>
        <w:rPr>
          <w:rFonts w:asciiTheme="minorHAnsi" w:hAnsiTheme="minorHAnsi"/>
          <w:sz w:val="24"/>
          <w:szCs w:val="24"/>
        </w:rPr>
      </w:pPr>
      <w:r w:rsidRPr="007E3554">
        <w:rPr>
          <w:rFonts w:asciiTheme="minorHAnsi" w:hAnsiTheme="minorHAnsi"/>
          <w:noProof/>
          <w:sz w:val="24"/>
          <w:szCs w:val="24"/>
          <w:lang w:eastAsia="en-IE"/>
        </w:rPr>
        <w:lastRenderedPageBreak/>
        <w:drawing>
          <wp:inline distT="0" distB="0" distL="0" distR="0" wp14:anchorId="03EDD76C" wp14:editId="566E0F9E">
            <wp:extent cx="4629150" cy="3429000"/>
            <wp:effectExtent l="0" t="0" r="0" b="0"/>
            <wp:docPr id="9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C12D5" w:rsidRPr="00811CE0" w:rsidRDefault="007C12D5" w:rsidP="007C12D5">
      <w:pPr>
        <w:pStyle w:val="ListBullet"/>
        <w:numPr>
          <w:ilvl w:val="0"/>
          <w:numId w:val="0"/>
        </w:numPr>
        <w:spacing w:line="276" w:lineRule="auto"/>
        <w:ind w:firstLine="720"/>
        <w:rPr>
          <w:rFonts w:asciiTheme="minorHAnsi" w:hAnsiTheme="minorHAnsi"/>
          <w:i/>
          <w:sz w:val="24"/>
          <w:szCs w:val="24"/>
        </w:rPr>
      </w:pPr>
      <w:r w:rsidRPr="00811CE0">
        <w:rPr>
          <w:rFonts w:asciiTheme="minorHAnsi" w:hAnsiTheme="minorHAnsi"/>
          <w:i/>
          <w:sz w:val="24"/>
          <w:szCs w:val="24"/>
        </w:rPr>
        <w:t xml:space="preserve">Source: Tobin Consulting Engineers </w:t>
      </w:r>
    </w:p>
    <w:p w:rsidR="00793E03" w:rsidRDefault="00793E03" w:rsidP="007C12D5">
      <w:pPr>
        <w:rPr>
          <w:b/>
          <w:color w:val="1F497D" w:themeColor="text2"/>
          <w:sz w:val="28"/>
          <w:szCs w:val="28"/>
        </w:rPr>
      </w:pPr>
    </w:p>
    <w:p w:rsidR="007C12D5" w:rsidRPr="00D2277B" w:rsidRDefault="007C12D5" w:rsidP="007C12D5">
      <w:pPr>
        <w:rPr>
          <w:b/>
          <w:color w:val="1F497D" w:themeColor="text2"/>
          <w:sz w:val="28"/>
          <w:szCs w:val="28"/>
        </w:rPr>
      </w:pPr>
      <w:r>
        <w:rPr>
          <w:b/>
          <w:color w:val="1F497D" w:themeColor="text2"/>
          <w:sz w:val="28"/>
          <w:szCs w:val="28"/>
        </w:rPr>
        <w:t>2.5</w:t>
      </w:r>
      <w:r>
        <w:rPr>
          <w:b/>
          <w:color w:val="1F497D" w:themeColor="text2"/>
          <w:sz w:val="28"/>
          <w:szCs w:val="28"/>
        </w:rPr>
        <w:tab/>
      </w:r>
      <w:r w:rsidRPr="00D2277B">
        <w:rPr>
          <w:b/>
          <w:color w:val="1F497D" w:themeColor="text2"/>
          <w:sz w:val="28"/>
          <w:szCs w:val="28"/>
        </w:rPr>
        <w:t xml:space="preserve">Planning </w:t>
      </w:r>
    </w:p>
    <w:p w:rsidR="007C12D5" w:rsidRPr="006B584C" w:rsidRDefault="007C12D5" w:rsidP="007C12D5">
      <w:pPr>
        <w:tabs>
          <w:tab w:val="left" w:pos="-720"/>
          <w:tab w:val="left" w:pos="0"/>
        </w:tabs>
        <w:suppressAutoHyphens/>
        <w:ind w:right="215"/>
        <w:jc w:val="both"/>
        <w:rPr>
          <w:rFonts w:cs="Arial"/>
          <w:snapToGrid w:val="0"/>
          <w:sz w:val="24"/>
          <w:szCs w:val="24"/>
        </w:rPr>
      </w:pPr>
      <w:r w:rsidRPr="006B584C">
        <w:rPr>
          <w:rFonts w:cs="Arial"/>
          <w:sz w:val="24"/>
          <w:szCs w:val="24"/>
        </w:rPr>
        <w:t>The role of local authorities in planning is concerned not only with carrying out the day to day operation of their regulatory role (planning control) but also with the developmental aspects of planning (forward planning).</w:t>
      </w:r>
      <w:r>
        <w:rPr>
          <w:rFonts w:cs="Arial"/>
          <w:sz w:val="24"/>
          <w:szCs w:val="24"/>
        </w:rPr>
        <w:t xml:space="preserve"> A number of indicators are used to </w:t>
      </w:r>
      <w:r>
        <w:rPr>
          <w:rFonts w:cs="Arial"/>
          <w:snapToGrid w:val="0"/>
          <w:sz w:val="24"/>
          <w:szCs w:val="24"/>
        </w:rPr>
        <w:t>measure</w:t>
      </w:r>
      <w:r w:rsidRPr="006B584C">
        <w:rPr>
          <w:rFonts w:cs="Arial"/>
          <w:snapToGrid w:val="0"/>
          <w:sz w:val="24"/>
          <w:szCs w:val="24"/>
        </w:rPr>
        <w:t xml:space="preserve"> aspects of the service provided by local authorities </w:t>
      </w:r>
      <w:r>
        <w:rPr>
          <w:rFonts w:cs="Arial"/>
          <w:snapToGrid w:val="0"/>
          <w:sz w:val="24"/>
          <w:szCs w:val="24"/>
        </w:rPr>
        <w:t xml:space="preserve">and record the following: </w:t>
      </w:r>
    </w:p>
    <w:p w:rsidR="007C12D5" w:rsidRDefault="007C12D5" w:rsidP="007C12D5">
      <w:pPr>
        <w:pStyle w:val="ListParagraph"/>
        <w:numPr>
          <w:ilvl w:val="0"/>
          <w:numId w:val="22"/>
        </w:numPr>
        <w:spacing w:after="0"/>
        <w:jc w:val="both"/>
        <w:rPr>
          <w:rFonts w:cs="Arial"/>
          <w:snapToGrid w:val="0"/>
          <w:sz w:val="24"/>
          <w:szCs w:val="24"/>
        </w:rPr>
      </w:pPr>
      <w:r>
        <w:rPr>
          <w:rFonts w:cs="Arial"/>
          <w:snapToGrid w:val="0"/>
          <w:sz w:val="24"/>
          <w:szCs w:val="24"/>
        </w:rPr>
        <w:t>The mean average percentage</w:t>
      </w:r>
      <w:r w:rsidRPr="006B584C">
        <w:rPr>
          <w:rFonts w:cs="Arial"/>
          <w:snapToGrid w:val="0"/>
          <w:sz w:val="24"/>
          <w:szCs w:val="24"/>
        </w:rPr>
        <w:t xml:space="preserve"> of new buildings inspected </w:t>
      </w:r>
      <w:r>
        <w:rPr>
          <w:rFonts w:cs="Arial"/>
          <w:snapToGrid w:val="0"/>
          <w:sz w:val="24"/>
          <w:szCs w:val="24"/>
        </w:rPr>
        <w:t>is 22.11%, which is approximately 47% above the recommended inspection rate of 15%.  Th</w:t>
      </w:r>
      <w:r w:rsidRPr="006B584C">
        <w:rPr>
          <w:rFonts w:cs="Arial"/>
          <w:snapToGrid w:val="0"/>
          <w:sz w:val="24"/>
          <w:szCs w:val="24"/>
        </w:rPr>
        <w:t xml:space="preserve">is data </w:t>
      </w:r>
      <w:r>
        <w:rPr>
          <w:rFonts w:cs="Arial"/>
          <w:snapToGrid w:val="0"/>
          <w:sz w:val="24"/>
          <w:szCs w:val="24"/>
        </w:rPr>
        <w:t xml:space="preserve">is </w:t>
      </w:r>
      <w:r w:rsidRPr="006B584C">
        <w:rPr>
          <w:rFonts w:cs="Arial"/>
          <w:snapToGrid w:val="0"/>
          <w:sz w:val="24"/>
          <w:szCs w:val="24"/>
        </w:rPr>
        <w:t xml:space="preserve">compiled by </w:t>
      </w:r>
      <w:r>
        <w:rPr>
          <w:rFonts w:cs="Arial"/>
          <w:snapToGrid w:val="0"/>
          <w:sz w:val="24"/>
          <w:szCs w:val="24"/>
        </w:rPr>
        <w:t>calculating the number of new buildings notified to the local authority in 2014 that were the subject of an inspection as a percentage of the total number of new buildings where a valid commencement notice was issued in 2014. The new Regulations, implemented in March 2014, clarifies that the responsibility for ensuring compliance with all relevant building regulations rests with the owner of the building.</w:t>
      </w:r>
    </w:p>
    <w:p w:rsidR="007C12D5" w:rsidRDefault="007C12D5" w:rsidP="007C12D5">
      <w:pPr>
        <w:pStyle w:val="ListParagraph"/>
        <w:numPr>
          <w:ilvl w:val="0"/>
          <w:numId w:val="5"/>
        </w:numPr>
        <w:jc w:val="both"/>
        <w:rPr>
          <w:sz w:val="24"/>
          <w:szCs w:val="24"/>
        </w:rPr>
      </w:pPr>
      <w:r>
        <w:rPr>
          <w:sz w:val="24"/>
          <w:szCs w:val="24"/>
        </w:rPr>
        <w:t xml:space="preserve">A total of 1,095 local authority planning decisions were the subject of an appeal to An </w:t>
      </w:r>
      <w:proofErr w:type="spellStart"/>
      <w:r>
        <w:rPr>
          <w:sz w:val="24"/>
          <w:szCs w:val="24"/>
        </w:rPr>
        <w:t>Bord</w:t>
      </w:r>
      <w:proofErr w:type="spellEnd"/>
      <w:r>
        <w:rPr>
          <w:sz w:val="24"/>
          <w:szCs w:val="24"/>
        </w:rPr>
        <w:t xml:space="preserve"> </w:t>
      </w:r>
      <w:proofErr w:type="spellStart"/>
      <w:r>
        <w:rPr>
          <w:sz w:val="24"/>
          <w:szCs w:val="24"/>
        </w:rPr>
        <w:t>Pleanála</w:t>
      </w:r>
      <w:proofErr w:type="spellEnd"/>
      <w:r>
        <w:rPr>
          <w:sz w:val="24"/>
          <w:szCs w:val="24"/>
        </w:rPr>
        <w:t xml:space="preserve"> and were determined in 2014. </w:t>
      </w:r>
      <w:proofErr w:type="gramStart"/>
      <w:r>
        <w:rPr>
          <w:sz w:val="24"/>
          <w:szCs w:val="24"/>
        </w:rPr>
        <w:t>An</w:t>
      </w:r>
      <w:proofErr w:type="gramEnd"/>
      <w:r>
        <w:rPr>
          <w:sz w:val="24"/>
          <w:szCs w:val="24"/>
        </w:rPr>
        <w:t xml:space="preserve"> </w:t>
      </w:r>
      <w:proofErr w:type="spellStart"/>
      <w:r>
        <w:rPr>
          <w:sz w:val="24"/>
          <w:szCs w:val="24"/>
        </w:rPr>
        <w:t>Bord</w:t>
      </w:r>
      <w:proofErr w:type="spellEnd"/>
      <w:r>
        <w:rPr>
          <w:sz w:val="24"/>
          <w:szCs w:val="24"/>
        </w:rPr>
        <w:t xml:space="preserve"> </w:t>
      </w:r>
      <w:proofErr w:type="spellStart"/>
      <w:r>
        <w:rPr>
          <w:sz w:val="24"/>
          <w:szCs w:val="24"/>
        </w:rPr>
        <w:t>Pleanála</w:t>
      </w:r>
      <w:proofErr w:type="spellEnd"/>
      <w:r>
        <w:rPr>
          <w:sz w:val="24"/>
          <w:szCs w:val="24"/>
        </w:rPr>
        <w:t xml:space="preserve"> upheld, either with or without variation, the decision made by the local authority in question in 71.7% of these cases. </w:t>
      </w:r>
    </w:p>
    <w:p w:rsidR="007C12D5" w:rsidRDefault="007C12D5" w:rsidP="007C12D5">
      <w:pPr>
        <w:jc w:val="both"/>
        <w:rPr>
          <w:sz w:val="24"/>
          <w:szCs w:val="24"/>
        </w:rPr>
      </w:pPr>
      <w:r>
        <w:rPr>
          <w:sz w:val="24"/>
          <w:szCs w:val="24"/>
        </w:rPr>
        <w:t xml:space="preserve">A new performance indicator measures </w:t>
      </w:r>
      <w:r w:rsidRPr="003006E3">
        <w:rPr>
          <w:sz w:val="24"/>
          <w:szCs w:val="24"/>
        </w:rPr>
        <w:t xml:space="preserve">the cost </w:t>
      </w:r>
      <w:r>
        <w:rPr>
          <w:sz w:val="24"/>
          <w:szCs w:val="24"/>
        </w:rPr>
        <w:t>per capita</w:t>
      </w:r>
      <w:r w:rsidRPr="003006E3">
        <w:rPr>
          <w:sz w:val="24"/>
          <w:szCs w:val="24"/>
        </w:rPr>
        <w:t xml:space="preserve"> of the planning service for 2014 activity. The median average per capita cost was €26.97 and ranged from €12.66 for Cork County Council to €</w:t>
      </w:r>
      <w:r>
        <w:rPr>
          <w:sz w:val="24"/>
          <w:szCs w:val="24"/>
        </w:rPr>
        <w:t>53</w:t>
      </w:r>
      <w:r w:rsidRPr="003006E3">
        <w:rPr>
          <w:sz w:val="24"/>
          <w:szCs w:val="24"/>
        </w:rPr>
        <w:t>.</w:t>
      </w:r>
      <w:r>
        <w:rPr>
          <w:sz w:val="24"/>
          <w:szCs w:val="24"/>
        </w:rPr>
        <w:t>19</w:t>
      </w:r>
      <w:r w:rsidRPr="003006E3">
        <w:rPr>
          <w:sz w:val="24"/>
          <w:szCs w:val="24"/>
        </w:rPr>
        <w:t xml:space="preserve"> in </w:t>
      </w:r>
      <w:r>
        <w:rPr>
          <w:sz w:val="24"/>
          <w:szCs w:val="24"/>
        </w:rPr>
        <w:t>Roscommon</w:t>
      </w:r>
      <w:r w:rsidRPr="003006E3">
        <w:rPr>
          <w:sz w:val="24"/>
          <w:szCs w:val="24"/>
        </w:rPr>
        <w:t xml:space="preserve"> County Council. The information used to compile </w:t>
      </w:r>
      <w:r w:rsidRPr="003006E3">
        <w:rPr>
          <w:sz w:val="24"/>
          <w:szCs w:val="24"/>
        </w:rPr>
        <w:lastRenderedPageBreak/>
        <w:t>this figure includes the cost of forward planning, developm</w:t>
      </w:r>
      <w:r>
        <w:rPr>
          <w:sz w:val="24"/>
          <w:szCs w:val="24"/>
        </w:rPr>
        <w:t xml:space="preserve">ent management and enforcement and can be influenced by the significant costs associated with the preparation and publication of a County Development Plan. It should be noted that the publication of a County Development Plan is periodic and that practices vary between authorities in the allocation of the costs associated with the preparation of the Plans. </w:t>
      </w:r>
    </w:p>
    <w:p w:rsidR="007C12D5" w:rsidRDefault="007C12D5" w:rsidP="007C12D5">
      <w:pPr>
        <w:rPr>
          <w:b/>
          <w:color w:val="1F497D" w:themeColor="text2"/>
          <w:sz w:val="28"/>
        </w:rPr>
      </w:pPr>
      <w:r w:rsidRPr="00540E69">
        <w:rPr>
          <w:b/>
          <w:noProof/>
          <w:color w:val="1F497D" w:themeColor="text2"/>
          <w:sz w:val="28"/>
          <w:lang w:eastAsia="en-IE"/>
        </w:rPr>
        <w:drawing>
          <wp:inline distT="0" distB="0" distL="0" distR="0" wp14:anchorId="575A01E1" wp14:editId="3306FAA4">
            <wp:extent cx="5731510" cy="2371725"/>
            <wp:effectExtent l="0" t="0" r="2540" b="0"/>
            <wp:docPr id="98"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C12D5" w:rsidRPr="00593BB4" w:rsidRDefault="007C12D5" w:rsidP="007C12D5">
      <w:pPr>
        <w:rPr>
          <w:b/>
          <w:color w:val="1F497D" w:themeColor="text2"/>
          <w:sz w:val="28"/>
        </w:rPr>
      </w:pPr>
      <w:r>
        <w:rPr>
          <w:b/>
          <w:color w:val="1F497D" w:themeColor="text2"/>
          <w:sz w:val="28"/>
        </w:rPr>
        <w:t>2.6</w:t>
      </w:r>
      <w:r>
        <w:rPr>
          <w:b/>
          <w:color w:val="1F497D" w:themeColor="text2"/>
          <w:sz w:val="28"/>
        </w:rPr>
        <w:tab/>
      </w:r>
      <w:r w:rsidRPr="00593BB4">
        <w:rPr>
          <w:b/>
          <w:color w:val="1F497D" w:themeColor="text2"/>
          <w:sz w:val="28"/>
        </w:rPr>
        <w:t xml:space="preserve">Fire </w:t>
      </w:r>
    </w:p>
    <w:p w:rsidR="007C12D5" w:rsidRPr="00FF3E56" w:rsidRDefault="007C12D5" w:rsidP="007C12D5">
      <w:pPr>
        <w:jc w:val="both"/>
        <w:rPr>
          <w:rFonts w:cs="Arial"/>
          <w:sz w:val="24"/>
          <w:szCs w:val="24"/>
        </w:rPr>
      </w:pPr>
      <w:r w:rsidRPr="00FF3E56">
        <w:rPr>
          <w:rFonts w:cs="Arial"/>
          <w:sz w:val="24"/>
          <w:szCs w:val="24"/>
        </w:rPr>
        <w:t xml:space="preserve">As well as retaining the indicators dealing with the time taken to mobilise for incidents and the </w:t>
      </w:r>
      <w:r>
        <w:rPr>
          <w:rFonts w:cs="Arial"/>
          <w:sz w:val="24"/>
          <w:szCs w:val="24"/>
        </w:rPr>
        <w:t>percentage</w:t>
      </w:r>
      <w:r w:rsidRPr="00FF3E56">
        <w:rPr>
          <w:rFonts w:cs="Arial"/>
          <w:sz w:val="24"/>
          <w:szCs w:val="24"/>
        </w:rPr>
        <w:t xml:space="preserve"> of cases where attendance is within 10 minutes, between 10 and 20 minutes or greater than 20 minutes, an additional indicator related to the per capita cost of the fire service was introduced for 2014 activity.  </w:t>
      </w:r>
    </w:p>
    <w:p w:rsidR="007C12D5" w:rsidRDefault="007C12D5" w:rsidP="007C12D5">
      <w:pPr>
        <w:spacing w:after="0"/>
        <w:jc w:val="both"/>
        <w:rPr>
          <w:rFonts w:cs="Arial"/>
          <w:b/>
          <w:color w:val="1F497D" w:themeColor="text2"/>
          <w:sz w:val="24"/>
        </w:rPr>
      </w:pPr>
      <w:r w:rsidRPr="00887CA5">
        <w:rPr>
          <w:rFonts w:cs="Arial"/>
          <w:b/>
          <w:color w:val="1F497D" w:themeColor="text2"/>
          <w:sz w:val="24"/>
        </w:rPr>
        <w:t>Per Capita Cost</w:t>
      </w:r>
    </w:p>
    <w:p w:rsidR="007C12D5" w:rsidRDefault="007C12D5" w:rsidP="007C12D5">
      <w:pPr>
        <w:jc w:val="both"/>
        <w:rPr>
          <w:rFonts w:cs="Arial"/>
          <w:sz w:val="24"/>
        </w:rPr>
      </w:pPr>
      <w:r w:rsidRPr="00FF3E56">
        <w:rPr>
          <w:rFonts w:cs="Arial"/>
          <w:sz w:val="24"/>
        </w:rPr>
        <w:t xml:space="preserve">The per capita cost </w:t>
      </w:r>
      <w:r>
        <w:rPr>
          <w:rFonts w:cs="Arial"/>
          <w:sz w:val="24"/>
        </w:rPr>
        <w:t>for the fire service</w:t>
      </w:r>
      <w:r>
        <w:rPr>
          <w:rStyle w:val="FootnoteReference"/>
          <w:rFonts w:cs="Arial"/>
          <w:sz w:val="24"/>
        </w:rPr>
        <w:footnoteReference w:id="4"/>
      </w:r>
      <w:r>
        <w:rPr>
          <w:rFonts w:cs="Arial"/>
          <w:sz w:val="24"/>
        </w:rPr>
        <w:t xml:space="preserve"> </w:t>
      </w:r>
      <w:r w:rsidRPr="00FF3E56">
        <w:rPr>
          <w:rFonts w:cs="Arial"/>
          <w:sz w:val="24"/>
        </w:rPr>
        <w:t xml:space="preserve">ranged from €93.13 for Cork City to €28.25 for Kildare County Council.  </w:t>
      </w:r>
      <w:r>
        <w:rPr>
          <w:rFonts w:cs="Arial"/>
          <w:sz w:val="24"/>
        </w:rPr>
        <w:t>P</w:t>
      </w:r>
      <w:r w:rsidRPr="00FF3E56">
        <w:rPr>
          <w:rFonts w:cs="Arial"/>
          <w:sz w:val="24"/>
        </w:rPr>
        <w:t xml:space="preserve">er capita costs are heavily influenced by whether the fire service is a full-time or part-time brigade.  Cork City Council is the only fire authority operating a full-time brigade with no retained fire-fighters.  While Dublin City Council, which provides the service to the greater Dublin area, operates a predominantly full-time brigade, it </w:t>
      </w:r>
      <w:r>
        <w:rPr>
          <w:rFonts w:cs="Arial"/>
          <w:sz w:val="24"/>
        </w:rPr>
        <w:t xml:space="preserve">employs a number of </w:t>
      </w:r>
      <w:r w:rsidRPr="00FF3E56">
        <w:rPr>
          <w:rFonts w:cs="Arial"/>
          <w:sz w:val="24"/>
        </w:rPr>
        <w:t xml:space="preserve">retained fire-fighters and its </w:t>
      </w:r>
      <w:r>
        <w:rPr>
          <w:rFonts w:cs="Arial"/>
          <w:sz w:val="24"/>
        </w:rPr>
        <w:t xml:space="preserve">cost </w:t>
      </w:r>
      <w:r w:rsidRPr="00FF3E56">
        <w:rPr>
          <w:rFonts w:cs="Arial"/>
          <w:sz w:val="24"/>
        </w:rPr>
        <w:t xml:space="preserve">per capita </w:t>
      </w:r>
      <w:r>
        <w:rPr>
          <w:rFonts w:cs="Arial"/>
          <w:sz w:val="24"/>
        </w:rPr>
        <w:t>is lower than Cork City at</w:t>
      </w:r>
      <w:r w:rsidRPr="00FF3E56">
        <w:rPr>
          <w:rFonts w:cs="Arial"/>
          <w:sz w:val="24"/>
        </w:rPr>
        <w:t xml:space="preserve"> €74.13.  The other four authorities </w:t>
      </w:r>
      <w:r>
        <w:rPr>
          <w:rFonts w:cs="Arial"/>
          <w:sz w:val="24"/>
        </w:rPr>
        <w:t>who employ</w:t>
      </w:r>
      <w:r w:rsidRPr="00FF3E56">
        <w:rPr>
          <w:rFonts w:cs="Arial"/>
          <w:sz w:val="24"/>
        </w:rPr>
        <w:t xml:space="preserve"> full-time fire-fighters (Galway County Council – which operates as a shared service for Galway City, Limerick and Waterford City and County Councils and Louth County Council) have a per capita cost ranging from €75.72 to €44.15</w:t>
      </w:r>
      <w:r>
        <w:rPr>
          <w:rFonts w:cs="Arial"/>
          <w:sz w:val="24"/>
        </w:rPr>
        <w:t xml:space="preserve">. The </w:t>
      </w:r>
      <w:r w:rsidRPr="00FF3E56">
        <w:rPr>
          <w:rFonts w:cs="Arial"/>
          <w:sz w:val="24"/>
        </w:rPr>
        <w:t xml:space="preserve">mean </w:t>
      </w:r>
      <w:r>
        <w:rPr>
          <w:rFonts w:cs="Arial"/>
          <w:sz w:val="24"/>
        </w:rPr>
        <w:t xml:space="preserve">average per capita cost of the fire service where there is a combination of full and part time stations is €60.83. </w:t>
      </w:r>
      <w:r w:rsidRPr="00FF3E56">
        <w:rPr>
          <w:rFonts w:cs="Arial"/>
          <w:sz w:val="24"/>
        </w:rPr>
        <w:t xml:space="preserve"> </w:t>
      </w:r>
    </w:p>
    <w:p w:rsidR="007C12D5" w:rsidRDefault="007C12D5" w:rsidP="007C12D5">
      <w:pPr>
        <w:rPr>
          <w:rFonts w:cs="Arial"/>
          <w:sz w:val="24"/>
        </w:rPr>
      </w:pPr>
      <w:r>
        <w:rPr>
          <w:rFonts w:cs="Arial"/>
          <w:sz w:val="24"/>
        </w:rPr>
        <w:lastRenderedPageBreak/>
        <w:t xml:space="preserve">          </w:t>
      </w:r>
      <w:r w:rsidRPr="00981028">
        <w:rPr>
          <w:rFonts w:cs="Arial"/>
          <w:noProof/>
          <w:sz w:val="24"/>
          <w:lang w:eastAsia="en-IE"/>
        </w:rPr>
        <w:drawing>
          <wp:inline distT="0" distB="0" distL="0" distR="0" wp14:anchorId="2DCA409E" wp14:editId="431DBB79">
            <wp:extent cx="4238625" cy="2124075"/>
            <wp:effectExtent l="0" t="0" r="0" b="0"/>
            <wp:docPr id="9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C12D5" w:rsidRDefault="007C12D5" w:rsidP="007C12D5">
      <w:pPr>
        <w:jc w:val="both"/>
        <w:rPr>
          <w:rFonts w:cs="Arial"/>
          <w:sz w:val="24"/>
        </w:rPr>
      </w:pPr>
      <w:r w:rsidRPr="00FF3E56">
        <w:rPr>
          <w:rFonts w:cs="Arial"/>
          <w:sz w:val="24"/>
        </w:rPr>
        <w:t xml:space="preserve">The per capita cost of the fire authorities with only part-time or retained fire-fighters ranges from €28.25 in Kildare County Council to €70 in Leitrim County Council – the </w:t>
      </w:r>
      <w:r>
        <w:rPr>
          <w:rFonts w:cs="Arial"/>
          <w:sz w:val="24"/>
        </w:rPr>
        <w:t>median</w:t>
      </w:r>
      <w:r w:rsidRPr="00FF3E56">
        <w:rPr>
          <w:rFonts w:cs="Arial"/>
          <w:sz w:val="24"/>
        </w:rPr>
        <w:t xml:space="preserve"> </w:t>
      </w:r>
      <w:r>
        <w:rPr>
          <w:rFonts w:cs="Arial"/>
          <w:sz w:val="24"/>
        </w:rPr>
        <w:t xml:space="preserve">average </w:t>
      </w:r>
      <w:r w:rsidRPr="00FF3E56">
        <w:rPr>
          <w:rFonts w:cs="Arial"/>
          <w:sz w:val="24"/>
        </w:rPr>
        <w:t>for these 21 fire authorities is €</w:t>
      </w:r>
      <w:r>
        <w:rPr>
          <w:rFonts w:cs="Arial"/>
          <w:sz w:val="24"/>
        </w:rPr>
        <w:t>43.17</w:t>
      </w:r>
      <w:r w:rsidRPr="00FF3E56">
        <w:rPr>
          <w:rFonts w:cs="Arial"/>
          <w:sz w:val="24"/>
        </w:rPr>
        <w:t>.  Mayo, Meath, Offaly and Westmeath County Councils all have a per capita cost under €40, and Wexford County Council’s per capita cost is below €30.</w:t>
      </w:r>
    </w:p>
    <w:p w:rsidR="007C12D5" w:rsidRDefault="007C12D5" w:rsidP="007C12D5">
      <w:pPr>
        <w:rPr>
          <w:rFonts w:cs="Arial"/>
          <w:sz w:val="24"/>
        </w:rPr>
      </w:pPr>
      <w:r w:rsidRPr="00330CC8">
        <w:rPr>
          <w:rFonts w:cs="Arial"/>
          <w:noProof/>
          <w:color w:val="1F497D" w:themeColor="text2"/>
          <w:sz w:val="24"/>
          <w:lang w:eastAsia="en-IE"/>
        </w:rPr>
        <w:drawing>
          <wp:inline distT="0" distB="0" distL="0" distR="0" wp14:anchorId="66ADF522" wp14:editId="3AA213EF">
            <wp:extent cx="5810250" cy="2600325"/>
            <wp:effectExtent l="0" t="0" r="0" b="0"/>
            <wp:docPr id="10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C12D5" w:rsidRDefault="007C12D5" w:rsidP="007C12D5">
      <w:pPr>
        <w:jc w:val="both"/>
        <w:rPr>
          <w:sz w:val="24"/>
          <w:szCs w:val="24"/>
        </w:rPr>
      </w:pPr>
      <w:r>
        <w:rPr>
          <w:rFonts w:cs="Arial"/>
          <w:sz w:val="24"/>
          <w:szCs w:val="24"/>
        </w:rPr>
        <w:t xml:space="preserve">Local authorities provide a critical range of emergency services to the community and frequently cross their administrative boundaries to respond to an incident. </w:t>
      </w:r>
      <w:r w:rsidRPr="00887CA5">
        <w:rPr>
          <w:sz w:val="24"/>
          <w:szCs w:val="24"/>
        </w:rPr>
        <w:t xml:space="preserve"> It should </w:t>
      </w:r>
      <w:r>
        <w:rPr>
          <w:sz w:val="24"/>
          <w:szCs w:val="24"/>
        </w:rPr>
        <w:t xml:space="preserve">also </w:t>
      </w:r>
      <w:r w:rsidRPr="00887CA5">
        <w:rPr>
          <w:sz w:val="24"/>
          <w:szCs w:val="24"/>
        </w:rPr>
        <w:t>be noted that there are a range of agreements in place between local authorities with regard to supplying operational fire services and receiving such services from a neighbouring fire authority depending on the location of fire stations</w:t>
      </w:r>
      <w:r>
        <w:rPr>
          <w:sz w:val="24"/>
          <w:szCs w:val="24"/>
        </w:rPr>
        <w:t>. Where this applies,</w:t>
      </w:r>
      <w:r w:rsidRPr="00887CA5">
        <w:rPr>
          <w:sz w:val="24"/>
          <w:szCs w:val="24"/>
        </w:rPr>
        <w:t xml:space="preserve"> the transfer payments received for the provision of such services </w:t>
      </w:r>
      <w:r w:rsidR="00927AF8">
        <w:rPr>
          <w:sz w:val="24"/>
          <w:szCs w:val="24"/>
        </w:rPr>
        <w:t>may</w:t>
      </w:r>
      <w:r w:rsidRPr="00887CA5">
        <w:rPr>
          <w:sz w:val="24"/>
          <w:szCs w:val="24"/>
        </w:rPr>
        <w:t xml:space="preserve"> not generally cover the full </w:t>
      </w:r>
      <w:r>
        <w:rPr>
          <w:sz w:val="24"/>
          <w:szCs w:val="24"/>
        </w:rPr>
        <w:t>cost of the service.</w:t>
      </w:r>
    </w:p>
    <w:p w:rsidR="007C12D5" w:rsidRPr="00330CC8" w:rsidRDefault="007C12D5" w:rsidP="00793E03">
      <w:pPr>
        <w:spacing w:after="0"/>
        <w:jc w:val="both"/>
        <w:rPr>
          <w:rFonts w:cs="Arial"/>
          <w:b/>
          <w:color w:val="1F497D" w:themeColor="text2"/>
          <w:sz w:val="24"/>
        </w:rPr>
      </w:pPr>
      <w:r w:rsidRPr="00330CC8">
        <w:rPr>
          <w:rFonts w:cs="Arial"/>
          <w:b/>
          <w:color w:val="1F497D" w:themeColor="text2"/>
          <w:sz w:val="24"/>
        </w:rPr>
        <w:t>Mobilisation</w:t>
      </w:r>
    </w:p>
    <w:p w:rsidR="007C12D5" w:rsidRDefault="007C12D5" w:rsidP="00793E03">
      <w:pPr>
        <w:spacing w:after="0"/>
        <w:jc w:val="both"/>
        <w:rPr>
          <w:rFonts w:cs="Arial"/>
          <w:sz w:val="24"/>
        </w:rPr>
      </w:pPr>
      <w:r>
        <w:rPr>
          <w:rFonts w:cs="Arial"/>
          <w:sz w:val="24"/>
        </w:rPr>
        <w:t>This indicator reports</w:t>
      </w:r>
      <w:r w:rsidRPr="00FF3E56">
        <w:rPr>
          <w:rFonts w:cs="Arial"/>
          <w:sz w:val="24"/>
        </w:rPr>
        <w:t xml:space="preserve"> the number of minutes from the time of the call-out to the time that the first responders leave the fire station averaged over all call-outs between 1/1/2014 and 31/12/2014</w:t>
      </w:r>
      <w:r>
        <w:rPr>
          <w:rFonts w:cs="Arial"/>
          <w:sz w:val="24"/>
        </w:rPr>
        <w:t xml:space="preserve">; </w:t>
      </w:r>
      <w:r w:rsidRPr="00FF3E56">
        <w:rPr>
          <w:rFonts w:cs="Arial"/>
          <w:sz w:val="24"/>
        </w:rPr>
        <w:t xml:space="preserve">the data is derived from the Computer-Aided Mobilisation Project (CAMP) </w:t>
      </w:r>
      <w:r w:rsidRPr="00FF3E56">
        <w:rPr>
          <w:rFonts w:cs="Arial"/>
          <w:sz w:val="24"/>
        </w:rPr>
        <w:lastRenderedPageBreak/>
        <w:t>system.</w:t>
      </w:r>
      <w:r w:rsidR="00793E03">
        <w:rPr>
          <w:rFonts w:cs="Arial"/>
          <w:sz w:val="24"/>
        </w:rPr>
        <w:t xml:space="preserve">  </w:t>
      </w:r>
      <w:r w:rsidRPr="00FF3E56">
        <w:rPr>
          <w:rFonts w:cs="Arial"/>
          <w:sz w:val="24"/>
        </w:rPr>
        <w:t xml:space="preserve">The </w:t>
      </w:r>
      <w:r>
        <w:rPr>
          <w:rFonts w:cs="Arial"/>
          <w:sz w:val="24"/>
        </w:rPr>
        <w:t xml:space="preserve">median </w:t>
      </w:r>
      <w:r w:rsidRPr="00FF3E56">
        <w:rPr>
          <w:rFonts w:cs="Arial"/>
          <w:sz w:val="24"/>
        </w:rPr>
        <w:t>average number of minutes taken to mobilise the fire brigade in full-time stations</w:t>
      </w:r>
      <w:r>
        <w:rPr>
          <w:rFonts w:cs="Arial"/>
          <w:sz w:val="24"/>
        </w:rPr>
        <w:t xml:space="preserve"> was 1.66 minutes </w:t>
      </w:r>
      <w:r w:rsidRPr="00FF3E56">
        <w:rPr>
          <w:rFonts w:cs="Arial"/>
          <w:sz w:val="24"/>
        </w:rPr>
        <w:t xml:space="preserve">in the case of fire incidents and </w:t>
      </w:r>
      <w:r>
        <w:rPr>
          <w:rFonts w:cs="Arial"/>
          <w:sz w:val="24"/>
        </w:rPr>
        <w:t xml:space="preserve">1.79 minutes </w:t>
      </w:r>
      <w:r w:rsidRPr="00FF3E56">
        <w:rPr>
          <w:rFonts w:cs="Arial"/>
          <w:sz w:val="24"/>
        </w:rPr>
        <w:t>in the case of other incident types.  ‘Non-fire’ incidents include road traffic incidents, hazardous material i</w:t>
      </w:r>
      <w:r>
        <w:rPr>
          <w:rFonts w:cs="Arial"/>
          <w:sz w:val="24"/>
        </w:rPr>
        <w:t xml:space="preserve">ncidents, and special services. </w:t>
      </w:r>
      <w:r w:rsidRPr="00FF3E56">
        <w:rPr>
          <w:rFonts w:cs="Arial"/>
          <w:sz w:val="24"/>
        </w:rPr>
        <w:t xml:space="preserve">The corresponding figures for part-time stations ranged from </w:t>
      </w:r>
      <w:r>
        <w:rPr>
          <w:rFonts w:cs="Arial"/>
          <w:sz w:val="24"/>
        </w:rPr>
        <w:t>5.53</w:t>
      </w:r>
      <w:r w:rsidRPr="00FF3E56">
        <w:rPr>
          <w:rFonts w:cs="Arial"/>
          <w:sz w:val="24"/>
        </w:rPr>
        <w:t xml:space="preserve"> minutes for fire call outs and </w:t>
      </w:r>
      <w:r>
        <w:rPr>
          <w:rFonts w:cs="Arial"/>
          <w:sz w:val="24"/>
        </w:rPr>
        <w:t>5.92</w:t>
      </w:r>
      <w:r w:rsidRPr="00FF3E56">
        <w:rPr>
          <w:rFonts w:cs="Arial"/>
          <w:sz w:val="24"/>
        </w:rPr>
        <w:t xml:space="preserve"> </w:t>
      </w:r>
      <w:r>
        <w:rPr>
          <w:rFonts w:cs="Arial"/>
          <w:sz w:val="24"/>
        </w:rPr>
        <w:t xml:space="preserve">minutes </w:t>
      </w:r>
      <w:r w:rsidRPr="00FF3E56">
        <w:rPr>
          <w:rFonts w:cs="Arial"/>
          <w:sz w:val="24"/>
        </w:rPr>
        <w:t xml:space="preserve">in respect of non-fire call outs.  </w:t>
      </w:r>
    </w:p>
    <w:p w:rsidR="00793E03" w:rsidRDefault="00793E03" w:rsidP="007C12D5">
      <w:pPr>
        <w:jc w:val="both"/>
        <w:rPr>
          <w:rFonts w:cs="Arial"/>
          <w:sz w:val="24"/>
        </w:rPr>
      </w:pPr>
    </w:p>
    <w:p w:rsidR="007C12D5" w:rsidRDefault="007C12D5" w:rsidP="007C12D5">
      <w:pPr>
        <w:jc w:val="both"/>
        <w:rPr>
          <w:rFonts w:cs="Arial"/>
          <w:sz w:val="24"/>
          <w:szCs w:val="24"/>
        </w:rPr>
      </w:pPr>
      <w:r>
        <w:rPr>
          <w:rFonts w:cs="Arial"/>
          <w:sz w:val="24"/>
        </w:rPr>
        <w:t xml:space="preserve">A total of </w:t>
      </w:r>
      <w:r>
        <w:rPr>
          <w:rFonts w:cs="Arial"/>
          <w:sz w:val="24"/>
          <w:szCs w:val="24"/>
        </w:rPr>
        <w:t>21,660</w:t>
      </w:r>
      <w:r w:rsidRPr="00FF3E56">
        <w:rPr>
          <w:rFonts w:cs="Arial"/>
          <w:sz w:val="24"/>
          <w:szCs w:val="24"/>
        </w:rPr>
        <w:t xml:space="preserve"> fires were attended by the brigades in 2014 and the fire brigade was at the scene in less tha</w:t>
      </w:r>
      <w:r>
        <w:rPr>
          <w:rFonts w:cs="Arial"/>
          <w:sz w:val="24"/>
          <w:szCs w:val="24"/>
        </w:rPr>
        <w:t>n 10 minutes in the case of 58.6</w:t>
      </w:r>
      <w:r w:rsidRPr="00FF3E56">
        <w:rPr>
          <w:rFonts w:cs="Arial"/>
          <w:sz w:val="24"/>
          <w:szCs w:val="24"/>
        </w:rPr>
        <w:t>% or 12,694 of these.  Attendance took between 10 and 20 minu</w:t>
      </w:r>
      <w:r>
        <w:rPr>
          <w:rFonts w:cs="Arial"/>
          <w:sz w:val="24"/>
          <w:szCs w:val="24"/>
        </w:rPr>
        <w:t>tes in the case of 6,989 or 32.3</w:t>
      </w:r>
      <w:r w:rsidRPr="00FF3E56">
        <w:rPr>
          <w:rFonts w:cs="Arial"/>
          <w:sz w:val="24"/>
          <w:szCs w:val="24"/>
        </w:rPr>
        <w:t xml:space="preserve">% of the fires and more than 20 minutes for 1,977 or 9.1% of the fires.  In the case of </w:t>
      </w:r>
      <w:r>
        <w:rPr>
          <w:rFonts w:cs="Arial"/>
          <w:sz w:val="24"/>
          <w:szCs w:val="24"/>
        </w:rPr>
        <w:t xml:space="preserve">four of the six </w:t>
      </w:r>
      <w:r w:rsidRPr="00FF3E56">
        <w:rPr>
          <w:rFonts w:cs="Arial"/>
          <w:sz w:val="24"/>
          <w:szCs w:val="24"/>
        </w:rPr>
        <w:t>fire authorities with full-time fire-fighters, responses to fires were in less than 10 minutes in over 70% of call-outs and the response time was less than 20 minutes in at least 92% of Cork and Dublin City, Limerick and Waterford City and County Councils and Louth County Council</w:t>
      </w:r>
      <w:r>
        <w:rPr>
          <w:rFonts w:cs="Arial"/>
          <w:sz w:val="24"/>
          <w:szCs w:val="24"/>
        </w:rPr>
        <w:t xml:space="preserve"> call-outs to fires</w:t>
      </w:r>
      <w:r w:rsidRPr="00FF3E56">
        <w:rPr>
          <w:rFonts w:cs="Arial"/>
          <w:sz w:val="24"/>
          <w:szCs w:val="24"/>
        </w:rPr>
        <w:t>. Regarding response times to non-fire incidents</w:t>
      </w:r>
      <w:r>
        <w:rPr>
          <w:rFonts w:cs="Arial"/>
          <w:sz w:val="24"/>
          <w:szCs w:val="24"/>
        </w:rPr>
        <w:t>,</w:t>
      </w:r>
      <w:r w:rsidRPr="00FF3E56">
        <w:rPr>
          <w:rFonts w:cs="Arial"/>
          <w:sz w:val="24"/>
          <w:szCs w:val="24"/>
        </w:rPr>
        <w:t xml:space="preserve"> Cork and Dublin City brigades achieved a sub-10 minute response time </w:t>
      </w:r>
      <w:r>
        <w:rPr>
          <w:rFonts w:cs="Arial"/>
          <w:sz w:val="24"/>
          <w:szCs w:val="24"/>
        </w:rPr>
        <w:t xml:space="preserve">in </w:t>
      </w:r>
      <w:r w:rsidRPr="00FF3E56">
        <w:rPr>
          <w:rFonts w:cs="Arial"/>
          <w:sz w:val="24"/>
          <w:szCs w:val="24"/>
        </w:rPr>
        <w:t xml:space="preserve">more than </w:t>
      </w:r>
      <w:r>
        <w:rPr>
          <w:rFonts w:cs="Arial"/>
          <w:sz w:val="24"/>
          <w:szCs w:val="24"/>
        </w:rPr>
        <w:t>75</w:t>
      </w:r>
      <w:r w:rsidRPr="00FF3E56">
        <w:rPr>
          <w:rFonts w:cs="Arial"/>
          <w:sz w:val="24"/>
          <w:szCs w:val="24"/>
        </w:rPr>
        <w:t>% of incidents</w:t>
      </w:r>
      <w:r>
        <w:rPr>
          <w:rFonts w:cs="Arial"/>
          <w:sz w:val="24"/>
          <w:szCs w:val="24"/>
        </w:rPr>
        <w:t xml:space="preserve">. </w:t>
      </w:r>
      <w:r w:rsidRPr="00FF3E56">
        <w:rPr>
          <w:rFonts w:cs="Arial"/>
          <w:sz w:val="24"/>
          <w:szCs w:val="24"/>
        </w:rPr>
        <w:t xml:space="preserve"> Offaly was the only part-time brigade to attend more than 40% of non-fire incidents in less than 10 minutes.  All the brigades with full-time fire-fighters reported response times of less than 20 minutes to at least 85% of non-fire call-outs. </w:t>
      </w:r>
    </w:p>
    <w:p w:rsidR="007C12D5" w:rsidRDefault="007C12D5" w:rsidP="007C12D5">
      <w:pPr>
        <w:jc w:val="both"/>
        <w:rPr>
          <w:rFonts w:cs="Arial"/>
          <w:sz w:val="24"/>
        </w:rPr>
      </w:pPr>
      <w:r>
        <w:rPr>
          <w:rFonts w:cs="Arial"/>
          <w:sz w:val="24"/>
        </w:rPr>
        <w:t>Graphs 1</w:t>
      </w:r>
      <w:r w:rsidR="00EB3EF8">
        <w:rPr>
          <w:rFonts w:cs="Arial"/>
          <w:sz w:val="24"/>
        </w:rPr>
        <w:t>6</w:t>
      </w:r>
      <w:r>
        <w:rPr>
          <w:rFonts w:cs="Arial"/>
          <w:sz w:val="24"/>
        </w:rPr>
        <w:t xml:space="preserve"> and 1</w:t>
      </w:r>
      <w:r w:rsidR="00EB3EF8">
        <w:rPr>
          <w:rFonts w:cs="Arial"/>
          <w:sz w:val="24"/>
        </w:rPr>
        <w:t>7</w:t>
      </w:r>
      <w:r>
        <w:rPr>
          <w:rFonts w:cs="Arial"/>
          <w:sz w:val="24"/>
        </w:rPr>
        <w:t xml:space="preserve"> show an increase both in the percentage of fire cases attended within 10 minutes, and between 10 and 20 minutes between 2010 and 2014. </w:t>
      </w:r>
    </w:p>
    <w:p w:rsidR="007C12D5" w:rsidRDefault="007C12D5" w:rsidP="007C12D5">
      <w:pPr>
        <w:rPr>
          <w:rFonts w:cs="Arial"/>
          <w:sz w:val="24"/>
        </w:rPr>
      </w:pPr>
      <w:r>
        <w:rPr>
          <w:rFonts w:cs="Arial"/>
          <w:sz w:val="24"/>
        </w:rPr>
        <w:t xml:space="preserve">            </w:t>
      </w:r>
      <w:r w:rsidRPr="0099227A">
        <w:rPr>
          <w:rFonts w:cs="Arial"/>
          <w:noProof/>
          <w:sz w:val="24"/>
          <w:lang w:eastAsia="en-IE"/>
        </w:rPr>
        <w:drawing>
          <wp:inline distT="0" distB="0" distL="0" distR="0" wp14:anchorId="76E397F4" wp14:editId="14496D92">
            <wp:extent cx="3790950" cy="1800225"/>
            <wp:effectExtent l="0" t="0" r="0" b="0"/>
            <wp:docPr id="101"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C12D5" w:rsidRDefault="007C12D5" w:rsidP="007C12D5">
      <w:pPr>
        <w:rPr>
          <w:rFonts w:cs="Arial"/>
          <w:sz w:val="24"/>
        </w:rPr>
      </w:pPr>
      <w:r>
        <w:rPr>
          <w:rFonts w:cs="Arial"/>
          <w:sz w:val="24"/>
        </w:rPr>
        <w:t xml:space="preserve">            </w:t>
      </w:r>
      <w:r w:rsidRPr="003B4F9A">
        <w:rPr>
          <w:rFonts w:cs="Arial"/>
          <w:noProof/>
          <w:sz w:val="24"/>
          <w:lang w:eastAsia="en-IE"/>
        </w:rPr>
        <w:drawing>
          <wp:inline distT="0" distB="0" distL="0" distR="0" wp14:anchorId="5FFD2C2A" wp14:editId="0E9434F5">
            <wp:extent cx="3790950" cy="1847850"/>
            <wp:effectExtent l="0" t="0" r="0" b="0"/>
            <wp:docPr id="102"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C12D5" w:rsidRDefault="007C12D5" w:rsidP="007C12D5">
      <w:pPr>
        <w:jc w:val="both"/>
        <w:rPr>
          <w:sz w:val="24"/>
          <w:szCs w:val="24"/>
        </w:rPr>
      </w:pPr>
      <w:r w:rsidRPr="0099227A">
        <w:rPr>
          <w:sz w:val="24"/>
          <w:szCs w:val="24"/>
        </w:rPr>
        <w:lastRenderedPageBreak/>
        <w:t>In the same period there was a</w:t>
      </w:r>
      <w:r>
        <w:rPr>
          <w:sz w:val="24"/>
          <w:szCs w:val="24"/>
        </w:rPr>
        <w:t xml:space="preserve">lso an increase </w:t>
      </w:r>
      <w:r w:rsidRPr="0099227A">
        <w:rPr>
          <w:sz w:val="24"/>
          <w:szCs w:val="24"/>
        </w:rPr>
        <w:t>in the percentage of non-fire cases attended within 10 minutes</w:t>
      </w:r>
    </w:p>
    <w:p w:rsidR="007C12D5" w:rsidRDefault="007C12D5" w:rsidP="007C12D5">
      <w:pPr>
        <w:rPr>
          <w:b/>
        </w:rPr>
      </w:pPr>
      <w:r>
        <w:rPr>
          <w:b/>
        </w:rPr>
        <w:t xml:space="preserve">         </w:t>
      </w:r>
      <w:r w:rsidRPr="0099227A">
        <w:rPr>
          <w:b/>
          <w:noProof/>
          <w:lang w:eastAsia="en-IE"/>
        </w:rPr>
        <w:drawing>
          <wp:inline distT="0" distB="0" distL="0" distR="0" wp14:anchorId="66C04B7B" wp14:editId="7A1C9B86">
            <wp:extent cx="3798038" cy="2190307"/>
            <wp:effectExtent l="0" t="0" r="0" b="635"/>
            <wp:docPr id="103"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93E03" w:rsidRDefault="00793E03" w:rsidP="007C12D5">
      <w:pPr>
        <w:rPr>
          <w:b/>
          <w:color w:val="1F497D" w:themeColor="text2"/>
          <w:sz w:val="28"/>
          <w:szCs w:val="28"/>
        </w:rPr>
      </w:pPr>
    </w:p>
    <w:p w:rsidR="007C12D5" w:rsidRPr="00341C79" w:rsidRDefault="007C12D5" w:rsidP="007C12D5">
      <w:pPr>
        <w:rPr>
          <w:b/>
          <w:color w:val="1F497D" w:themeColor="text2"/>
          <w:sz w:val="28"/>
          <w:szCs w:val="28"/>
        </w:rPr>
      </w:pPr>
      <w:r>
        <w:rPr>
          <w:b/>
          <w:color w:val="1F497D" w:themeColor="text2"/>
          <w:sz w:val="28"/>
          <w:szCs w:val="28"/>
        </w:rPr>
        <w:t>2.7</w:t>
      </w:r>
      <w:r>
        <w:rPr>
          <w:b/>
          <w:color w:val="1F497D" w:themeColor="text2"/>
          <w:sz w:val="28"/>
          <w:szCs w:val="28"/>
        </w:rPr>
        <w:tab/>
      </w:r>
      <w:r w:rsidRPr="00341C79">
        <w:rPr>
          <w:b/>
          <w:color w:val="1F497D" w:themeColor="text2"/>
          <w:sz w:val="28"/>
          <w:szCs w:val="28"/>
        </w:rPr>
        <w:t>Library</w:t>
      </w:r>
    </w:p>
    <w:p w:rsidR="007C12D5" w:rsidRDefault="007C12D5" w:rsidP="007C12D5">
      <w:pPr>
        <w:jc w:val="both"/>
        <w:rPr>
          <w:sz w:val="24"/>
          <w:szCs w:val="24"/>
        </w:rPr>
      </w:pPr>
      <w:r>
        <w:rPr>
          <w:sz w:val="24"/>
          <w:szCs w:val="24"/>
        </w:rPr>
        <w:t xml:space="preserve">Where the local authority does not operate an electronic count system, the number of library visits per 1,000 </w:t>
      </w:r>
      <w:proofErr w:type="gramStart"/>
      <w:r>
        <w:rPr>
          <w:sz w:val="24"/>
          <w:szCs w:val="24"/>
        </w:rPr>
        <w:t>population</w:t>
      </w:r>
      <w:proofErr w:type="gramEnd"/>
      <w:r>
        <w:rPr>
          <w:sz w:val="24"/>
          <w:szCs w:val="24"/>
        </w:rPr>
        <w:t xml:space="preserve"> is calculated by multiplying the number of library visits in a particular six day period by 50 for the yearly total. This indicator does not take account of the amount of weekly opening hours or the number of libraries within a local authority. Nor does it reflect the increasing use of on-line lending that is conducted remotely. </w:t>
      </w:r>
    </w:p>
    <w:p w:rsidR="00793E03" w:rsidRDefault="007C12D5" w:rsidP="007C12D5">
      <w:pPr>
        <w:jc w:val="both"/>
        <w:rPr>
          <w:sz w:val="24"/>
          <w:szCs w:val="24"/>
        </w:rPr>
      </w:pPr>
      <w:r w:rsidRPr="00341C79">
        <w:rPr>
          <w:sz w:val="24"/>
          <w:szCs w:val="24"/>
        </w:rPr>
        <w:t>The number of library visits per 1,000 population increased by 14% since 2013</w:t>
      </w:r>
      <w:r>
        <w:rPr>
          <w:sz w:val="24"/>
          <w:szCs w:val="24"/>
        </w:rPr>
        <w:t>. The median number of library visits in 2014 is 3.62 per person compared with 3.18 in 2013. The most visits were recorded in Cork City with 6.2 visits per person. The least number of library visits per population were recorded by Donegal County Council with an average of 2.1 visits to the library per person.</w:t>
      </w:r>
    </w:p>
    <w:p w:rsidR="00793E03" w:rsidRDefault="00793E03" w:rsidP="007C12D5">
      <w:pPr>
        <w:jc w:val="both"/>
        <w:rPr>
          <w:sz w:val="24"/>
          <w:szCs w:val="24"/>
        </w:rPr>
      </w:pPr>
    </w:p>
    <w:p w:rsidR="007C12D5" w:rsidRDefault="007C12D5" w:rsidP="007C12D5">
      <w:pPr>
        <w:ind w:left="-426"/>
        <w:rPr>
          <w:sz w:val="24"/>
          <w:szCs w:val="24"/>
        </w:rPr>
      </w:pPr>
      <w:r w:rsidRPr="00BE2396">
        <w:rPr>
          <w:noProof/>
          <w:sz w:val="24"/>
          <w:szCs w:val="24"/>
          <w:lang w:eastAsia="en-IE"/>
        </w:rPr>
        <w:drawing>
          <wp:inline distT="0" distB="0" distL="0" distR="0" wp14:anchorId="36876ED3" wp14:editId="04B353F8">
            <wp:extent cx="6238875" cy="2051050"/>
            <wp:effectExtent l="0" t="0" r="0" b="6350"/>
            <wp:docPr id="10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93E03" w:rsidRDefault="00793E03" w:rsidP="007C12D5">
      <w:pPr>
        <w:jc w:val="both"/>
        <w:rPr>
          <w:sz w:val="24"/>
          <w:szCs w:val="24"/>
        </w:rPr>
      </w:pPr>
    </w:p>
    <w:p w:rsidR="007C12D5" w:rsidRDefault="007C12D5" w:rsidP="007C12D5">
      <w:pPr>
        <w:jc w:val="both"/>
        <w:rPr>
          <w:rFonts w:eastAsia="Times New Roman" w:cstheme="minorHAnsi"/>
          <w:color w:val="000000"/>
          <w:sz w:val="24"/>
          <w:szCs w:val="24"/>
          <w:lang w:eastAsia="en-IE"/>
        </w:rPr>
      </w:pPr>
      <w:r w:rsidRPr="00341C79">
        <w:rPr>
          <w:sz w:val="24"/>
          <w:szCs w:val="24"/>
        </w:rPr>
        <w:lastRenderedPageBreak/>
        <w:t xml:space="preserve">This indicator </w:t>
      </w:r>
      <w:r>
        <w:rPr>
          <w:sz w:val="24"/>
          <w:szCs w:val="24"/>
        </w:rPr>
        <w:t xml:space="preserve">also </w:t>
      </w:r>
      <w:r w:rsidRPr="00341C79">
        <w:rPr>
          <w:sz w:val="24"/>
          <w:szCs w:val="24"/>
        </w:rPr>
        <w:t xml:space="preserve">measures the cost of operating the library service </w:t>
      </w:r>
      <w:r>
        <w:rPr>
          <w:sz w:val="24"/>
          <w:szCs w:val="24"/>
        </w:rPr>
        <w:t xml:space="preserve">by local authority. It is compiled by calculating the cost for the local authority of operating the library and archival service divided by 1,000 population of the local authority area.  The median average cost per 1,000 </w:t>
      </w:r>
      <w:proofErr w:type="gramStart"/>
      <w:r>
        <w:rPr>
          <w:sz w:val="24"/>
          <w:szCs w:val="24"/>
        </w:rPr>
        <w:t>population</w:t>
      </w:r>
      <w:proofErr w:type="gramEnd"/>
      <w:r>
        <w:rPr>
          <w:sz w:val="24"/>
          <w:szCs w:val="24"/>
        </w:rPr>
        <w:t xml:space="preserve"> is </w:t>
      </w:r>
      <w:r w:rsidRPr="008A042E">
        <w:rPr>
          <w:sz w:val="24"/>
          <w:szCs w:val="24"/>
        </w:rPr>
        <w:t>€</w:t>
      </w:r>
      <w:r w:rsidRPr="008A042E">
        <w:rPr>
          <w:rFonts w:eastAsia="Times New Roman" w:cstheme="minorHAnsi"/>
          <w:color w:val="000000"/>
          <w:sz w:val="24"/>
          <w:szCs w:val="24"/>
          <w:lang w:eastAsia="en-IE"/>
        </w:rPr>
        <w:t>27,088.72 which equates to €27</w:t>
      </w:r>
      <w:r>
        <w:rPr>
          <w:rFonts w:eastAsia="Times New Roman" w:cstheme="minorHAnsi"/>
          <w:color w:val="000000"/>
          <w:sz w:val="24"/>
          <w:szCs w:val="24"/>
          <w:lang w:eastAsia="en-IE"/>
        </w:rPr>
        <w:t xml:space="preserve">.08 </w:t>
      </w:r>
      <w:r w:rsidRPr="008A042E">
        <w:rPr>
          <w:rFonts w:eastAsia="Times New Roman" w:cstheme="minorHAnsi"/>
          <w:color w:val="000000"/>
          <w:sz w:val="24"/>
          <w:szCs w:val="24"/>
          <w:lang w:eastAsia="en-IE"/>
        </w:rPr>
        <w:t>per</w:t>
      </w:r>
      <w:r>
        <w:rPr>
          <w:rFonts w:eastAsia="Times New Roman" w:cstheme="minorHAnsi"/>
          <w:color w:val="000000"/>
          <w:sz w:val="24"/>
          <w:szCs w:val="24"/>
          <w:lang w:eastAsia="en-IE"/>
        </w:rPr>
        <w:t xml:space="preserve"> capita</w:t>
      </w:r>
      <w:r w:rsidRPr="008A042E">
        <w:rPr>
          <w:rFonts w:eastAsia="Times New Roman" w:cstheme="minorHAnsi"/>
          <w:color w:val="000000"/>
          <w:sz w:val="24"/>
          <w:szCs w:val="24"/>
          <w:lang w:eastAsia="en-IE"/>
        </w:rPr>
        <w:t xml:space="preserve">. </w:t>
      </w:r>
      <w:r>
        <w:rPr>
          <w:rFonts w:eastAsia="Times New Roman" w:cstheme="minorHAnsi"/>
          <w:color w:val="000000"/>
          <w:sz w:val="24"/>
          <w:szCs w:val="24"/>
          <w:lang w:eastAsia="en-IE"/>
        </w:rPr>
        <w:t xml:space="preserve">The cost per 1,000 </w:t>
      </w:r>
      <w:proofErr w:type="gramStart"/>
      <w:r>
        <w:rPr>
          <w:rFonts w:eastAsia="Times New Roman" w:cstheme="minorHAnsi"/>
          <w:color w:val="000000"/>
          <w:sz w:val="24"/>
          <w:szCs w:val="24"/>
          <w:lang w:eastAsia="en-IE"/>
        </w:rPr>
        <w:t>population</w:t>
      </w:r>
      <w:proofErr w:type="gramEnd"/>
      <w:r>
        <w:rPr>
          <w:rFonts w:eastAsia="Times New Roman" w:cstheme="minorHAnsi"/>
          <w:color w:val="000000"/>
          <w:sz w:val="24"/>
          <w:szCs w:val="24"/>
          <w:lang w:eastAsia="en-IE"/>
        </w:rPr>
        <w:t xml:space="preserve"> ranged from €60,158.82 in Cork City to €17,299.71 in Mayo County Council. Graph</w:t>
      </w:r>
      <w:r w:rsidR="00793E03">
        <w:rPr>
          <w:rFonts w:eastAsia="Times New Roman" w:cstheme="minorHAnsi"/>
          <w:color w:val="000000"/>
          <w:sz w:val="24"/>
          <w:szCs w:val="24"/>
          <w:lang w:eastAsia="en-IE"/>
        </w:rPr>
        <w:t xml:space="preserve"> </w:t>
      </w:r>
      <w:r>
        <w:rPr>
          <w:rFonts w:eastAsia="Times New Roman" w:cstheme="minorHAnsi"/>
          <w:color w:val="000000"/>
          <w:sz w:val="24"/>
          <w:szCs w:val="24"/>
          <w:lang w:eastAsia="en-IE"/>
        </w:rPr>
        <w:t>2</w:t>
      </w:r>
      <w:r w:rsidR="00EB3EF8">
        <w:rPr>
          <w:rFonts w:eastAsia="Times New Roman" w:cstheme="minorHAnsi"/>
          <w:color w:val="000000"/>
          <w:sz w:val="24"/>
          <w:szCs w:val="24"/>
          <w:lang w:eastAsia="en-IE"/>
        </w:rPr>
        <w:t>0</w:t>
      </w:r>
      <w:r>
        <w:rPr>
          <w:rFonts w:eastAsia="Times New Roman" w:cstheme="minorHAnsi"/>
          <w:color w:val="000000"/>
          <w:sz w:val="24"/>
          <w:szCs w:val="24"/>
          <w:lang w:eastAsia="en-IE"/>
        </w:rPr>
        <w:t xml:space="preserve"> below illustrates the range of per cost per capita across the sector. </w:t>
      </w:r>
    </w:p>
    <w:p w:rsidR="00793E03" w:rsidRDefault="00793E03" w:rsidP="007C12D5">
      <w:pPr>
        <w:jc w:val="both"/>
        <w:rPr>
          <w:rFonts w:eastAsia="Times New Roman" w:cstheme="minorHAnsi"/>
          <w:color w:val="000000"/>
          <w:sz w:val="24"/>
          <w:szCs w:val="24"/>
          <w:lang w:eastAsia="en-IE"/>
        </w:rPr>
      </w:pPr>
    </w:p>
    <w:p w:rsidR="007C12D5" w:rsidRDefault="007C12D5" w:rsidP="007C12D5">
      <w:pPr>
        <w:ind w:left="-426"/>
        <w:jc w:val="both"/>
        <w:rPr>
          <w:rFonts w:eastAsia="Times New Roman" w:cstheme="minorHAnsi"/>
          <w:color w:val="000000"/>
          <w:sz w:val="24"/>
          <w:szCs w:val="24"/>
          <w:lang w:eastAsia="en-IE"/>
        </w:rPr>
      </w:pPr>
      <w:r>
        <w:rPr>
          <w:rFonts w:eastAsia="Times New Roman" w:cstheme="minorHAnsi"/>
          <w:noProof/>
          <w:color w:val="000000"/>
          <w:sz w:val="24"/>
          <w:szCs w:val="24"/>
          <w:lang w:eastAsia="en-IE"/>
        </w:rPr>
        <w:drawing>
          <wp:inline distT="0" distB="0" distL="0" distR="0" wp14:anchorId="6EA91739" wp14:editId="67ECE682">
            <wp:extent cx="6486525" cy="2186305"/>
            <wp:effectExtent l="0" t="0" r="0" b="4445"/>
            <wp:docPr id="10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93E03" w:rsidRDefault="00793E03" w:rsidP="007C12D5">
      <w:pPr>
        <w:jc w:val="both"/>
        <w:rPr>
          <w:b/>
          <w:color w:val="1F497D" w:themeColor="text2"/>
          <w:sz w:val="28"/>
          <w:szCs w:val="28"/>
        </w:rPr>
      </w:pPr>
    </w:p>
    <w:p w:rsidR="007C12D5" w:rsidRDefault="007C12D5" w:rsidP="007C12D5">
      <w:pPr>
        <w:jc w:val="both"/>
        <w:rPr>
          <w:b/>
          <w:color w:val="1F497D" w:themeColor="text2"/>
          <w:sz w:val="28"/>
          <w:szCs w:val="28"/>
        </w:rPr>
      </w:pPr>
      <w:r>
        <w:rPr>
          <w:b/>
          <w:color w:val="1F497D" w:themeColor="text2"/>
          <w:sz w:val="28"/>
          <w:szCs w:val="28"/>
        </w:rPr>
        <w:t>2.8</w:t>
      </w:r>
      <w:r>
        <w:rPr>
          <w:b/>
          <w:color w:val="1F497D" w:themeColor="text2"/>
          <w:sz w:val="28"/>
          <w:szCs w:val="28"/>
        </w:rPr>
        <w:tab/>
      </w:r>
      <w:r w:rsidRPr="008A042E">
        <w:rPr>
          <w:b/>
          <w:color w:val="1F497D" w:themeColor="text2"/>
          <w:sz w:val="28"/>
          <w:szCs w:val="28"/>
        </w:rPr>
        <w:t xml:space="preserve">Youth and Community Participation </w:t>
      </w:r>
    </w:p>
    <w:p w:rsidR="007C12D5" w:rsidRPr="008A042E" w:rsidRDefault="007C12D5" w:rsidP="007C12D5">
      <w:pPr>
        <w:jc w:val="both"/>
        <w:rPr>
          <w:b/>
          <w:color w:val="1F497D" w:themeColor="text2"/>
          <w:sz w:val="28"/>
          <w:szCs w:val="28"/>
        </w:rPr>
      </w:pPr>
      <w:r w:rsidRPr="00595745">
        <w:rPr>
          <w:sz w:val="24"/>
          <w:szCs w:val="24"/>
        </w:rPr>
        <w:t xml:space="preserve">The role of local authorities, in particular in the community and enterprise development area and their contribution to the national Action Plan for Jobs has never been more important.  </w:t>
      </w:r>
      <w:r>
        <w:rPr>
          <w:sz w:val="24"/>
          <w:szCs w:val="24"/>
        </w:rPr>
        <w:t>The</w:t>
      </w:r>
      <w:r w:rsidRPr="00595745">
        <w:rPr>
          <w:sz w:val="24"/>
          <w:szCs w:val="24"/>
        </w:rPr>
        <w:t xml:space="preserve"> new Community indicators </w:t>
      </w:r>
      <w:r>
        <w:rPr>
          <w:sz w:val="24"/>
          <w:szCs w:val="24"/>
        </w:rPr>
        <w:t xml:space="preserve">measure </w:t>
      </w:r>
      <w:r w:rsidRPr="00051120">
        <w:rPr>
          <w:sz w:val="24"/>
          <w:szCs w:val="24"/>
        </w:rPr>
        <w:t xml:space="preserve">data on a </w:t>
      </w:r>
      <w:r>
        <w:rPr>
          <w:sz w:val="24"/>
          <w:szCs w:val="24"/>
        </w:rPr>
        <w:t xml:space="preserve">range </w:t>
      </w:r>
      <w:r w:rsidRPr="00051120">
        <w:rPr>
          <w:sz w:val="24"/>
          <w:szCs w:val="24"/>
        </w:rPr>
        <w:t>of programmes</w:t>
      </w:r>
      <w:r>
        <w:rPr>
          <w:sz w:val="24"/>
          <w:szCs w:val="24"/>
        </w:rPr>
        <w:t xml:space="preserve">, </w:t>
      </w:r>
      <w:r w:rsidRPr="00051120">
        <w:rPr>
          <w:sz w:val="24"/>
          <w:szCs w:val="24"/>
        </w:rPr>
        <w:t>through which local authorit</w:t>
      </w:r>
      <w:r>
        <w:rPr>
          <w:sz w:val="24"/>
          <w:szCs w:val="24"/>
        </w:rPr>
        <w:t>ies engage with their community and provide employment opportunities and support to disadvantaged groups including the long term unemployed.</w:t>
      </w:r>
      <w:r w:rsidRPr="00595745">
        <w:rPr>
          <w:rFonts w:cs="Calibri"/>
          <w:sz w:val="24"/>
          <w:szCs w:val="24"/>
        </w:rPr>
        <w:t xml:space="preserve">    </w:t>
      </w:r>
    </w:p>
    <w:p w:rsidR="007C12D5" w:rsidRPr="00DB7475" w:rsidRDefault="007C12D5" w:rsidP="007C12D5">
      <w:pPr>
        <w:jc w:val="both"/>
        <w:rPr>
          <w:rFonts w:eastAsia="Times New Roman"/>
          <w:color w:val="000000"/>
          <w:sz w:val="24"/>
          <w:szCs w:val="24"/>
          <w:lang w:eastAsia="en-IE"/>
        </w:rPr>
      </w:pPr>
      <w:r>
        <w:rPr>
          <w:sz w:val="24"/>
          <w:szCs w:val="24"/>
        </w:rPr>
        <w:t>The total number of second level schools and youth groups within the sector on 31</w:t>
      </w:r>
      <w:r w:rsidRPr="0006401F">
        <w:rPr>
          <w:sz w:val="24"/>
          <w:szCs w:val="24"/>
          <w:vertAlign w:val="superscript"/>
        </w:rPr>
        <w:t>st</w:t>
      </w:r>
      <w:r>
        <w:rPr>
          <w:sz w:val="24"/>
          <w:szCs w:val="24"/>
        </w:rPr>
        <w:t xml:space="preserve"> December 2014 was 2,012 of which an average of 62% were involved in the local youth Council/</w:t>
      </w:r>
      <w:proofErr w:type="spellStart"/>
      <w:r>
        <w:rPr>
          <w:sz w:val="24"/>
          <w:szCs w:val="24"/>
        </w:rPr>
        <w:t>Comhairle</w:t>
      </w:r>
      <w:proofErr w:type="spellEnd"/>
      <w:r>
        <w:rPr>
          <w:sz w:val="24"/>
          <w:szCs w:val="24"/>
        </w:rPr>
        <w:t xml:space="preserve"> </w:t>
      </w:r>
      <w:proofErr w:type="spellStart"/>
      <w:r>
        <w:rPr>
          <w:sz w:val="24"/>
          <w:szCs w:val="24"/>
        </w:rPr>
        <w:t>na</w:t>
      </w:r>
      <w:proofErr w:type="spellEnd"/>
      <w:r>
        <w:rPr>
          <w:sz w:val="24"/>
          <w:szCs w:val="24"/>
        </w:rPr>
        <w:t xml:space="preserve"> n-</w:t>
      </w:r>
      <w:proofErr w:type="spellStart"/>
      <w:r>
        <w:rPr>
          <w:sz w:val="24"/>
          <w:szCs w:val="24"/>
        </w:rPr>
        <w:t>Óg</w:t>
      </w:r>
      <w:proofErr w:type="spellEnd"/>
      <w:r>
        <w:rPr>
          <w:sz w:val="24"/>
          <w:szCs w:val="24"/>
        </w:rPr>
        <w:t xml:space="preserve"> scheme. </w:t>
      </w:r>
      <w:r w:rsidRPr="00150C7F">
        <w:rPr>
          <w:sz w:val="24"/>
          <w:szCs w:val="24"/>
        </w:rPr>
        <w:t xml:space="preserve">Gateway is a </w:t>
      </w:r>
      <w:r w:rsidRPr="00150C7F">
        <w:rPr>
          <w:rFonts w:cs="Arial"/>
          <w:sz w:val="24"/>
          <w:szCs w:val="24"/>
          <w:shd w:val="clear" w:color="auto" w:fill="FFFFFF"/>
        </w:rPr>
        <w:t>local authority labour activation 22-month scheme, run in conjunction with the Department of Social Protection (DSP) that provides short-term work and training opportunities for long-term unemployed people who have been on the Live Register for over two years.</w:t>
      </w:r>
      <w:r w:rsidRPr="00150C7F">
        <w:rPr>
          <w:rFonts w:eastAsia="Times New Roman"/>
          <w:sz w:val="24"/>
          <w:szCs w:val="24"/>
          <w:lang w:eastAsia="en-IE"/>
        </w:rPr>
        <w:t xml:space="preserve"> The statistics</w:t>
      </w:r>
      <w:r>
        <w:rPr>
          <w:rFonts w:eastAsia="Times New Roman"/>
          <w:color w:val="000000"/>
          <w:sz w:val="24"/>
          <w:szCs w:val="24"/>
          <w:lang w:eastAsia="en-IE"/>
        </w:rPr>
        <w:t xml:space="preserve"> show that local authorities employed a median average of 64.9% of their assigned participant targets on the scheme in the first full year of the programme, with six local authorities exceeding their target number of participants placed on the scheme. A number have continued to recruit beyond the target assigned. Twenty local authorities achieved above 50% of their target with just four local authorities below 20% of their target. The optimisation of the referral process from DSP, along with the resolution of issues with unions in 2014, resulted in a more significant take up of participants in the second half of 2014. </w:t>
      </w:r>
    </w:p>
    <w:p w:rsidR="007C12D5" w:rsidRPr="00595745" w:rsidRDefault="007C12D5" w:rsidP="007C12D5">
      <w:pPr>
        <w:jc w:val="both"/>
        <w:rPr>
          <w:rFonts w:cs="Calibri"/>
          <w:sz w:val="24"/>
          <w:szCs w:val="24"/>
        </w:rPr>
      </w:pPr>
      <w:r>
        <w:rPr>
          <w:sz w:val="24"/>
          <w:szCs w:val="24"/>
        </w:rPr>
        <w:lastRenderedPageBreak/>
        <w:t xml:space="preserve">Through its engagement with target groups and youths </w:t>
      </w:r>
      <w:r w:rsidR="00E84D87">
        <w:rPr>
          <w:sz w:val="24"/>
          <w:szCs w:val="24"/>
        </w:rPr>
        <w:t>i</w:t>
      </w:r>
      <w:r>
        <w:rPr>
          <w:sz w:val="24"/>
          <w:szCs w:val="24"/>
        </w:rPr>
        <w:t>n the Local Community Development Programme (succeeded in 2015 by the Social Inclusion Community Activation Programme (SICAP)), participating local authorities s</w:t>
      </w:r>
      <w:r w:rsidRPr="009F4F55">
        <w:rPr>
          <w:sz w:val="24"/>
          <w:szCs w:val="24"/>
        </w:rPr>
        <w:t xml:space="preserve">upported 6,169 individuals to full-time, part-time or self-employment within six months of receiving </w:t>
      </w:r>
      <w:r>
        <w:rPr>
          <w:sz w:val="24"/>
          <w:szCs w:val="24"/>
        </w:rPr>
        <w:t>targeted employment support.</w:t>
      </w:r>
    </w:p>
    <w:p w:rsidR="007C12D5" w:rsidRDefault="007C12D5" w:rsidP="007C12D5">
      <w:pPr>
        <w:jc w:val="both"/>
        <w:rPr>
          <w:rFonts w:cs="Calibri"/>
          <w:sz w:val="24"/>
          <w:szCs w:val="24"/>
        </w:rPr>
      </w:pPr>
      <w:r w:rsidRPr="002C1A9C">
        <w:rPr>
          <w:sz w:val="24"/>
          <w:szCs w:val="24"/>
        </w:rPr>
        <w:t xml:space="preserve">The Local Government Reform Act 2014 provides for </w:t>
      </w:r>
      <w:r>
        <w:rPr>
          <w:sz w:val="24"/>
          <w:szCs w:val="24"/>
        </w:rPr>
        <w:t xml:space="preserve">the </w:t>
      </w:r>
      <w:r w:rsidRPr="002C1A9C">
        <w:rPr>
          <w:sz w:val="24"/>
          <w:szCs w:val="24"/>
        </w:rPr>
        <w:t>establishment of local community development committees (LCDCs)</w:t>
      </w:r>
      <w:r>
        <w:rPr>
          <w:sz w:val="24"/>
          <w:szCs w:val="24"/>
        </w:rPr>
        <w:t>.</w:t>
      </w:r>
      <w:r w:rsidRPr="002C1A9C">
        <w:rPr>
          <w:sz w:val="24"/>
          <w:szCs w:val="24"/>
        </w:rPr>
        <w:t xml:space="preserve"> The main function of an LCDC is to prepare, implement and monitor the community elements of the six-year local economic and community plan.</w:t>
      </w:r>
      <w:r w:rsidRPr="00F24D7F">
        <w:rPr>
          <w:rFonts w:cs="Calibri"/>
          <w:sz w:val="24"/>
          <w:szCs w:val="24"/>
        </w:rPr>
        <w:t xml:space="preserve"> </w:t>
      </w:r>
      <w:r>
        <w:rPr>
          <w:rFonts w:cs="Calibri"/>
          <w:sz w:val="24"/>
          <w:szCs w:val="24"/>
        </w:rPr>
        <w:t xml:space="preserve"> Table 20 records the number of private sector nominees from the Public Participation Network (PPN) structures to the LCDC through the social inclusion process (Roma, Travellers, Unemployed, People with disabilities, families from disadvantaged areas).</w:t>
      </w:r>
      <w:r w:rsidRPr="00595745">
        <w:rPr>
          <w:rFonts w:cs="Calibri"/>
          <w:sz w:val="24"/>
          <w:szCs w:val="24"/>
        </w:rPr>
        <w:t xml:space="preserve">  It should be noted that the PPN was not operational until December 2014 in most local authorities, so a true measurement of the performance in this area will not be available until the 2015 figures are compiled.  </w:t>
      </w:r>
    </w:p>
    <w:p w:rsidR="00793E03" w:rsidRDefault="00793E03" w:rsidP="007C12D5">
      <w:pPr>
        <w:rPr>
          <w:b/>
          <w:color w:val="1F497D" w:themeColor="text2"/>
          <w:sz w:val="28"/>
          <w:szCs w:val="28"/>
        </w:rPr>
      </w:pPr>
    </w:p>
    <w:p w:rsidR="007C12D5" w:rsidRPr="00EC7EEC" w:rsidRDefault="007C12D5" w:rsidP="007C12D5">
      <w:pPr>
        <w:rPr>
          <w:b/>
          <w:color w:val="1F497D" w:themeColor="text2"/>
          <w:sz w:val="28"/>
          <w:szCs w:val="28"/>
        </w:rPr>
      </w:pPr>
      <w:r w:rsidRPr="005E7555">
        <w:rPr>
          <w:b/>
          <w:color w:val="1F497D" w:themeColor="text2"/>
          <w:sz w:val="28"/>
          <w:szCs w:val="28"/>
        </w:rPr>
        <w:t>2.</w:t>
      </w:r>
      <w:r>
        <w:rPr>
          <w:b/>
          <w:color w:val="1F497D" w:themeColor="text2"/>
          <w:sz w:val="28"/>
          <w:szCs w:val="28"/>
        </w:rPr>
        <w:t>9</w:t>
      </w:r>
      <w:r w:rsidRPr="005E7555">
        <w:rPr>
          <w:b/>
          <w:color w:val="1F497D" w:themeColor="text2"/>
          <w:sz w:val="28"/>
          <w:szCs w:val="28"/>
        </w:rPr>
        <w:tab/>
        <w:t>Corporate</w:t>
      </w:r>
    </w:p>
    <w:p w:rsidR="007C12D5" w:rsidRDefault="007C12D5" w:rsidP="007C12D5">
      <w:pPr>
        <w:jc w:val="both"/>
        <w:rPr>
          <w:sz w:val="24"/>
          <w:szCs w:val="24"/>
        </w:rPr>
      </w:pPr>
      <w:r>
        <w:rPr>
          <w:sz w:val="24"/>
          <w:szCs w:val="24"/>
        </w:rPr>
        <w:t>In the face of budgetary pressures t</w:t>
      </w:r>
      <w:r w:rsidRPr="00B52FD4">
        <w:rPr>
          <w:sz w:val="24"/>
          <w:szCs w:val="24"/>
        </w:rPr>
        <w:t>he number of staff working in local authorities continued to decline in 2014 with the whole time equivalent (W</w:t>
      </w:r>
      <w:r>
        <w:rPr>
          <w:sz w:val="24"/>
          <w:szCs w:val="24"/>
        </w:rPr>
        <w:t>TE) recorded at 26,80</w:t>
      </w:r>
      <w:r w:rsidR="00E84D87">
        <w:rPr>
          <w:sz w:val="24"/>
          <w:szCs w:val="24"/>
        </w:rPr>
        <w:t>6</w:t>
      </w:r>
      <w:r>
        <w:rPr>
          <w:sz w:val="24"/>
          <w:szCs w:val="24"/>
        </w:rPr>
        <w:t>.86</w:t>
      </w:r>
      <w:r>
        <w:rPr>
          <w:rStyle w:val="FootnoteReference"/>
          <w:sz w:val="24"/>
          <w:szCs w:val="24"/>
        </w:rPr>
        <w:footnoteReference w:id="5"/>
      </w:r>
      <w:r>
        <w:rPr>
          <w:sz w:val="24"/>
          <w:szCs w:val="24"/>
        </w:rPr>
        <w:t xml:space="preserve"> at 31/12/2014 a decrease of 2.6</w:t>
      </w:r>
      <w:r w:rsidR="00962DF8">
        <w:rPr>
          <w:sz w:val="24"/>
          <w:szCs w:val="24"/>
        </w:rPr>
        <w:t>7</w:t>
      </w:r>
      <w:r>
        <w:rPr>
          <w:sz w:val="24"/>
          <w:szCs w:val="24"/>
        </w:rPr>
        <w:t>% from 2013 and 23.42% since 2008 as demonstrated by this new indicator.</w:t>
      </w:r>
    </w:p>
    <w:p w:rsidR="007C12D5" w:rsidRDefault="00013615" w:rsidP="007C12D5">
      <w:pPr>
        <w:rPr>
          <w:b/>
        </w:rPr>
      </w:pPr>
      <w:r w:rsidRPr="00E677F3">
        <w:rPr>
          <w:noProof/>
          <w:sz w:val="24"/>
          <w:szCs w:val="24"/>
          <w:lang w:eastAsia="en-IE"/>
        </w:rPr>
        <w:drawing>
          <wp:inline distT="0" distB="0" distL="0" distR="0" wp14:anchorId="0653EC5C" wp14:editId="5C9F44CF">
            <wp:extent cx="4572000" cy="27432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C12D5" w:rsidRDefault="007C12D5" w:rsidP="007C12D5">
      <w:pPr>
        <w:jc w:val="both"/>
        <w:rPr>
          <w:sz w:val="24"/>
          <w:szCs w:val="24"/>
        </w:rPr>
      </w:pPr>
      <w:r w:rsidRPr="00D66B72">
        <w:rPr>
          <w:sz w:val="24"/>
          <w:szCs w:val="24"/>
        </w:rPr>
        <w:t>During the same period</w:t>
      </w:r>
      <w:r>
        <w:rPr>
          <w:sz w:val="24"/>
          <w:szCs w:val="24"/>
        </w:rPr>
        <w:t>,</w:t>
      </w:r>
      <w:r w:rsidRPr="00D66B72">
        <w:rPr>
          <w:sz w:val="24"/>
          <w:szCs w:val="24"/>
        </w:rPr>
        <w:t xml:space="preserve"> staffing </w:t>
      </w:r>
      <w:r>
        <w:rPr>
          <w:sz w:val="24"/>
          <w:szCs w:val="24"/>
        </w:rPr>
        <w:t>numbers</w:t>
      </w:r>
      <w:r w:rsidRPr="00D66B72">
        <w:rPr>
          <w:sz w:val="24"/>
          <w:szCs w:val="24"/>
        </w:rPr>
        <w:t xml:space="preserve"> in the public sector decreased from </w:t>
      </w:r>
      <w:r w:rsidRPr="00D66B72">
        <w:rPr>
          <w:rFonts w:eastAsia="Times New Roman" w:cs="Arial"/>
          <w:bCs/>
          <w:color w:val="000000"/>
          <w:sz w:val="24"/>
          <w:szCs w:val="24"/>
          <w:lang w:eastAsia="en-IE"/>
        </w:rPr>
        <w:t>320,387.15 (Q4 2008) to 289,642.87 (Q4 2014)</w:t>
      </w:r>
      <w:r>
        <w:rPr>
          <w:rStyle w:val="FootnoteReference"/>
          <w:rFonts w:eastAsia="Times New Roman" w:cs="Arial"/>
          <w:bCs/>
          <w:color w:val="000000"/>
          <w:sz w:val="24"/>
          <w:szCs w:val="24"/>
          <w:lang w:eastAsia="en-IE"/>
        </w:rPr>
        <w:footnoteReference w:id="6"/>
      </w:r>
      <w:r w:rsidRPr="00D66B72">
        <w:rPr>
          <w:rFonts w:eastAsia="Times New Roman" w:cs="Arial"/>
          <w:bCs/>
          <w:color w:val="000000"/>
          <w:sz w:val="24"/>
          <w:szCs w:val="24"/>
          <w:lang w:eastAsia="en-IE"/>
        </w:rPr>
        <w:t xml:space="preserve"> with the proportion of local authority staff decreasing </w:t>
      </w:r>
      <w:r w:rsidRPr="00D66B72">
        <w:rPr>
          <w:rFonts w:eastAsia="Times New Roman" w:cs="Arial"/>
          <w:bCs/>
          <w:color w:val="000000"/>
          <w:sz w:val="24"/>
          <w:szCs w:val="24"/>
          <w:lang w:eastAsia="en-IE"/>
        </w:rPr>
        <w:lastRenderedPageBreak/>
        <w:t>from 10.93% to 9.25%</w:t>
      </w:r>
      <w:r>
        <w:rPr>
          <w:rFonts w:eastAsia="Times New Roman" w:cs="Arial"/>
          <w:bCs/>
          <w:color w:val="000000"/>
          <w:sz w:val="24"/>
          <w:szCs w:val="24"/>
          <w:lang w:eastAsia="en-IE"/>
        </w:rPr>
        <w:t>,</w:t>
      </w:r>
      <w:r w:rsidRPr="00D66B72">
        <w:rPr>
          <w:rFonts w:eastAsia="Times New Roman" w:cs="Arial"/>
          <w:bCs/>
          <w:color w:val="000000"/>
          <w:sz w:val="24"/>
          <w:szCs w:val="24"/>
          <w:lang w:eastAsia="en-IE"/>
        </w:rPr>
        <w:t xml:space="preserve"> a total reduction of 15.37%.</w:t>
      </w:r>
      <w:r w:rsidR="00927439">
        <w:rPr>
          <w:rFonts w:eastAsia="Times New Roman" w:cs="Arial"/>
          <w:bCs/>
          <w:color w:val="000000"/>
          <w:sz w:val="24"/>
          <w:szCs w:val="24"/>
          <w:lang w:eastAsia="en-IE"/>
        </w:rPr>
        <w:t xml:space="preserve"> </w:t>
      </w:r>
      <w:r w:rsidRPr="00D66B72">
        <w:rPr>
          <w:rFonts w:eastAsia="Times New Roman" w:cs="Arial"/>
          <w:bCs/>
          <w:color w:val="000000"/>
          <w:sz w:val="24"/>
          <w:szCs w:val="24"/>
          <w:lang w:eastAsia="en-IE"/>
        </w:rPr>
        <w:t xml:space="preserve"> </w:t>
      </w:r>
      <w:r>
        <w:rPr>
          <w:sz w:val="24"/>
          <w:szCs w:val="24"/>
        </w:rPr>
        <w:t>F</w:t>
      </w:r>
      <w:r w:rsidRPr="00580652">
        <w:rPr>
          <w:sz w:val="24"/>
          <w:szCs w:val="24"/>
        </w:rPr>
        <w:t xml:space="preserve">igures </w:t>
      </w:r>
      <w:r>
        <w:rPr>
          <w:sz w:val="24"/>
          <w:szCs w:val="24"/>
        </w:rPr>
        <w:t>compiled by the Department of Public Expenditure and Reform and illustrated in Graph 2</w:t>
      </w:r>
      <w:r w:rsidR="00EB3EF8">
        <w:rPr>
          <w:sz w:val="24"/>
          <w:szCs w:val="24"/>
        </w:rPr>
        <w:t>2</w:t>
      </w:r>
      <w:r>
        <w:rPr>
          <w:sz w:val="24"/>
          <w:szCs w:val="24"/>
        </w:rPr>
        <w:t xml:space="preserve"> </w:t>
      </w:r>
      <w:r w:rsidRPr="00580652">
        <w:rPr>
          <w:sz w:val="24"/>
          <w:szCs w:val="24"/>
        </w:rPr>
        <w:t>confirm that local government has incurred the highest proportionate staffing reduction of any one sector in the public service.</w:t>
      </w:r>
    </w:p>
    <w:p w:rsidR="007C12D5" w:rsidRDefault="007C12D5" w:rsidP="007C12D5">
      <w:pPr>
        <w:rPr>
          <w:rFonts w:eastAsia="Times New Roman" w:cs="Arial"/>
          <w:bCs/>
          <w:color w:val="000000"/>
          <w:sz w:val="24"/>
          <w:szCs w:val="24"/>
          <w:lang w:eastAsia="en-IE"/>
        </w:rPr>
      </w:pPr>
      <w:r w:rsidRPr="00E35F5F">
        <w:rPr>
          <w:rFonts w:eastAsia="Times New Roman" w:cs="Arial"/>
          <w:bCs/>
          <w:noProof/>
          <w:color w:val="000000"/>
          <w:sz w:val="24"/>
          <w:szCs w:val="24"/>
          <w:lang w:eastAsia="en-IE"/>
        </w:rPr>
        <w:drawing>
          <wp:inline distT="0" distB="0" distL="0" distR="0" wp14:anchorId="651FACA9" wp14:editId="0B2FCC14">
            <wp:extent cx="4495800" cy="2581275"/>
            <wp:effectExtent l="0" t="0" r="0" b="0"/>
            <wp:docPr id="107"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E35F5F">
        <w:rPr>
          <w:rFonts w:eastAsia="Times New Roman" w:cs="Arial"/>
          <w:bCs/>
          <w:noProof/>
          <w:color w:val="000000"/>
          <w:sz w:val="24"/>
          <w:szCs w:val="24"/>
          <w:lang w:eastAsia="en-IE"/>
        </w:rPr>
        <w:t xml:space="preserve"> </w:t>
      </w:r>
    </w:p>
    <w:p w:rsidR="007C12D5" w:rsidRDefault="007C12D5" w:rsidP="007C12D5">
      <w:pPr>
        <w:rPr>
          <w:i/>
        </w:rPr>
      </w:pPr>
      <w:r w:rsidRPr="00E35F5F">
        <w:rPr>
          <w:rFonts w:eastAsia="Times New Roman" w:cs="Arial"/>
          <w:bCs/>
          <w:i/>
          <w:color w:val="000000"/>
          <w:lang w:eastAsia="en-IE"/>
        </w:rPr>
        <w:t xml:space="preserve">Source: </w:t>
      </w:r>
      <w:r>
        <w:rPr>
          <w:rFonts w:eastAsia="Times New Roman" w:cs="Arial"/>
          <w:bCs/>
          <w:i/>
          <w:color w:val="000000"/>
          <w:lang w:eastAsia="en-IE"/>
        </w:rPr>
        <w:tab/>
      </w:r>
      <w:hyperlink r:id="rId40" w:history="1">
        <w:r w:rsidRPr="0010173D">
          <w:rPr>
            <w:rStyle w:val="Hyperlink"/>
            <w:rFonts w:eastAsia="Times New Roman" w:cs="Arial"/>
            <w:bCs/>
            <w:i/>
            <w:lang w:eastAsia="en-IE"/>
          </w:rPr>
          <w:t>http://www.</w:t>
        </w:r>
        <w:r w:rsidRPr="0010173D">
          <w:rPr>
            <w:rStyle w:val="Hyperlink"/>
            <w:i/>
          </w:rPr>
          <w:t>databank.per.gov.ie</w:t>
        </w:r>
      </w:hyperlink>
    </w:p>
    <w:tbl>
      <w:tblPr>
        <w:tblStyle w:val="MediumShading1-Accent11"/>
        <w:tblW w:w="9222" w:type="dxa"/>
        <w:tblLook w:val="04A0" w:firstRow="1" w:lastRow="0" w:firstColumn="1" w:lastColumn="0" w:noHBand="0" w:noVBand="1"/>
      </w:tblPr>
      <w:tblGrid>
        <w:gridCol w:w="1242"/>
        <w:gridCol w:w="764"/>
        <w:gridCol w:w="18"/>
        <w:gridCol w:w="842"/>
        <w:gridCol w:w="18"/>
        <w:gridCol w:w="843"/>
        <w:gridCol w:w="18"/>
        <w:gridCol w:w="843"/>
        <w:gridCol w:w="18"/>
        <w:gridCol w:w="843"/>
        <w:gridCol w:w="18"/>
        <w:gridCol w:w="843"/>
        <w:gridCol w:w="18"/>
        <w:gridCol w:w="843"/>
        <w:gridCol w:w="11"/>
        <w:gridCol w:w="2013"/>
        <w:gridCol w:w="27"/>
      </w:tblGrid>
      <w:tr w:rsidR="007C12D5" w:rsidRPr="00F35333" w:rsidTr="007C12D5">
        <w:trPr>
          <w:gridAfter w:val="1"/>
          <w:cnfStyle w:val="100000000000" w:firstRow="1" w:lastRow="0" w:firstColumn="0" w:lastColumn="0" w:oddVBand="0" w:evenVBand="0" w:oddHBand="0" w:evenHBand="0" w:firstRowFirstColumn="0" w:firstRowLastColumn="0" w:lastRowFirstColumn="0" w:lastRowLastColumn="0"/>
          <w:wAfter w:w="27" w:type="dxa"/>
          <w:trHeight w:val="300"/>
        </w:trPr>
        <w:tc>
          <w:tcPr>
            <w:cnfStyle w:val="001000000000" w:firstRow="0" w:lastRow="0" w:firstColumn="1" w:lastColumn="0" w:oddVBand="0" w:evenVBand="0" w:oddHBand="0" w:evenHBand="0" w:firstRowFirstColumn="0" w:firstRowLastColumn="0" w:lastRowFirstColumn="0" w:lastRowLastColumn="0"/>
            <w:tcW w:w="9195" w:type="dxa"/>
            <w:gridSpan w:val="16"/>
            <w:hideMark/>
          </w:tcPr>
          <w:p w:rsidR="007C12D5" w:rsidRPr="00F35333" w:rsidRDefault="007C12D5" w:rsidP="007C12D5">
            <w:pPr>
              <w:jc w:val="center"/>
              <w:rPr>
                <w:rFonts w:asciiTheme="minorHAnsi" w:hAnsiTheme="minorHAnsi"/>
              </w:rPr>
            </w:pPr>
            <w:r>
              <w:rPr>
                <w:rFonts w:asciiTheme="minorHAnsi" w:hAnsiTheme="minorHAnsi"/>
                <w:bCs w:val="0"/>
              </w:rPr>
              <w:t>Trends in P</w:t>
            </w:r>
            <w:r w:rsidRPr="00F35333">
              <w:rPr>
                <w:rFonts w:asciiTheme="minorHAnsi" w:hAnsiTheme="minorHAnsi"/>
                <w:bCs w:val="0"/>
              </w:rPr>
              <w:t xml:space="preserve">ercentage of </w:t>
            </w:r>
            <w:r>
              <w:rPr>
                <w:rFonts w:asciiTheme="minorHAnsi" w:hAnsiTheme="minorHAnsi"/>
                <w:bCs w:val="0"/>
              </w:rPr>
              <w:t xml:space="preserve"> Composition of Public Sector Staffing </w:t>
            </w:r>
            <w:r w:rsidRPr="00F35333">
              <w:rPr>
                <w:rFonts w:asciiTheme="minorHAnsi" w:hAnsiTheme="minorHAnsi"/>
                <w:bCs w:val="0"/>
              </w:rPr>
              <w:t xml:space="preserve"> (2008-2014) </w:t>
            </w:r>
          </w:p>
        </w:tc>
      </w:tr>
      <w:tr w:rsidR="007C12D5" w:rsidRPr="00F35333" w:rsidTr="007C12D5">
        <w:trPr>
          <w:cnfStyle w:val="000000100000" w:firstRow="0" w:lastRow="0" w:firstColumn="0" w:lastColumn="0" w:oddVBand="0" w:evenVBand="0" w:oddHBand="1"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1242" w:type="dxa"/>
            <w:hideMark/>
          </w:tcPr>
          <w:p w:rsidR="007C12D5" w:rsidRPr="00F35333" w:rsidRDefault="007C12D5" w:rsidP="007C12D5">
            <w:pPr>
              <w:jc w:val="center"/>
              <w:rPr>
                <w:rFonts w:asciiTheme="minorHAnsi" w:hAnsiTheme="minorHAnsi"/>
                <w:sz w:val="22"/>
                <w:szCs w:val="22"/>
              </w:rPr>
            </w:pPr>
            <w:r w:rsidRPr="00F35333">
              <w:rPr>
                <w:rFonts w:asciiTheme="minorHAnsi" w:hAnsiTheme="minorHAnsi"/>
                <w:bCs w:val="0"/>
                <w:sz w:val="22"/>
                <w:szCs w:val="22"/>
              </w:rPr>
              <w:t> </w:t>
            </w:r>
          </w:p>
        </w:tc>
        <w:tc>
          <w:tcPr>
            <w:tcW w:w="782" w:type="dxa"/>
            <w:gridSpan w:val="2"/>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rPr>
            </w:pPr>
            <w:r w:rsidRPr="00F35333">
              <w:rPr>
                <w:rFonts w:asciiTheme="minorHAnsi" w:hAnsiTheme="minorHAnsi"/>
                <w:b/>
                <w:bCs/>
                <w:color w:val="000000"/>
              </w:rPr>
              <w:t>2008</w:t>
            </w:r>
          </w:p>
        </w:tc>
        <w:tc>
          <w:tcPr>
            <w:tcW w:w="860" w:type="dxa"/>
            <w:gridSpan w:val="2"/>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rPr>
            </w:pPr>
            <w:r w:rsidRPr="00F35333">
              <w:rPr>
                <w:rFonts w:asciiTheme="minorHAnsi" w:hAnsiTheme="minorHAnsi"/>
                <w:b/>
                <w:bCs/>
                <w:color w:val="000000"/>
              </w:rPr>
              <w:t>2009</w:t>
            </w:r>
          </w:p>
        </w:tc>
        <w:tc>
          <w:tcPr>
            <w:tcW w:w="861" w:type="dxa"/>
            <w:gridSpan w:val="2"/>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rPr>
            </w:pPr>
            <w:r w:rsidRPr="00F35333">
              <w:rPr>
                <w:rFonts w:asciiTheme="minorHAnsi" w:hAnsiTheme="minorHAnsi"/>
                <w:b/>
                <w:bCs/>
                <w:color w:val="000000"/>
              </w:rPr>
              <w:t>2010</w:t>
            </w:r>
          </w:p>
        </w:tc>
        <w:tc>
          <w:tcPr>
            <w:tcW w:w="861" w:type="dxa"/>
            <w:gridSpan w:val="2"/>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rPr>
            </w:pPr>
            <w:r w:rsidRPr="00F35333">
              <w:rPr>
                <w:rFonts w:asciiTheme="minorHAnsi" w:hAnsiTheme="minorHAnsi"/>
                <w:b/>
                <w:bCs/>
                <w:color w:val="000000"/>
              </w:rPr>
              <w:t>2011</w:t>
            </w:r>
          </w:p>
        </w:tc>
        <w:tc>
          <w:tcPr>
            <w:tcW w:w="861" w:type="dxa"/>
            <w:gridSpan w:val="2"/>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rPr>
            </w:pPr>
            <w:r w:rsidRPr="00F35333">
              <w:rPr>
                <w:rFonts w:asciiTheme="minorHAnsi" w:hAnsiTheme="minorHAnsi"/>
                <w:b/>
                <w:bCs/>
                <w:color w:val="000000"/>
              </w:rPr>
              <w:t>2012</w:t>
            </w:r>
          </w:p>
        </w:tc>
        <w:tc>
          <w:tcPr>
            <w:tcW w:w="861" w:type="dxa"/>
            <w:gridSpan w:val="2"/>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rPr>
            </w:pPr>
            <w:r w:rsidRPr="00F35333">
              <w:rPr>
                <w:rFonts w:asciiTheme="minorHAnsi" w:hAnsiTheme="minorHAnsi"/>
                <w:b/>
                <w:bCs/>
                <w:color w:val="000000"/>
              </w:rPr>
              <w:t>2013</w:t>
            </w:r>
          </w:p>
        </w:tc>
        <w:tc>
          <w:tcPr>
            <w:tcW w:w="854" w:type="dxa"/>
            <w:gridSpan w:val="2"/>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rPr>
            </w:pPr>
            <w:r w:rsidRPr="00F35333">
              <w:rPr>
                <w:rFonts w:asciiTheme="minorHAnsi" w:hAnsiTheme="minorHAnsi"/>
                <w:b/>
                <w:bCs/>
                <w:color w:val="000000"/>
              </w:rPr>
              <w:t>2014</w:t>
            </w:r>
          </w:p>
        </w:tc>
        <w:tc>
          <w:tcPr>
            <w:tcW w:w="2040" w:type="dxa"/>
            <w:gridSpan w:val="2"/>
            <w:hideMark/>
          </w:tcPr>
          <w:p w:rsidR="007C12D5" w:rsidRPr="00F35333" w:rsidRDefault="007C12D5" w:rsidP="007C12D5">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rPr>
            </w:pPr>
            <w:r w:rsidRPr="00F35333">
              <w:rPr>
                <w:rFonts w:asciiTheme="minorHAnsi" w:hAnsiTheme="minorHAnsi"/>
                <w:b/>
                <w:bCs/>
                <w:color w:val="000000"/>
              </w:rPr>
              <w:t>Overall percentage increase/decrease</w:t>
            </w:r>
          </w:p>
        </w:tc>
      </w:tr>
      <w:tr w:rsidR="007C12D5" w:rsidRPr="00F35333" w:rsidTr="007C12D5">
        <w:trPr>
          <w:gridAfter w:val="1"/>
          <w:cnfStyle w:val="000000010000" w:firstRow="0" w:lastRow="0" w:firstColumn="0" w:lastColumn="0" w:oddVBand="0" w:evenVBand="0" w:oddHBand="0" w:evenHBand="1" w:firstRowFirstColumn="0" w:firstRowLastColumn="0" w:lastRowFirstColumn="0" w:lastRowLastColumn="0"/>
          <w:wAfter w:w="27" w:type="dxa"/>
          <w:trHeight w:val="300"/>
        </w:trPr>
        <w:tc>
          <w:tcPr>
            <w:cnfStyle w:val="001000000000" w:firstRow="0" w:lastRow="0" w:firstColumn="1" w:lastColumn="0" w:oddVBand="0" w:evenVBand="0" w:oddHBand="0" w:evenHBand="0" w:firstRowFirstColumn="0" w:firstRowLastColumn="0" w:lastRowFirstColumn="0" w:lastRowLastColumn="0"/>
            <w:tcW w:w="1242" w:type="dxa"/>
            <w:hideMark/>
          </w:tcPr>
          <w:p w:rsidR="007C12D5" w:rsidRPr="00F35333" w:rsidRDefault="007C12D5" w:rsidP="007C12D5">
            <w:pPr>
              <w:rPr>
                <w:rFonts w:asciiTheme="minorHAnsi" w:hAnsiTheme="minorHAnsi"/>
                <w:sz w:val="22"/>
                <w:szCs w:val="22"/>
              </w:rPr>
            </w:pPr>
            <w:r w:rsidRPr="00F35333">
              <w:rPr>
                <w:rFonts w:asciiTheme="minorHAnsi" w:hAnsiTheme="minorHAnsi"/>
                <w:bCs w:val="0"/>
                <w:sz w:val="22"/>
                <w:szCs w:val="22"/>
              </w:rPr>
              <w:t>Civil Service</w:t>
            </w:r>
          </w:p>
        </w:tc>
        <w:tc>
          <w:tcPr>
            <w:tcW w:w="764" w:type="dxa"/>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rPr>
            </w:pPr>
            <w:r w:rsidRPr="00F35333">
              <w:rPr>
                <w:rFonts w:asciiTheme="minorHAnsi" w:hAnsiTheme="minorHAnsi"/>
                <w:color w:val="000000"/>
              </w:rPr>
              <w:t>12.27</w:t>
            </w:r>
          </w:p>
        </w:tc>
        <w:tc>
          <w:tcPr>
            <w:tcW w:w="860" w:type="dxa"/>
            <w:gridSpan w:val="2"/>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rPr>
            </w:pPr>
            <w:r w:rsidRPr="00F35333">
              <w:rPr>
                <w:rFonts w:asciiTheme="minorHAnsi" w:hAnsiTheme="minorHAnsi"/>
                <w:color w:val="000000"/>
              </w:rPr>
              <w:t>12.02</w:t>
            </w:r>
          </w:p>
        </w:tc>
        <w:tc>
          <w:tcPr>
            <w:tcW w:w="861" w:type="dxa"/>
            <w:gridSpan w:val="2"/>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rPr>
            </w:pPr>
            <w:r w:rsidRPr="00F35333">
              <w:rPr>
                <w:rFonts w:asciiTheme="minorHAnsi" w:hAnsiTheme="minorHAnsi"/>
                <w:color w:val="000000"/>
              </w:rPr>
              <w:t>11.91</w:t>
            </w:r>
          </w:p>
        </w:tc>
        <w:tc>
          <w:tcPr>
            <w:tcW w:w="861" w:type="dxa"/>
            <w:gridSpan w:val="2"/>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rPr>
            </w:pPr>
            <w:r w:rsidRPr="00F35333">
              <w:rPr>
                <w:rFonts w:asciiTheme="minorHAnsi" w:hAnsiTheme="minorHAnsi"/>
                <w:color w:val="000000"/>
              </w:rPr>
              <w:t>12.31</w:t>
            </w:r>
          </w:p>
        </w:tc>
        <w:tc>
          <w:tcPr>
            <w:tcW w:w="861" w:type="dxa"/>
            <w:gridSpan w:val="2"/>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rPr>
            </w:pPr>
            <w:r w:rsidRPr="00F35333">
              <w:rPr>
                <w:rFonts w:asciiTheme="minorHAnsi" w:hAnsiTheme="minorHAnsi"/>
                <w:color w:val="000000"/>
              </w:rPr>
              <w:t>12.49</w:t>
            </w:r>
          </w:p>
        </w:tc>
        <w:tc>
          <w:tcPr>
            <w:tcW w:w="861" w:type="dxa"/>
            <w:gridSpan w:val="2"/>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rPr>
            </w:pPr>
            <w:r w:rsidRPr="00F35333">
              <w:rPr>
                <w:rFonts w:asciiTheme="minorHAnsi" w:hAnsiTheme="minorHAnsi"/>
                <w:color w:val="000000"/>
              </w:rPr>
              <w:t>12.53</w:t>
            </w:r>
          </w:p>
        </w:tc>
        <w:tc>
          <w:tcPr>
            <w:tcW w:w="861" w:type="dxa"/>
            <w:gridSpan w:val="2"/>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rPr>
            </w:pPr>
            <w:r w:rsidRPr="00F35333">
              <w:rPr>
                <w:rFonts w:asciiTheme="minorHAnsi" w:hAnsiTheme="minorHAnsi"/>
                <w:color w:val="000000"/>
              </w:rPr>
              <w:t>12.49</w:t>
            </w:r>
          </w:p>
        </w:tc>
        <w:tc>
          <w:tcPr>
            <w:tcW w:w="2024" w:type="dxa"/>
            <w:gridSpan w:val="2"/>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000000"/>
              </w:rPr>
            </w:pPr>
            <w:r w:rsidRPr="00F35333">
              <w:rPr>
                <w:rFonts w:asciiTheme="minorHAnsi" w:hAnsiTheme="minorHAnsi"/>
                <w:b/>
                <w:bCs/>
                <w:color w:val="000000"/>
              </w:rPr>
              <w:t>1.79</w:t>
            </w:r>
          </w:p>
        </w:tc>
      </w:tr>
      <w:tr w:rsidR="007C12D5" w:rsidRPr="00F35333" w:rsidTr="007C12D5">
        <w:trPr>
          <w:gridAfter w:val="1"/>
          <w:cnfStyle w:val="000000100000" w:firstRow="0" w:lastRow="0" w:firstColumn="0" w:lastColumn="0" w:oddVBand="0" w:evenVBand="0" w:oddHBand="1" w:evenHBand="0" w:firstRowFirstColumn="0" w:firstRowLastColumn="0" w:lastRowFirstColumn="0" w:lastRowLastColumn="0"/>
          <w:wAfter w:w="27" w:type="dxa"/>
          <w:trHeight w:val="600"/>
        </w:trPr>
        <w:tc>
          <w:tcPr>
            <w:cnfStyle w:val="001000000000" w:firstRow="0" w:lastRow="0" w:firstColumn="1" w:lastColumn="0" w:oddVBand="0" w:evenVBand="0" w:oddHBand="0" w:evenHBand="0" w:firstRowFirstColumn="0" w:firstRowLastColumn="0" w:lastRowFirstColumn="0" w:lastRowLastColumn="0"/>
            <w:tcW w:w="1242" w:type="dxa"/>
            <w:hideMark/>
          </w:tcPr>
          <w:p w:rsidR="007C12D5" w:rsidRPr="00F35333" w:rsidRDefault="007C12D5" w:rsidP="007C12D5">
            <w:pPr>
              <w:rPr>
                <w:rFonts w:asciiTheme="minorHAnsi" w:hAnsiTheme="minorHAnsi"/>
                <w:sz w:val="22"/>
                <w:szCs w:val="22"/>
              </w:rPr>
            </w:pPr>
            <w:r w:rsidRPr="00F35333">
              <w:rPr>
                <w:rFonts w:asciiTheme="minorHAnsi" w:hAnsiTheme="minorHAnsi"/>
                <w:bCs w:val="0"/>
                <w:sz w:val="22"/>
                <w:szCs w:val="22"/>
              </w:rPr>
              <w:t>Defence Sector</w:t>
            </w:r>
          </w:p>
        </w:tc>
        <w:tc>
          <w:tcPr>
            <w:tcW w:w="764" w:type="dxa"/>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F35333">
              <w:rPr>
                <w:rFonts w:asciiTheme="minorHAnsi" w:hAnsiTheme="minorHAnsi"/>
                <w:color w:val="000000"/>
              </w:rPr>
              <w:t>3.52</w:t>
            </w:r>
          </w:p>
        </w:tc>
        <w:tc>
          <w:tcPr>
            <w:tcW w:w="860" w:type="dxa"/>
            <w:gridSpan w:val="2"/>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F35333">
              <w:rPr>
                <w:rFonts w:asciiTheme="minorHAnsi" w:hAnsiTheme="minorHAnsi"/>
                <w:color w:val="000000"/>
              </w:rPr>
              <w:t>3.45</w:t>
            </w:r>
          </w:p>
        </w:tc>
        <w:tc>
          <w:tcPr>
            <w:tcW w:w="861" w:type="dxa"/>
            <w:gridSpan w:val="2"/>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F35333">
              <w:rPr>
                <w:rFonts w:asciiTheme="minorHAnsi" w:hAnsiTheme="minorHAnsi"/>
                <w:color w:val="000000"/>
              </w:rPr>
              <w:t>3.37</w:t>
            </w:r>
          </w:p>
        </w:tc>
        <w:tc>
          <w:tcPr>
            <w:tcW w:w="861" w:type="dxa"/>
            <w:gridSpan w:val="2"/>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F35333">
              <w:rPr>
                <w:rFonts w:asciiTheme="minorHAnsi" w:hAnsiTheme="minorHAnsi"/>
                <w:color w:val="000000"/>
              </w:rPr>
              <w:t>3.41</w:t>
            </w:r>
          </w:p>
        </w:tc>
        <w:tc>
          <w:tcPr>
            <w:tcW w:w="861" w:type="dxa"/>
            <w:gridSpan w:val="2"/>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F35333">
              <w:rPr>
                <w:rFonts w:asciiTheme="minorHAnsi" w:hAnsiTheme="minorHAnsi"/>
                <w:color w:val="000000"/>
              </w:rPr>
              <w:t>3.43</w:t>
            </w:r>
          </w:p>
        </w:tc>
        <w:tc>
          <w:tcPr>
            <w:tcW w:w="861" w:type="dxa"/>
            <w:gridSpan w:val="2"/>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F35333">
              <w:rPr>
                <w:rFonts w:asciiTheme="minorHAnsi" w:hAnsiTheme="minorHAnsi"/>
                <w:color w:val="000000"/>
              </w:rPr>
              <w:t>3.4</w:t>
            </w:r>
          </w:p>
        </w:tc>
        <w:tc>
          <w:tcPr>
            <w:tcW w:w="861" w:type="dxa"/>
            <w:gridSpan w:val="2"/>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F35333">
              <w:rPr>
                <w:rFonts w:asciiTheme="minorHAnsi" w:hAnsiTheme="minorHAnsi"/>
                <w:color w:val="000000"/>
              </w:rPr>
              <w:t>3.38</w:t>
            </w:r>
          </w:p>
        </w:tc>
        <w:tc>
          <w:tcPr>
            <w:tcW w:w="2024" w:type="dxa"/>
            <w:gridSpan w:val="2"/>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rPr>
            </w:pPr>
            <w:r w:rsidRPr="00F35333">
              <w:rPr>
                <w:rFonts w:asciiTheme="minorHAnsi" w:hAnsiTheme="minorHAnsi"/>
                <w:b/>
                <w:bCs/>
                <w:color w:val="000000"/>
              </w:rPr>
              <w:t>-3.97</w:t>
            </w:r>
          </w:p>
        </w:tc>
      </w:tr>
      <w:tr w:rsidR="007C12D5" w:rsidRPr="00F35333" w:rsidTr="007C12D5">
        <w:trPr>
          <w:gridAfter w:val="1"/>
          <w:cnfStyle w:val="000000010000" w:firstRow="0" w:lastRow="0" w:firstColumn="0" w:lastColumn="0" w:oddVBand="0" w:evenVBand="0" w:oddHBand="0" w:evenHBand="1" w:firstRowFirstColumn="0" w:firstRowLastColumn="0" w:lastRowFirstColumn="0" w:lastRowLastColumn="0"/>
          <w:wAfter w:w="27" w:type="dxa"/>
          <w:trHeight w:val="600"/>
        </w:trPr>
        <w:tc>
          <w:tcPr>
            <w:cnfStyle w:val="001000000000" w:firstRow="0" w:lastRow="0" w:firstColumn="1" w:lastColumn="0" w:oddVBand="0" w:evenVBand="0" w:oddHBand="0" w:evenHBand="0" w:firstRowFirstColumn="0" w:firstRowLastColumn="0" w:lastRowFirstColumn="0" w:lastRowLastColumn="0"/>
            <w:tcW w:w="1242" w:type="dxa"/>
            <w:hideMark/>
          </w:tcPr>
          <w:p w:rsidR="007C12D5" w:rsidRPr="00F35333" w:rsidRDefault="007C12D5" w:rsidP="007C12D5">
            <w:pPr>
              <w:rPr>
                <w:rFonts w:asciiTheme="minorHAnsi" w:hAnsiTheme="minorHAnsi"/>
                <w:sz w:val="22"/>
                <w:szCs w:val="22"/>
              </w:rPr>
            </w:pPr>
            <w:r w:rsidRPr="00F35333">
              <w:rPr>
                <w:rFonts w:asciiTheme="minorHAnsi" w:hAnsiTheme="minorHAnsi"/>
                <w:bCs w:val="0"/>
                <w:sz w:val="22"/>
                <w:szCs w:val="22"/>
              </w:rPr>
              <w:t>Education Sector</w:t>
            </w:r>
          </w:p>
        </w:tc>
        <w:tc>
          <w:tcPr>
            <w:tcW w:w="764" w:type="dxa"/>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rPr>
            </w:pPr>
            <w:r w:rsidRPr="00F35333">
              <w:rPr>
                <w:rFonts w:asciiTheme="minorHAnsi" w:hAnsiTheme="minorHAnsi"/>
                <w:color w:val="000000"/>
              </w:rPr>
              <w:t>29.66</w:t>
            </w:r>
          </w:p>
        </w:tc>
        <w:tc>
          <w:tcPr>
            <w:tcW w:w="860" w:type="dxa"/>
            <w:gridSpan w:val="2"/>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rPr>
            </w:pPr>
            <w:r w:rsidRPr="00F35333">
              <w:rPr>
                <w:rFonts w:asciiTheme="minorHAnsi" w:hAnsiTheme="minorHAnsi"/>
                <w:color w:val="000000"/>
              </w:rPr>
              <w:t>30.05</w:t>
            </w:r>
          </w:p>
        </w:tc>
        <w:tc>
          <w:tcPr>
            <w:tcW w:w="861" w:type="dxa"/>
            <w:gridSpan w:val="2"/>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rPr>
            </w:pPr>
            <w:r w:rsidRPr="00F35333">
              <w:rPr>
                <w:rFonts w:asciiTheme="minorHAnsi" w:hAnsiTheme="minorHAnsi"/>
                <w:color w:val="000000"/>
              </w:rPr>
              <w:t>30.67</w:t>
            </w:r>
          </w:p>
        </w:tc>
        <w:tc>
          <w:tcPr>
            <w:tcW w:w="861" w:type="dxa"/>
            <w:gridSpan w:val="2"/>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rPr>
            </w:pPr>
            <w:r w:rsidRPr="00F35333">
              <w:rPr>
                <w:rFonts w:asciiTheme="minorHAnsi" w:hAnsiTheme="minorHAnsi"/>
                <w:color w:val="000000"/>
              </w:rPr>
              <w:t>30.59</w:t>
            </w:r>
          </w:p>
        </w:tc>
        <w:tc>
          <w:tcPr>
            <w:tcW w:w="861" w:type="dxa"/>
            <w:gridSpan w:val="2"/>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rPr>
            </w:pPr>
            <w:r w:rsidRPr="00F35333">
              <w:rPr>
                <w:rFonts w:asciiTheme="minorHAnsi" w:hAnsiTheme="minorHAnsi"/>
                <w:color w:val="000000"/>
              </w:rPr>
              <w:t>31.18</w:t>
            </w:r>
          </w:p>
        </w:tc>
        <w:tc>
          <w:tcPr>
            <w:tcW w:w="861" w:type="dxa"/>
            <w:gridSpan w:val="2"/>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rPr>
            </w:pPr>
            <w:r w:rsidRPr="00F35333">
              <w:rPr>
                <w:rFonts w:asciiTheme="minorHAnsi" w:hAnsiTheme="minorHAnsi"/>
                <w:color w:val="000000"/>
              </w:rPr>
              <w:t>31.78</w:t>
            </w:r>
          </w:p>
        </w:tc>
        <w:tc>
          <w:tcPr>
            <w:tcW w:w="861" w:type="dxa"/>
            <w:gridSpan w:val="2"/>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rPr>
            </w:pPr>
            <w:r w:rsidRPr="00F35333">
              <w:rPr>
                <w:rFonts w:asciiTheme="minorHAnsi" w:hAnsiTheme="minorHAnsi"/>
                <w:color w:val="000000"/>
              </w:rPr>
              <w:t>32.47</w:t>
            </w:r>
          </w:p>
        </w:tc>
        <w:tc>
          <w:tcPr>
            <w:tcW w:w="2024" w:type="dxa"/>
            <w:gridSpan w:val="2"/>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000000"/>
              </w:rPr>
            </w:pPr>
            <w:r w:rsidRPr="00F35333">
              <w:rPr>
                <w:rFonts w:asciiTheme="minorHAnsi" w:hAnsiTheme="minorHAnsi"/>
                <w:b/>
                <w:bCs/>
                <w:color w:val="000000"/>
              </w:rPr>
              <w:t>9.47</w:t>
            </w:r>
          </w:p>
        </w:tc>
      </w:tr>
      <w:tr w:rsidR="007C12D5" w:rsidRPr="00F35333" w:rsidTr="007C12D5">
        <w:trPr>
          <w:gridAfter w:val="1"/>
          <w:cnfStyle w:val="000000100000" w:firstRow="0" w:lastRow="0" w:firstColumn="0" w:lastColumn="0" w:oddVBand="0" w:evenVBand="0" w:oddHBand="1" w:evenHBand="0" w:firstRowFirstColumn="0" w:firstRowLastColumn="0" w:lastRowFirstColumn="0" w:lastRowLastColumn="0"/>
          <w:wAfter w:w="27" w:type="dxa"/>
          <w:trHeight w:val="600"/>
        </w:trPr>
        <w:tc>
          <w:tcPr>
            <w:cnfStyle w:val="001000000000" w:firstRow="0" w:lastRow="0" w:firstColumn="1" w:lastColumn="0" w:oddVBand="0" w:evenVBand="0" w:oddHBand="0" w:evenHBand="0" w:firstRowFirstColumn="0" w:firstRowLastColumn="0" w:lastRowFirstColumn="0" w:lastRowLastColumn="0"/>
            <w:tcW w:w="1242" w:type="dxa"/>
            <w:hideMark/>
          </w:tcPr>
          <w:p w:rsidR="007C12D5" w:rsidRPr="00F35333" w:rsidRDefault="007C12D5" w:rsidP="007C12D5">
            <w:pPr>
              <w:rPr>
                <w:rFonts w:asciiTheme="minorHAnsi" w:hAnsiTheme="minorHAnsi"/>
                <w:sz w:val="22"/>
                <w:szCs w:val="22"/>
              </w:rPr>
            </w:pPr>
            <w:r w:rsidRPr="00F35333">
              <w:rPr>
                <w:rFonts w:asciiTheme="minorHAnsi" w:hAnsiTheme="minorHAnsi"/>
                <w:bCs w:val="0"/>
                <w:sz w:val="22"/>
                <w:szCs w:val="22"/>
              </w:rPr>
              <w:t>Health Sector</w:t>
            </w:r>
          </w:p>
        </w:tc>
        <w:tc>
          <w:tcPr>
            <w:tcW w:w="764" w:type="dxa"/>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F35333">
              <w:rPr>
                <w:rFonts w:asciiTheme="minorHAnsi" w:hAnsiTheme="minorHAnsi"/>
                <w:color w:val="000000"/>
              </w:rPr>
              <w:t>34.65</w:t>
            </w:r>
          </w:p>
        </w:tc>
        <w:tc>
          <w:tcPr>
            <w:tcW w:w="860" w:type="dxa"/>
            <w:gridSpan w:val="2"/>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F35333">
              <w:rPr>
                <w:rFonts w:asciiTheme="minorHAnsi" w:hAnsiTheme="minorHAnsi"/>
                <w:color w:val="000000"/>
              </w:rPr>
              <w:t>35.32</w:t>
            </w:r>
          </w:p>
        </w:tc>
        <w:tc>
          <w:tcPr>
            <w:tcW w:w="861" w:type="dxa"/>
            <w:gridSpan w:val="2"/>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F35333">
              <w:rPr>
                <w:rFonts w:asciiTheme="minorHAnsi" w:hAnsiTheme="minorHAnsi"/>
                <w:color w:val="000000"/>
              </w:rPr>
              <w:t>35.29</w:t>
            </w:r>
          </w:p>
        </w:tc>
        <w:tc>
          <w:tcPr>
            <w:tcW w:w="861" w:type="dxa"/>
            <w:gridSpan w:val="2"/>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F35333">
              <w:rPr>
                <w:rFonts w:asciiTheme="minorHAnsi" w:hAnsiTheme="minorHAnsi"/>
                <w:color w:val="000000"/>
              </w:rPr>
              <w:t>35.11</w:t>
            </w:r>
          </w:p>
        </w:tc>
        <w:tc>
          <w:tcPr>
            <w:tcW w:w="861" w:type="dxa"/>
            <w:gridSpan w:val="2"/>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F35333">
              <w:rPr>
                <w:rFonts w:asciiTheme="minorHAnsi" w:hAnsiTheme="minorHAnsi"/>
                <w:color w:val="000000"/>
              </w:rPr>
              <w:t>34.9</w:t>
            </w:r>
          </w:p>
        </w:tc>
        <w:tc>
          <w:tcPr>
            <w:tcW w:w="861" w:type="dxa"/>
            <w:gridSpan w:val="2"/>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F35333">
              <w:rPr>
                <w:rFonts w:asciiTheme="minorHAnsi" w:hAnsiTheme="minorHAnsi"/>
                <w:color w:val="000000"/>
              </w:rPr>
              <w:t>34.68</w:t>
            </w:r>
          </w:p>
        </w:tc>
        <w:tc>
          <w:tcPr>
            <w:tcW w:w="861" w:type="dxa"/>
            <w:gridSpan w:val="2"/>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F35333">
              <w:rPr>
                <w:rFonts w:asciiTheme="minorHAnsi" w:hAnsiTheme="minorHAnsi"/>
                <w:color w:val="000000"/>
              </w:rPr>
              <w:t>33.76</w:t>
            </w:r>
          </w:p>
        </w:tc>
        <w:tc>
          <w:tcPr>
            <w:tcW w:w="2024" w:type="dxa"/>
            <w:gridSpan w:val="2"/>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rPr>
            </w:pPr>
            <w:r w:rsidRPr="00F35333">
              <w:rPr>
                <w:rFonts w:asciiTheme="minorHAnsi" w:hAnsiTheme="minorHAnsi"/>
                <w:b/>
                <w:bCs/>
                <w:color w:val="000000"/>
              </w:rPr>
              <w:t>-2.56</w:t>
            </w:r>
          </w:p>
        </w:tc>
      </w:tr>
      <w:tr w:rsidR="007C12D5" w:rsidRPr="00F35333" w:rsidTr="007C12D5">
        <w:trPr>
          <w:gridAfter w:val="1"/>
          <w:cnfStyle w:val="000000010000" w:firstRow="0" w:lastRow="0" w:firstColumn="0" w:lastColumn="0" w:oddVBand="0" w:evenVBand="0" w:oddHBand="0" w:evenHBand="1" w:firstRowFirstColumn="0" w:firstRowLastColumn="0" w:lastRowFirstColumn="0" w:lastRowLastColumn="0"/>
          <w:wAfter w:w="27" w:type="dxa"/>
          <w:trHeight w:val="600"/>
        </w:trPr>
        <w:tc>
          <w:tcPr>
            <w:cnfStyle w:val="001000000000" w:firstRow="0" w:lastRow="0" w:firstColumn="1" w:lastColumn="0" w:oddVBand="0" w:evenVBand="0" w:oddHBand="0" w:evenHBand="0" w:firstRowFirstColumn="0" w:firstRowLastColumn="0" w:lastRowFirstColumn="0" w:lastRowLastColumn="0"/>
            <w:tcW w:w="1242" w:type="dxa"/>
            <w:hideMark/>
          </w:tcPr>
          <w:p w:rsidR="007C12D5" w:rsidRPr="00F35333" w:rsidRDefault="007C12D5" w:rsidP="007C12D5">
            <w:pPr>
              <w:rPr>
                <w:rFonts w:asciiTheme="minorHAnsi" w:hAnsiTheme="minorHAnsi"/>
                <w:sz w:val="22"/>
                <w:szCs w:val="22"/>
              </w:rPr>
            </w:pPr>
            <w:r w:rsidRPr="00F35333">
              <w:rPr>
                <w:rFonts w:asciiTheme="minorHAnsi" w:hAnsiTheme="minorHAnsi"/>
                <w:bCs w:val="0"/>
                <w:sz w:val="22"/>
                <w:szCs w:val="22"/>
              </w:rPr>
              <w:t>Justice Sector</w:t>
            </w:r>
          </w:p>
        </w:tc>
        <w:tc>
          <w:tcPr>
            <w:tcW w:w="764" w:type="dxa"/>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rPr>
            </w:pPr>
            <w:r w:rsidRPr="00F35333">
              <w:rPr>
                <w:rFonts w:asciiTheme="minorHAnsi" w:hAnsiTheme="minorHAnsi"/>
                <w:color w:val="000000"/>
              </w:rPr>
              <w:t>4.9</w:t>
            </w:r>
          </w:p>
        </w:tc>
        <w:tc>
          <w:tcPr>
            <w:tcW w:w="860" w:type="dxa"/>
            <w:gridSpan w:val="2"/>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rPr>
            </w:pPr>
            <w:r w:rsidRPr="00F35333">
              <w:rPr>
                <w:rFonts w:asciiTheme="minorHAnsi" w:hAnsiTheme="minorHAnsi"/>
                <w:color w:val="000000"/>
              </w:rPr>
              <w:t>4.86</w:t>
            </w:r>
          </w:p>
        </w:tc>
        <w:tc>
          <w:tcPr>
            <w:tcW w:w="861" w:type="dxa"/>
            <w:gridSpan w:val="2"/>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rPr>
            </w:pPr>
            <w:r w:rsidRPr="00F35333">
              <w:rPr>
                <w:rFonts w:asciiTheme="minorHAnsi" w:hAnsiTheme="minorHAnsi"/>
                <w:color w:val="000000"/>
              </w:rPr>
              <w:t>4.81</w:t>
            </w:r>
          </w:p>
        </w:tc>
        <w:tc>
          <w:tcPr>
            <w:tcW w:w="861" w:type="dxa"/>
            <w:gridSpan w:val="2"/>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rPr>
            </w:pPr>
            <w:r w:rsidRPr="00F35333">
              <w:rPr>
                <w:rFonts w:asciiTheme="minorHAnsi" w:hAnsiTheme="minorHAnsi"/>
                <w:color w:val="000000"/>
              </w:rPr>
              <w:t>4.79</w:t>
            </w:r>
          </w:p>
        </w:tc>
        <w:tc>
          <w:tcPr>
            <w:tcW w:w="861" w:type="dxa"/>
            <w:gridSpan w:val="2"/>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rPr>
            </w:pPr>
            <w:r w:rsidRPr="00F35333">
              <w:rPr>
                <w:rFonts w:asciiTheme="minorHAnsi" w:hAnsiTheme="minorHAnsi"/>
                <w:color w:val="000000"/>
              </w:rPr>
              <w:t>4.59</w:t>
            </w:r>
          </w:p>
        </w:tc>
        <w:tc>
          <w:tcPr>
            <w:tcW w:w="861" w:type="dxa"/>
            <w:gridSpan w:val="2"/>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rPr>
            </w:pPr>
            <w:r w:rsidRPr="00F35333">
              <w:rPr>
                <w:rFonts w:asciiTheme="minorHAnsi" w:hAnsiTheme="minorHAnsi"/>
                <w:color w:val="000000"/>
              </w:rPr>
              <w:t>4.52</w:t>
            </w:r>
          </w:p>
        </w:tc>
        <w:tc>
          <w:tcPr>
            <w:tcW w:w="861" w:type="dxa"/>
            <w:gridSpan w:val="2"/>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rPr>
            </w:pPr>
            <w:r w:rsidRPr="00F35333">
              <w:rPr>
                <w:rFonts w:asciiTheme="minorHAnsi" w:hAnsiTheme="minorHAnsi"/>
                <w:color w:val="000000"/>
              </w:rPr>
              <w:t>4.41</w:t>
            </w:r>
          </w:p>
        </w:tc>
        <w:tc>
          <w:tcPr>
            <w:tcW w:w="2024" w:type="dxa"/>
            <w:gridSpan w:val="2"/>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000000"/>
              </w:rPr>
            </w:pPr>
            <w:r w:rsidRPr="00F35333">
              <w:rPr>
                <w:rFonts w:asciiTheme="minorHAnsi" w:hAnsiTheme="minorHAnsi"/>
                <w:b/>
                <w:bCs/>
                <w:color w:val="000000"/>
              </w:rPr>
              <w:t>-10</w:t>
            </w:r>
          </w:p>
        </w:tc>
      </w:tr>
      <w:tr w:rsidR="007C12D5" w:rsidRPr="00F35333" w:rsidTr="007C12D5">
        <w:trPr>
          <w:gridAfter w:val="1"/>
          <w:cnfStyle w:val="000000100000" w:firstRow="0" w:lastRow="0" w:firstColumn="0" w:lastColumn="0" w:oddVBand="0" w:evenVBand="0" w:oddHBand="1" w:evenHBand="0" w:firstRowFirstColumn="0" w:firstRowLastColumn="0" w:lastRowFirstColumn="0" w:lastRowLastColumn="0"/>
          <w:wAfter w:w="27" w:type="dxa"/>
          <w:trHeight w:val="600"/>
        </w:trPr>
        <w:tc>
          <w:tcPr>
            <w:cnfStyle w:val="001000000000" w:firstRow="0" w:lastRow="0" w:firstColumn="1" w:lastColumn="0" w:oddVBand="0" w:evenVBand="0" w:oddHBand="0" w:evenHBand="0" w:firstRowFirstColumn="0" w:firstRowLastColumn="0" w:lastRowFirstColumn="0" w:lastRowLastColumn="0"/>
            <w:tcW w:w="1242" w:type="dxa"/>
            <w:hideMark/>
          </w:tcPr>
          <w:p w:rsidR="007C12D5" w:rsidRPr="00F35333" w:rsidRDefault="007C12D5" w:rsidP="007C12D5">
            <w:pPr>
              <w:rPr>
                <w:rFonts w:asciiTheme="minorHAnsi" w:hAnsiTheme="minorHAnsi"/>
                <w:sz w:val="22"/>
                <w:szCs w:val="22"/>
              </w:rPr>
            </w:pPr>
            <w:r w:rsidRPr="00F35333">
              <w:rPr>
                <w:rFonts w:asciiTheme="minorHAnsi" w:hAnsiTheme="minorHAnsi"/>
                <w:bCs w:val="0"/>
                <w:sz w:val="22"/>
                <w:szCs w:val="22"/>
              </w:rPr>
              <w:t>Local Authorities</w:t>
            </w:r>
          </w:p>
        </w:tc>
        <w:tc>
          <w:tcPr>
            <w:tcW w:w="764" w:type="dxa"/>
            <w:noWrap/>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F35333">
              <w:rPr>
                <w:rFonts w:asciiTheme="minorHAnsi" w:hAnsiTheme="minorHAnsi"/>
                <w:color w:val="000000"/>
              </w:rPr>
              <w:t>10.93</w:t>
            </w:r>
          </w:p>
        </w:tc>
        <w:tc>
          <w:tcPr>
            <w:tcW w:w="860" w:type="dxa"/>
            <w:gridSpan w:val="2"/>
            <w:noWrap/>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F35333">
              <w:rPr>
                <w:rFonts w:asciiTheme="minorHAnsi" w:hAnsiTheme="minorHAnsi"/>
                <w:color w:val="000000"/>
              </w:rPr>
              <w:t>10.31</w:t>
            </w:r>
          </w:p>
        </w:tc>
        <w:tc>
          <w:tcPr>
            <w:tcW w:w="861" w:type="dxa"/>
            <w:gridSpan w:val="2"/>
            <w:noWrap/>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F35333">
              <w:rPr>
                <w:rFonts w:asciiTheme="minorHAnsi" w:hAnsiTheme="minorHAnsi"/>
                <w:color w:val="000000"/>
              </w:rPr>
              <w:t>10.03</w:t>
            </w:r>
          </w:p>
        </w:tc>
        <w:tc>
          <w:tcPr>
            <w:tcW w:w="861" w:type="dxa"/>
            <w:gridSpan w:val="2"/>
            <w:noWrap/>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F35333">
              <w:rPr>
                <w:rFonts w:asciiTheme="minorHAnsi" w:hAnsiTheme="minorHAnsi"/>
                <w:color w:val="000000"/>
              </w:rPr>
              <w:t>9.92</w:t>
            </w:r>
          </w:p>
        </w:tc>
        <w:tc>
          <w:tcPr>
            <w:tcW w:w="861" w:type="dxa"/>
            <w:gridSpan w:val="2"/>
            <w:noWrap/>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F35333">
              <w:rPr>
                <w:rFonts w:asciiTheme="minorHAnsi" w:hAnsiTheme="minorHAnsi"/>
                <w:color w:val="000000"/>
              </w:rPr>
              <w:t>9.73</w:t>
            </w:r>
          </w:p>
        </w:tc>
        <w:tc>
          <w:tcPr>
            <w:tcW w:w="861" w:type="dxa"/>
            <w:gridSpan w:val="2"/>
            <w:noWrap/>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F35333">
              <w:rPr>
                <w:rFonts w:asciiTheme="minorHAnsi" w:hAnsiTheme="minorHAnsi"/>
                <w:color w:val="000000"/>
              </w:rPr>
              <w:t>9.56</w:t>
            </w:r>
          </w:p>
        </w:tc>
        <w:tc>
          <w:tcPr>
            <w:tcW w:w="861" w:type="dxa"/>
            <w:gridSpan w:val="2"/>
            <w:noWrap/>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F35333">
              <w:rPr>
                <w:rFonts w:asciiTheme="minorHAnsi" w:hAnsiTheme="minorHAnsi"/>
                <w:color w:val="000000"/>
              </w:rPr>
              <w:t>9.25</w:t>
            </w:r>
          </w:p>
        </w:tc>
        <w:tc>
          <w:tcPr>
            <w:tcW w:w="2024" w:type="dxa"/>
            <w:gridSpan w:val="2"/>
            <w:hideMark/>
          </w:tcPr>
          <w:p w:rsidR="007C12D5" w:rsidRPr="00F35333" w:rsidRDefault="007C12D5" w:rsidP="007C12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rPr>
            </w:pPr>
            <w:r w:rsidRPr="00F35333">
              <w:rPr>
                <w:rFonts w:asciiTheme="minorHAnsi" w:hAnsiTheme="minorHAnsi"/>
                <w:b/>
                <w:bCs/>
                <w:color w:val="000000"/>
              </w:rPr>
              <w:t>-15.37</w:t>
            </w:r>
          </w:p>
        </w:tc>
      </w:tr>
      <w:tr w:rsidR="007C12D5" w:rsidRPr="00F35333" w:rsidTr="007C12D5">
        <w:trPr>
          <w:gridAfter w:val="1"/>
          <w:cnfStyle w:val="000000010000" w:firstRow="0" w:lastRow="0" w:firstColumn="0" w:lastColumn="0" w:oddVBand="0" w:evenVBand="0" w:oddHBand="0" w:evenHBand="1" w:firstRowFirstColumn="0" w:firstRowLastColumn="0" w:lastRowFirstColumn="0" w:lastRowLastColumn="0"/>
          <w:wAfter w:w="27" w:type="dxa"/>
          <w:trHeight w:val="315"/>
        </w:trPr>
        <w:tc>
          <w:tcPr>
            <w:cnfStyle w:val="001000000000" w:firstRow="0" w:lastRow="0" w:firstColumn="1" w:lastColumn="0" w:oddVBand="0" w:evenVBand="0" w:oddHBand="0" w:evenHBand="0" w:firstRowFirstColumn="0" w:firstRowLastColumn="0" w:lastRowFirstColumn="0" w:lastRowLastColumn="0"/>
            <w:tcW w:w="1242" w:type="dxa"/>
            <w:hideMark/>
          </w:tcPr>
          <w:p w:rsidR="007C12D5" w:rsidRPr="00F35333" w:rsidRDefault="007C12D5" w:rsidP="007C12D5">
            <w:pPr>
              <w:rPr>
                <w:rFonts w:asciiTheme="minorHAnsi" w:hAnsiTheme="minorHAnsi"/>
                <w:sz w:val="22"/>
                <w:szCs w:val="22"/>
              </w:rPr>
            </w:pPr>
            <w:r w:rsidRPr="00F35333">
              <w:rPr>
                <w:rFonts w:asciiTheme="minorHAnsi" w:hAnsiTheme="minorHAnsi"/>
                <w:bCs w:val="0"/>
                <w:sz w:val="22"/>
                <w:szCs w:val="22"/>
              </w:rPr>
              <w:t>NCSA</w:t>
            </w:r>
          </w:p>
        </w:tc>
        <w:tc>
          <w:tcPr>
            <w:tcW w:w="764" w:type="dxa"/>
            <w:noWrap/>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rPr>
            </w:pPr>
            <w:r w:rsidRPr="00F35333">
              <w:rPr>
                <w:rFonts w:asciiTheme="minorHAnsi" w:hAnsiTheme="minorHAnsi"/>
                <w:color w:val="000000"/>
              </w:rPr>
              <w:t>4.08</w:t>
            </w:r>
          </w:p>
        </w:tc>
        <w:tc>
          <w:tcPr>
            <w:tcW w:w="860" w:type="dxa"/>
            <w:gridSpan w:val="2"/>
            <w:noWrap/>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rPr>
            </w:pPr>
            <w:r w:rsidRPr="00F35333">
              <w:rPr>
                <w:rFonts w:asciiTheme="minorHAnsi" w:hAnsiTheme="minorHAnsi"/>
                <w:color w:val="000000"/>
              </w:rPr>
              <w:t>3.98</w:t>
            </w:r>
          </w:p>
        </w:tc>
        <w:tc>
          <w:tcPr>
            <w:tcW w:w="861" w:type="dxa"/>
            <w:gridSpan w:val="2"/>
            <w:noWrap/>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rPr>
            </w:pPr>
            <w:r w:rsidRPr="00F35333">
              <w:rPr>
                <w:rFonts w:asciiTheme="minorHAnsi" w:hAnsiTheme="minorHAnsi"/>
                <w:color w:val="000000"/>
              </w:rPr>
              <w:t>3.92</w:t>
            </w:r>
          </w:p>
        </w:tc>
        <w:tc>
          <w:tcPr>
            <w:tcW w:w="861" w:type="dxa"/>
            <w:gridSpan w:val="2"/>
            <w:noWrap/>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rPr>
            </w:pPr>
            <w:r w:rsidRPr="00F35333">
              <w:rPr>
                <w:rFonts w:asciiTheme="minorHAnsi" w:hAnsiTheme="minorHAnsi"/>
                <w:color w:val="000000"/>
              </w:rPr>
              <w:t>3.87</w:t>
            </w:r>
          </w:p>
        </w:tc>
        <w:tc>
          <w:tcPr>
            <w:tcW w:w="861" w:type="dxa"/>
            <w:gridSpan w:val="2"/>
            <w:noWrap/>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rPr>
            </w:pPr>
            <w:r w:rsidRPr="00F35333">
              <w:rPr>
                <w:rFonts w:asciiTheme="minorHAnsi" w:hAnsiTheme="minorHAnsi"/>
                <w:color w:val="000000"/>
              </w:rPr>
              <w:t>3.67</w:t>
            </w:r>
          </w:p>
        </w:tc>
        <w:tc>
          <w:tcPr>
            <w:tcW w:w="861" w:type="dxa"/>
            <w:gridSpan w:val="2"/>
            <w:noWrap/>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rPr>
            </w:pPr>
            <w:r w:rsidRPr="00F35333">
              <w:rPr>
                <w:rFonts w:asciiTheme="minorHAnsi" w:hAnsiTheme="minorHAnsi"/>
                <w:color w:val="000000"/>
              </w:rPr>
              <w:t>3.54</w:t>
            </w:r>
          </w:p>
        </w:tc>
        <w:tc>
          <w:tcPr>
            <w:tcW w:w="861" w:type="dxa"/>
            <w:gridSpan w:val="2"/>
            <w:noWrap/>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rPr>
            </w:pPr>
            <w:r w:rsidRPr="00F35333">
              <w:rPr>
                <w:rFonts w:asciiTheme="minorHAnsi" w:hAnsiTheme="minorHAnsi"/>
                <w:color w:val="000000"/>
              </w:rPr>
              <w:t>4.24</w:t>
            </w:r>
          </w:p>
        </w:tc>
        <w:tc>
          <w:tcPr>
            <w:tcW w:w="2024" w:type="dxa"/>
            <w:gridSpan w:val="2"/>
            <w:hideMark/>
          </w:tcPr>
          <w:p w:rsidR="007C12D5" w:rsidRPr="00F35333" w:rsidRDefault="007C12D5" w:rsidP="007C12D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000000"/>
              </w:rPr>
            </w:pPr>
            <w:r w:rsidRPr="00F35333">
              <w:rPr>
                <w:rFonts w:asciiTheme="minorHAnsi" w:hAnsiTheme="minorHAnsi"/>
                <w:b/>
                <w:bCs/>
                <w:color w:val="000000"/>
              </w:rPr>
              <w:t>3.92</w:t>
            </w:r>
          </w:p>
        </w:tc>
      </w:tr>
    </w:tbl>
    <w:p w:rsidR="007C12D5" w:rsidRDefault="007C12D5" w:rsidP="007C12D5">
      <w:pPr>
        <w:jc w:val="both"/>
        <w:rPr>
          <w:b/>
          <w:sz w:val="24"/>
          <w:szCs w:val="24"/>
        </w:rPr>
      </w:pPr>
    </w:p>
    <w:p w:rsidR="007C12D5" w:rsidRPr="00CF616C" w:rsidRDefault="007C12D5" w:rsidP="007C12D5">
      <w:pPr>
        <w:jc w:val="both"/>
        <w:rPr>
          <w:b/>
          <w:i/>
          <w:color w:val="FF0000"/>
          <w:sz w:val="24"/>
          <w:szCs w:val="24"/>
        </w:rPr>
      </w:pPr>
      <w:r w:rsidRPr="009507EE">
        <w:rPr>
          <w:b/>
          <w:color w:val="1F497D" w:themeColor="text2"/>
          <w:sz w:val="24"/>
          <w:szCs w:val="24"/>
        </w:rPr>
        <w:t xml:space="preserve">Absenteeism </w:t>
      </w:r>
    </w:p>
    <w:p w:rsidR="007C12D5" w:rsidRDefault="007C12D5" w:rsidP="007C12D5">
      <w:pPr>
        <w:jc w:val="both"/>
        <w:rPr>
          <w:sz w:val="24"/>
          <w:szCs w:val="24"/>
        </w:rPr>
      </w:pPr>
      <w:r w:rsidRPr="00297BAC">
        <w:rPr>
          <w:sz w:val="24"/>
          <w:szCs w:val="24"/>
        </w:rPr>
        <w:lastRenderedPageBreak/>
        <w:t xml:space="preserve">Sickness absence has a significant impact on financial resources, staffing resources, </w:t>
      </w:r>
      <w:proofErr w:type="gramStart"/>
      <w:r w:rsidRPr="00297BAC">
        <w:rPr>
          <w:sz w:val="24"/>
          <w:szCs w:val="24"/>
        </w:rPr>
        <w:t>service</w:t>
      </w:r>
      <w:proofErr w:type="gramEnd"/>
      <w:r w:rsidRPr="00297BAC">
        <w:rPr>
          <w:sz w:val="24"/>
          <w:szCs w:val="24"/>
        </w:rPr>
        <w:t xml:space="preserve"> delivery and employee morale</w:t>
      </w:r>
      <w:r>
        <w:rPr>
          <w:rStyle w:val="FootnoteReference"/>
          <w:sz w:val="24"/>
          <w:szCs w:val="24"/>
        </w:rPr>
        <w:footnoteReference w:id="7"/>
      </w:r>
      <w:r>
        <w:rPr>
          <w:sz w:val="24"/>
          <w:szCs w:val="24"/>
        </w:rPr>
        <w:t xml:space="preserve">. The local government sector records a significant decrease in the percentage of working days lost to sickness absence through both medically certified and self-certified leave with figures showing a continued downward trend in these indicators. </w:t>
      </w:r>
    </w:p>
    <w:p w:rsidR="007C12D5" w:rsidRDefault="007C12D5" w:rsidP="007C12D5">
      <w:pPr>
        <w:rPr>
          <w:sz w:val="24"/>
          <w:szCs w:val="24"/>
        </w:rPr>
      </w:pPr>
      <w:r>
        <w:rPr>
          <w:noProof/>
          <w:sz w:val="24"/>
          <w:szCs w:val="24"/>
          <w:lang w:eastAsia="en-IE"/>
        </w:rPr>
        <w:drawing>
          <wp:inline distT="0" distB="0" distL="0" distR="0" wp14:anchorId="43B4D855" wp14:editId="0BDC1025">
            <wp:extent cx="4533900" cy="2628900"/>
            <wp:effectExtent l="0" t="0" r="0" b="0"/>
            <wp:docPr id="10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C12D5" w:rsidRDefault="007C12D5" w:rsidP="007C12D5">
      <w:pPr>
        <w:jc w:val="both"/>
        <w:rPr>
          <w:sz w:val="24"/>
          <w:szCs w:val="24"/>
        </w:rPr>
      </w:pPr>
      <w:r w:rsidRPr="00645251">
        <w:rPr>
          <w:sz w:val="24"/>
          <w:szCs w:val="24"/>
        </w:rPr>
        <w:t xml:space="preserve">The percentage of working days lost to sickness absence through certified leave continued its decline from a </w:t>
      </w:r>
      <w:r>
        <w:rPr>
          <w:sz w:val="24"/>
          <w:szCs w:val="24"/>
        </w:rPr>
        <w:t>me</w:t>
      </w:r>
      <w:r w:rsidR="00E84D87">
        <w:rPr>
          <w:sz w:val="24"/>
          <w:szCs w:val="24"/>
        </w:rPr>
        <w:t>di</w:t>
      </w:r>
      <w:r>
        <w:rPr>
          <w:sz w:val="24"/>
          <w:szCs w:val="24"/>
        </w:rPr>
        <w:t xml:space="preserve">an </w:t>
      </w:r>
      <w:r w:rsidRPr="00645251">
        <w:rPr>
          <w:sz w:val="24"/>
          <w:szCs w:val="24"/>
        </w:rPr>
        <w:t xml:space="preserve">average of </w:t>
      </w:r>
      <w:r>
        <w:rPr>
          <w:sz w:val="24"/>
          <w:szCs w:val="24"/>
        </w:rPr>
        <w:t>4.46%</w:t>
      </w:r>
      <w:r w:rsidRPr="00645251">
        <w:rPr>
          <w:sz w:val="24"/>
          <w:szCs w:val="24"/>
        </w:rPr>
        <w:t xml:space="preserve"> in 2010 to </w:t>
      </w:r>
      <w:r>
        <w:rPr>
          <w:sz w:val="24"/>
          <w:szCs w:val="24"/>
        </w:rPr>
        <w:t>3.53%</w:t>
      </w:r>
      <w:r w:rsidRPr="00645251">
        <w:rPr>
          <w:sz w:val="24"/>
          <w:szCs w:val="24"/>
        </w:rPr>
        <w:t xml:space="preserve"> in 2014</w:t>
      </w:r>
      <w:r>
        <w:rPr>
          <w:sz w:val="24"/>
          <w:szCs w:val="24"/>
        </w:rPr>
        <w:t>,</w:t>
      </w:r>
      <w:r w:rsidRPr="00645251">
        <w:rPr>
          <w:sz w:val="24"/>
          <w:szCs w:val="24"/>
        </w:rPr>
        <w:t xml:space="preserve"> a </w:t>
      </w:r>
      <w:r>
        <w:rPr>
          <w:sz w:val="24"/>
          <w:szCs w:val="24"/>
        </w:rPr>
        <w:t xml:space="preserve">total </w:t>
      </w:r>
      <w:r w:rsidRPr="00645251">
        <w:rPr>
          <w:sz w:val="24"/>
          <w:szCs w:val="24"/>
        </w:rPr>
        <w:t xml:space="preserve">decrease of </w:t>
      </w:r>
      <w:r>
        <w:rPr>
          <w:sz w:val="24"/>
          <w:szCs w:val="24"/>
        </w:rPr>
        <w:t>2</w:t>
      </w:r>
      <w:r w:rsidR="00E84D87">
        <w:rPr>
          <w:sz w:val="24"/>
          <w:szCs w:val="24"/>
        </w:rPr>
        <w:t>0</w:t>
      </w:r>
      <w:r>
        <w:rPr>
          <w:sz w:val="24"/>
          <w:szCs w:val="24"/>
        </w:rPr>
        <w:t>.</w:t>
      </w:r>
      <w:r w:rsidR="00E84D87">
        <w:rPr>
          <w:sz w:val="24"/>
          <w:szCs w:val="24"/>
        </w:rPr>
        <w:t>85</w:t>
      </w:r>
      <w:r w:rsidRPr="00645251">
        <w:rPr>
          <w:sz w:val="24"/>
          <w:szCs w:val="24"/>
        </w:rPr>
        <w:t>%</w:t>
      </w:r>
      <w:r>
        <w:rPr>
          <w:sz w:val="24"/>
          <w:szCs w:val="24"/>
        </w:rPr>
        <w:t xml:space="preserve">. </w:t>
      </w:r>
      <w:r w:rsidRPr="00645251">
        <w:rPr>
          <w:sz w:val="24"/>
          <w:szCs w:val="24"/>
        </w:rPr>
        <w:t xml:space="preserve">The percentage of working days lost to sickness through uncertified leave has decreased from a </w:t>
      </w:r>
      <w:r>
        <w:rPr>
          <w:sz w:val="24"/>
          <w:szCs w:val="24"/>
        </w:rPr>
        <w:t>me</w:t>
      </w:r>
      <w:r w:rsidR="00E84D87">
        <w:rPr>
          <w:sz w:val="24"/>
          <w:szCs w:val="24"/>
        </w:rPr>
        <w:t>di</w:t>
      </w:r>
      <w:r>
        <w:rPr>
          <w:sz w:val="24"/>
          <w:szCs w:val="24"/>
        </w:rPr>
        <w:t>an</w:t>
      </w:r>
      <w:r w:rsidRPr="00645251">
        <w:rPr>
          <w:sz w:val="24"/>
          <w:szCs w:val="24"/>
        </w:rPr>
        <w:t xml:space="preserve"> average of </w:t>
      </w:r>
      <w:r>
        <w:rPr>
          <w:sz w:val="24"/>
          <w:szCs w:val="24"/>
        </w:rPr>
        <w:t>0.6</w:t>
      </w:r>
      <w:r w:rsidR="00E84D87">
        <w:rPr>
          <w:sz w:val="24"/>
          <w:szCs w:val="24"/>
        </w:rPr>
        <w:t>1</w:t>
      </w:r>
      <w:r>
        <w:rPr>
          <w:sz w:val="24"/>
          <w:szCs w:val="24"/>
        </w:rPr>
        <w:t xml:space="preserve"> days in 2010 to 0.3</w:t>
      </w:r>
      <w:r w:rsidR="00E84D87">
        <w:rPr>
          <w:sz w:val="24"/>
          <w:szCs w:val="24"/>
        </w:rPr>
        <w:t>4</w:t>
      </w:r>
      <w:r w:rsidRPr="00645251">
        <w:rPr>
          <w:sz w:val="24"/>
          <w:szCs w:val="24"/>
        </w:rPr>
        <w:t xml:space="preserve"> days in 2014 a </w:t>
      </w:r>
      <w:r>
        <w:rPr>
          <w:sz w:val="24"/>
          <w:szCs w:val="24"/>
        </w:rPr>
        <w:t xml:space="preserve">total </w:t>
      </w:r>
      <w:r w:rsidRPr="00645251">
        <w:rPr>
          <w:sz w:val="24"/>
          <w:szCs w:val="24"/>
        </w:rPr>
        <w:t xml:space="preserve">decrease of </w:t>
      </w:r>
      <w:r>
        <w:rPr>
          <w:sz w:val="24"/>
          <w:szCs w:val="24"/>
        </w:rPr>
        <w:t>4</w:t>
      </w:r>
      <w:r w:rsidR="00E84D87">
        <w:rPr>
          <w:sz w:val="24"/>
          <w:szCs w:val="24"/>
        </w:rPr>
        <w:t>4</w:t>
      </w:r>
      <w:r>
        <w:rPr>
          <w:sz w:val="24"/>
          <w:szCs w:val="24"/>
        </w:rPr>
        <w:t>.</w:t>
      </w:r>
      <w:r w:rsidR="00E84D87">
        <w:rPr>
          <w:sz w:val="24"/>
          <w:szCs w:val="24"/>
        </w:rPr>
        <w:t>26</w:t>
      </w:r>
      <w:r w:rsidRPr="00645251">
        <w:rPr>
          <w:sz w:val="24"/>
          <w:szCs w:val="24"/>
        </w:rPr>
        <w:t>%.</w:t>
      </w:r>
      <w:r>
        <w:rPr>
          <w:sz w:val="24"/>
          <w:szCs w:val="24"/>
        </w:rPr>
        <w:t xml:space="preserve"> It should be noted that the figures for 2014 do not include absences that were unpaid. </w:t>
      </w:r>
    </w:p>
    <w:p w:rsidR="007C12D5" w:rsidRDefault="007C12D5" w:rsidP="007C12D5">
      <w:pPr>
        <w:jc w:val="both"/>
        <w:rPr>
          <w:sz w:val="24"/>
          <w:szCs w:val="24"/>
        </w:rPr>
      </w:pPr>
      <w:r>
        <w:rPr>
          <w:sz w:val="24"/>
          <w:szCs w:val="24"/>
        </w:rPr>
        <w:t xml:space="preserve">While there will always be a certain level of absenteeism recorded in both certified and uncertified sick leave, which reflect legitimate sickness absence, the figures reported would suggest the sector is a taking a proactive approach, including utilising the Public Service Sick Leave Scheme introduced from 31 March 2014, to manage excessive or unnecessary certified absences, with the mean average for certified sick leave decreasing by </w:t>
      </w:r>
      <w:r w:rsidR="006E6A0F">
        <w:rPr>
          <w:sz w:val="24"/>
          <w:szCs w:val="24"/>
        </w:rPr>
        <w:t>20.33</w:t>
      </w:r>
      <w:r>
        <w:rPr>
          <w:sz w:val="24"/>
          <w:szCs w:val="24"/>
        </w:rPr>
        <w:t xml:space="preserve">% between 2013 and 2014.  This indicator provides a benchmark for local authorities to monitor sickness absence and continue to improve performance in this area. </w:t>
      </w:r>
    </w:p>
    <w:p w:rsidR="007C12D5" w:rsidRDefault="007C12D5" w:rsidP="007C12D5">
      <w:pPr>
        <w:jc w:val="both"/>
        <w:rPr>
          <w:b/>
          <w:color w:val="1F497D" w:themeColor="text2"/>
          <w:sz w:val="28"/>
          <w:szCs w:val="28"/>
        </w:rPr>
      </w:pPr>
      <w:r>
        <w:rPr>
          <w:b/>
          <w:color w:val="1F497D" w:themeColor="text2"/>
          <w:sz w:val="28"/>
          <w:szCs w:val="28"/>
        </w:rPr>
        <w:t>2.10</w:t>
      </w:r>
      <w:r>
        <w:rPr>
          <w:b/>
          <w:color w:val="1F497D" w:themeColor="text2"/>
          <w:sz w:val="28"/>
          <w:szCs w:val="28"/>
        </w:rPr>
        <w:tab/>
      </w:r>
      <w:r w:rsidRPr="0044085B">
        <w:rPr>
          <w:b/>
          <w:color w:val="1F497D" w:themeColor="text2"/>
          <w:sz w:val="28"/>
          <w:szCs w:val="28"/>
        </w:rPr>
        <w:t>Finance</w:t>
      </w:r>
    </w:p>
    <w:p w:rsidR="007C12D5" w:rsidRDefault="007C12D5" w:rsidP="007C12D5">
      <w:pPr>
        <w:jc w:val="both"/>
        <w:rPr>
          <w:sz w:val="24"/>
          <w:szCs w:val="24"/>
        </w:rPr>
      </w:pPr>
      <w:r w:rsidRPr="0037415D">
        <w:rPr>
          <w:sz w:val="24"/>
          <w:szCs w:val="24"/>
        </w:rPr>
        <w:t xml:space="preserve">The publication of the five year summary of Revenue Account Balances is a new indicator and </w:t>
      </w:r>
      <w:r>
        <w:rPr>
          <w:sz w:val="24"/>
          <w:szCs w:val="24"/>
        </w:rPr>
        <w:t xml:space="preserve">is reflective of the Income and Expenditure Account balance in the local authority’s Annual Financial Statements for each of the years </w:t>
      </w:r>
      <w:r w:rsidRPr="0037415D">
        <w:rPr>
          <w:sz w:val="24"/>
          <w:szCs w:val="24"/>
        </w:rPr>
        <w:t xml:space="preserve">from 2010 </w:t>
      </w:r>
      <w:r>
        <w:rPr>
          <w:sz w:val="24"/>
          <w:szCs w:val="24"/>
        </w:rPr>
        <w:t>through to 2014.</w:t>
      </w:r>
      <w:r w:rsidRPr="0037415D">
        <w:rPr>
          <w:sz w:val="24"/>
          <w:szCs w:val="24"/>
        </w:rPr>
        <w:t xml:space="preserve"> </w:t>
      </w:r>
      <w:r>
        <w:rPr>
          <w:sz w:val="24"/>
          <w:szCs w:val="24"/>
        </w:rPr>
        <w:t>Data presented includes figures for the abolished borough and town councils for the years 2010 to 2013 and reflects the cumulative balance to 31 December 2014.</w:t>
      </w:r>
    </w:p>
    <w:p w:rsidR="007C12D5" w:rsidRDefault="007C12D5" w:rsidP="007C12D5">
      <w:pPr>
        <w:jc w:val="both"/>
        <w:rPr>
          <w:sz w:val="24"/>
          <w:szCs w:val="24"/>
        </w:rPr>
      </w:pPr>
      <w:r w:rsidRPr="0037415D">
        <w:rPr>
          <w:sz w:val="24"/>
          <w:szCs w:val="24"/>
        </w:rPr>
        <w:lastRenderedPageBreak/>
        <w:t xml:space="preserve">The revenue income and expenditure account includes the day-to-day running costs of the local authority and payroll, operational, administration, establishment and financial expenditure. Income includes grants and subsidies as well as charges for the provision of goods and services, including commercial rates. </w:t>
      </w:r>
    </w:p>
    <w:p w:rsidR="007C12D5" w:rsidRDefault="007C12D5" w:rsidP="007C12D5">
      <w:pPr>
        <w:jc w:val="both"/>
        <w:rPr>
          <w:sz w:val="24"/>
          <w:szCs w:val="24"/>
        </w:rPr>
      </w:pPr>
      <w:r>
        <w:rPr>
          <w:sz w:val="24"/>
          <w:szCs w:val="24"/>
        </w:rPr>
        <w:t>Fourteen (45%) of 31 local authorities have a positive revenue balance, eight of which is in excess of €1m.  Seventeen (55%) of 31 local authorities have a negative revenue balance, 13 of which are in excess of €1m.  While the revenue balance of 11 local authorities has worsened by more than €1m over the 5 year period, 15 of the 17 local authorities with a negative revenue balance as at 31 December 2014 have shown an improvement in that year.</w:t>
      </w:r>
    </w:p>
    <w:p w:rsidR="00E66B63" w:rsidRDefault="00E66B63" w:rsidP="007C12D5">
      <w:pPr>
        <w:jc w:val="both"/>
        <w:rPr>
          <w:b/>
          <w:color w:val="1F497D" w:themeColor="text2"/>
          <w:sz w:val="24"/>
          <w:szCs w:val="24"/>
        </w:rPr>
      </w:pPr>
      <w:r>
        <w:rPr>
          <w:noProof/>
          <w:lang w:eastAsia="en-IE"/>
        </w:rPr>
        <w:drawing>
          <wp:inline distT="0" distB="0" distL="0" distR="0" wp14:anchorId="14641810" wp14:editId="5EFBCF43">
            <wp:extent cx="5731510" cy="2381885"/>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C12D5" w:rsidRDefault="007C12D5" w:rsidP="007C12D5">
      <w:pPr>
        <w:jc w:val="both"/>
        <w:rPr>
          <w:b/>
          <w:color w:val="1F497D" w:themeColor="text2"/>
          <w:sz w:val="24"/>
          <w:szCs w:val="24"/>
        </w:rPr>
      </w:pPr>
      <w:r w:rsidRPr="00DD67B0">
        <w:rPr>
          <w:b/>
          <w:color w:val="1F497D" w:themeColor="text2"/>
          <w:sz w:val="24"/>
          <w:szCs w:val="24"/>
        </w:rPr>
        <w:t>Collection of Rates</w:t>
      </w:r>
    </w:p>
    <w:p w:rsidR="007C12D5" w:rsidRDefault="007C12D5" w:rsidP="007C12D5">
      <w:pPr>
        <w:jc w:val="both"/>
        <w:rPr>
          <w:sz w:val="24"/>
          <w:szCs w:val="24"/>
        </w:rPr>
      </w:pPr>
      <w:r w:rsidRPr="00AF683E">
        <w:rPr>
          <w:noProof/>
          <w:sz w:val="24"/>
          <w:szCs w:val="24"/>
          <w:lang w:eastAsia="en-IE"/>
        </w:rPr>
        <w:lastRenderedPageBreak/>
        <w:drawing>
          <wp:inline distT="0" distB="0" distL="0" distR="0" wp14:anchorId="7D4B390B" wp14:editId="49D856ED">
            <wp:extent cx="5010150" cy="3600450"/>
            <wp:effectExtent l="0" t="0" r="0" b="0"/>
            <wp:docPr id="110"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93E03" w:rsidRDefault="00793E03" w:rsidP="007C12D5">
      <w:pPr>
        <w:jc w:val="both"/>
        <w:rPr>
          <w:b/>
          <w:color w:val="1F497D" w:themeColor="text2"/>
          <w:sz w:val="24"/>
          <w:szCs w:val="24"/>
        </w:rPr>
      </w:pPr>
    </w:p>
    <w:p w:rsidR="007C12D5" w:rsidRPr="00A633EF" w:rsidRDefault="007C12D5" w:rsidP="007C12D5">
      <w:pPr>
        <w:jc w:val="both"/>
        <w:rPr>
          <w:b/>
          <w:color w:val="1F497D" w:themeColor="text2"/>
          <w:sz w:val="24"/>
          <w:szCs w:val="24"/>
        </w:rPr>
      </w:pPr>
      <w:r w:rsidRPr="00DD67B0">
        <w:rPr>
          <w:b/>
          <w:color w:val="1F497D" w:themeColor="text2"/>
          <w:sz w:val="24"/>
          <w:szCs w:val="24"/>
        </w:rPr>
        <w:t xml:space="preserve">Commercial Rates </w:t>
      </w:r>
    </w:p>
    <w:p w:rsidR="007C12D5" w:rsidRDefault="007C12D5" w:rsidP="007C12D5">
      <w:pPr>
        <w:jc w:val="both"/>
        <w:rPr>
          <w:sz w:val="24"/>
          <w:szCs w:val="24"/>
        </w:rPr>
      </w:pPr>
      <w:r w:rsidRPr="003E28E3">
        <w:rPr>
          <w:sz w:val="24"/>
          <w:szCs w:val="24"/>
        </w:rPr>
        <w:t xml:space="preserve">The percentage of commercial rates collected for each city and county council in 2014 ranged from </w:t>
      </w:r>
      <w:r>
        <w:rPr>
          <w:sz w:val="24"/>
          <w:szCs w:val="24"/>
        </w:rPr>
        <w:t>92</w:t>
      </w:r>
      <w:r w:rsidRPr="003E28E3">
        <w:rPr>
          <w:sz w:val="24"/>
          <w:szCs w:val="24"/>
        </w:rPr>
        <w:t xml:space="preserve">% to </w:t>
      </w:r>
      <w:r>
        <w:rPr>
          <w:sz w:val="24"/>
          <w:szCs w:val="24"/>
        </w:rPr>
        <w:t>56</w:t>
      </w:r>
      <w:r w:rsidRPr="003E28E3">
        <w:rPr>
          <w:sz w:val="24"/>
          <w:szCs w:val="24"/>
        </w:rPr>
        <w:t xml:space="preserve">% with an overall </w:t>
      </w:r>
      <w:r>
        <w:rPr>
          <w:sz w:val="24"/>
          <w:szCs w:val="24"/>
        </w:rPr>
        <w:t>mean</w:t>
      </w:r>
      <w:r w:rsidRPr="003E28E3">
        <w:rPr>
          <w:sz w:val="24"/>
          <w:szCs w:val="24"/>
        </w:rPr>
        <w:t xml:space="preserve"> average of </w:t>
      </w:r>
      <w:r>
        <w:rPr>
          <w:sz w:val="24"/>
          <w:szCs w:val="24"/>
        </w:rPr>
        <w:t>73.06</w:t>
      </w:r>
      <w:r w:rsidRPr="003E28E3">
        <w:rPr>
          <w:sz w:val="24"/>
          <w:szCs w:val="24"/>
        </w:rPr>
        <w:t xml:space="preserve">%. </w:t>
      </w:r>
      <w:r>
        <w:rPr>
          <w:sz w:val="24"/>
          <w:szCs w:val="24"/>
        </w:rPr>
        <w:t xml:space="preserve">This represented a small increase of 0.8% on the overall collection rate from 2013 and should be welcomed in the context of the financial pressures that continued to be experienced by rate payers in 2014.    </w:t>
      </w:r>
      <w:r w:rsidRPr="003E28E3">
        <w:rPr>
          <w:sz w:val="24"/>
          <w:szCs w:val="24"/>
        </w:rPr>
        <w:t xml:space="preserve"> </w:t>
      </w:r>
      <w:r>
        <w:rPr>
          <w:sz w:val="24"/>
          <w:szCs w:val="24"/>
        </w:rPr>
        <w:t xml:space="preserve"> </w:t>
      </w:r>
      <w:r w:rsidRPr="003E28E3">
        <w:rPr>
          <w:sz w:val="24"/>
          <w:szCs w:val="24"/>
        </w:rPr>
        <w:t>This upward trajectory reflects the concerted effort being made by local authorities</w:t>
      </w:r>
      <w:r>
        <w:rPr>
          <w:sz w:val="24"/>
          <w:szCs w:val="24"/>
        </w:rPr>
        <w:t xml:space="preserve"> across the country, through a range of measures,</w:t>
      </w:r>
      <w:r w:rsidRPr="003E28E3">
        <w:rPr>
          <w:sz w:val="24"/>
          <w:szCs w:val="24"/>
        </w:rPr>
        <w:t xml:space="preserve"> to improve </w:t>
      </w:r>
      <w:r>
        <w:rPr>
          <w:sz w:val="24"/>
          <w:szCs w:val="24"/>
        </w:rPr>
        <w:t xml:space="preserve">commercial </w:t>
      </w:r>
      <w:r w:rsidRPr="003E28E3">
        <w:rPr>
          <w:sz w:val="24"/>
          <w:szCs w:val="24"/>
        </w:rPr>
        <w:t xml:space="preserve">rate collection </w:t>
      </w:r>
      <w:r>
        <w:rPr>
          <w:sz w:val="24"/>
          <w:szCs w:val="24"/>
        </w:rPr>
        <w:t>and should yield higher collection rates into 2015. In overall terms the returns show that the collection rate improved in 13 local authorities, remained static in seven and decreased in 11.</w:t>
      </w:r>
    </w:p>
    <w:p w:rsidR="007C12D5" w:rsidRDefault="007C12D5" w:rsidP="007C12D5">
      <w:pPr>
        <w:jc w:val="both"/>
        <w:rPr>
          <w:sz w:val="24"/>
          <w:szCs w:val="24"/>
        </w:rPr>
      </w:pPr>
      <w:r>
        <w:rPr>
          <w:sz w:val="24"/>
          <w:szCs w:val="24"/>
        </w:rPr>
        <w:t xml:space="preserve">There are a number of complex contributory factors that impact on local authority debt collection and which should be considered when analysing local authority performance in this area. These include: </w:t>
      </w:r>
      <w:r>
        <w:rPr>
          <w:rFonts w:ascii="Calibri" w:eastAsia="Times New Roman" w:hAnsi="Calibri" w:cs="Segoe UI"/>
          <w:color w:val="000000"/>
          <w:sz w:val="24"/>
          <w:szCs w:val="24"/>
          <w:lang w:val="en-GB" w:eastAsia="en-GB"/>
        </w:rPr>
        <w:t xml:space="preserve">The </w:t>
      </w:r>
      <w:r w:rsidRPr="007006F3">
        <w:rPr>
          <w:rFonts w:ascii="Calibri" w:eastAsia="Times New Roman" w:hAnsi="Calibri" w:cs="Segoe UI"/>
          <w:b/>
          <w:color w:val="000000"/>
          <w:sz w:val="24"/>
          <w:szCs w:val="24"/>
          <w:lang w:val="en-GB" w:eastAsia="en-GB"/>
        </w:rPr>
        <w:t xml:space="preserve">amalgamation of </w:t>
      </w:r>
      <w:r>
        <w:rPr>
          <w:rFonts w:ascii="Calibri" w:eastAsia="Times New Roman" w:hAnsi="Calibri" w:cs="Segoe UI"/>
          <w:b/>
          <w:color w:val="000000"/>
          <w:sz w:val="24"/>
          <w:szCs w:val="24"/>
          <w:lang w:val="en-GB" w:eastAsia="en-GB"/>
        </w:rPr>
        <w:t xml:space="preserve">the </w:t>
      </w:r>
      <w:r w:rsidRPr="007006F3">
        <w:rPr>
          <w:rFonts w:ascii="Calibri" w:eastAsia="Times New Roman" w:hAnsi="Calibri" w:cs="Segoe UI"/>
          <w:b/>
          <w:color w:val="000000"/>
          <w:sz w:val="24"/>
          <w:szCs w:val="24"/>
          <w:lang w:val="en-GB" w:eastAsia="en-GB"/>
        </w:rPr>
        <w:t>former Town Council</w:t>
      </w:r>
      <w:r w:rsidRPr="007D598A">
        <w:rPr>
          <w:rFonts w:ascii="Calibri" w:eastAsia="Times New Roman" w:hAnsi="Calibri" w:cs="Segoe UI"/>
          <w:color w:val="000000"/>
          <w:sz w:val="24"/>
          <w:szCs w:val="24"/>
          <w:lang w:val="en-GB" w:eastAsia="en-GB"/>
        </w:rPr>
        <w:t xml:space="preserve"> rate</w:t>
      </w:r>
      <w:r>
        <w:rPr>
          <w:rFonts w:ascii="Calibri" w:eastAsia="Times New Roman" w:hAnsi="Calibri" w:cs="Segoe UI"/>
          <w:color w:val="000000"/>
          <w:sz w:val="24"/>
          <w:szCs w:val="24"/>
          <w:lang w:val="en-GB" w:eastAsia="en-GB"/>
        </w:rPr>
        <w:t>s</w:t>
      </w:r>
      <w:r w:rsidRPr="007D598A">
        <w:rPr>
          <w:rFonts w:ascii="Calibri" w:eastAsia="Times New Roman" w:hAnsi="Calibri" w:cs="Segoe UI"/>
          <w:color w:val="000000"/>
          <w:sz w:val="24"/>
          <w:szCs w:val="24"/>
          <w:lang w:val="en-GB" w:eastAsia="en-GB"/>
        </w:rPr>
        <w:t xml:space="preserve"> book</w:t>
      </w:r>
      <w:r>
        <w:rPr>
          <w:rFonts w:ascii="Calibri" w:eastAsia="Times New Roman" w:hAnsi="Calibri" w:cs="Segoe UI"/>
          <w:color w:val="000000"/>
          <w:sz w:val="24"/>
          <w:szCs w:val="24"/>
          <w:lang w:val="en-GB" w:eastAsia="en-GB"/>
        </w:rPr>
        <w:t>s</w:t>
      </w:r>
      <w:r w:rsidRPr="007D598A">
        <w:rPr>
          <w:rFonts w:ascii="Calibri" w:eastAsia="Times New Roman" w:hAnsi="Calibri" w:cs="Segoe UI"/>
          <w:color w:val="000000"/>
          <w:sz w:val="24"/>
          <w:szCs w:val="24"/>
          <w:lang w:val="en-GB" w:eastAsia="en-GB"/>
        </w:rPr>
        <w:t xml:space="preserve"> into </w:t>
      </w:r>
      <w:r>
        <w:rPr>
          <w:rFonts w:ascii="Calibri" w:eastAsia="Times New Roman" w:hAnsi="Calibri" w:cs="Segoe UI"/>
          <w:color w:val="000000"/>
          <w:sz w:val="24"/>
          <w:szCs w:val="24"/>
          <w:lang w:val="en-GB" w:eastAsia="en-GB"/>
        </w:rPr>
        <w:t xml:space="preserve">the </w:t>
      </w:r>
      <w:r w:rsidRPr="007D598A">
        <w:rPr>
          <w:rFonts w:ascii="Calibri" w:eastAsia="Times New Roman" w:hAnsi="Calibri" w:cs="Segoe UI"/>
          <w:color w:val="000000"/>
          <w:sz w:val="24"/>
          <w:szCs w:val="24"/>
          <w:lang w:val="en-GB" w:eastAsia="en-GB"/>
        </w:rPr>
        <w:t xml:space="preserve">county depressed the overall collection rate by 10% in 2014. </w:t>
      </w:r>
      <w:r>
        <w:rPr>
          <w:rFonts w:ascii="Calibri" w:eastAsia="Times New Roman" w:hAnsi="Calibri" w:cs="Segoe UI"/>
          <w:color w:val="000000"/>
          <w:sz w:val="24"/>
          <w:szCs w:val="24"/>
          <w:lang w:val="en-GB" w:eastAsia="en-GB"/>
        </w:rPr>
        <w:t>In many cases c</w:t>
      </w:r>
      <w:r w:rsidRPr="007D598A">
        <w:rPr>
          <w:rFonts w:ascii="Calibri" w:eastAsia="Times New Roman" w:hAnsi="Calibri" w:cs="Segoe UI"/>
          <w:color w:val="000000"/>
          <w:sz w:val="24"/>
          <w:szCs w:val="24"/>
          <w:lang w:val="en-GB" w:eastAsia="en-GB"/>
        </w:rPr>
        <w:t xml:space="preserve">ollection systems were </w:t>
      </w:r>
      <w:r>
        <w:rPr>
          <w:rFonts w:ascii="Calibri" w:eastAsia="Times New Roman" w:hAnsi="Calibri" w:cs="Segoe UI"/>
          <w:color w:val="000000"/>
          <w:sz w:val="24"/>
          <w:szCs w:val="24"/>
          <w:lang w:val="en-GB" w:eastAsia="en-GB"/>
        </w:rPr>
        <w:t xml:space="preserve">not as </w:t>
      </w:r>
      <w:r w:rsidRPr="007D598A">
        <w:rPr>
          <w:rFonts w:ascii="Calibri" w:eastAsia="Times New Roman" w:hAnsi="Calibri" w:cs="Segoe UI"/>
          <w:color w:val="000000"/>
          <w:sz w:val="24"/>
          <w:szCs w:val="24"/>
          <w:lang w:val="en-GB" w:eastAsia="en-GB"/>
        </w:rPr>
        <w:t xml:space="preserve">developed </w:t>
      </w:r>
      <w:r>
        <w:rPr>
          <w:rFonts w:ascii="Calibri" w:eastAsia="Times New Roman" w:hAnsi="Calibri" w:cs="Segoe UI"/>
          <w:color w:val="000000"/>
          <w:sz w:val="24"/>
          <w:szCs w:val="24"/>
          <w:lang w:val="en-GB" w:eastAsia="en-GB"/>
        </w:rPr>
        <w:t xml:space="preserve">as the county processes. </w:t>
      </w:r>
      <w:r>
        <w:rPr>
          <w:b/>
          <w:sz w:val="24"/>
          <w:szCs w:val="24"/>
        </w:rPr>
        <w:t xml:space="preserve">Number of </w:t>
      </w:r>
      <w:r w:rsidRPr="003E3F4D">
        <w:rPr>
          <w:b/>
          <w:sz w:val="24"/>
          <w:szCs w:val="24"/>
        </w:rPr>
        <w:t>Insolvencies</w:t>
      </w:r>
      <w:r>
        <w:rPr>
          <w:sz w:val="24"/>
          <w:szCs w:val="24"/>
        </w:rPr>
        <w:t xml:space="preserve"> – local authorities welcome the reduction in the number of businesses going into insolvency in 2014, however the cumulative effect of insolvencies, which in many cases are carried forward year-on-year, places a significant burden on the collection of commercial rates for local authorities by increasing arrears and eroding the commercial rate base. </w:t>
      </w:r>
    </w:p>
    <w:p w:rsidR="007C12D5" w:rsidRDefault="007C12D5" w:rsidP="007C12D5">
      <w:pPr>
        <w:jc w:val="both"/>
        <w:rPr>
          <w:sz w:val="24"/>
          <w:szCs w:val="24"/>
        </w:rPr>
      </w:pPr>
    </w:p>
    <w:p w:rsidR="007C12D5" w:rsidRDefault="007C12D5" w:rsidP="007C12D5">
      <w:pPr>
        <w:jc w:val="both"/>
        <w:rPr>
          <w:sz w:val="24"/>
          <w:szCs w:val="24"/>
        </w:rPr>
      </w:pPr>
      <w:r>
        <w:rPr>
          <w:sz w:val="24"/>
          <w:szCs w:val="24"/>
        </w:rPr>
        <w:lastRenderedPageBreak/>
        <w:t xml:space="preserve">                    </w:t>
      </w:r>
      <w:r w:rsidRPr="00540798">
        <w:rPr>
          <w:noProof/>
          <w:sz w:val="24"/>
          <w:szCs w:val="24"/>
          <w:lang w:eastAsia="en-IE"/>
        </w:rPr>
        <w:drawing>
          <wp:inline distT="0" distB="0" distL="0" distR="0" wp14:anchorId="0B8BAC93" wp14:editId="08683B27">
            <wp:extent cx="4400550" cy="2314575"/>
            <wp:effectExtent l="0" t="0" r="0" b="0"/>
            <wp:docPr id="1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C12D5" w:rsidRPr="00540798" w:rsidRDefault="007C12D5" w:rsidP="007C12D5">
      <w:pPr>
        <w:jc w:val="both"/>
        <w:rPr>
          <w:i/>
          <w:sz w:val="24"/>
          <w:szCs w:val="24"/>
        </w:rPr>
      </w:pPr>
      <w:r>
        <w:rPr>
          <w:sz w:val="24"/>
          <w:szCs w:val="24"/>
        </w:rPr>
        <w:tab/>
      </w:r>
      <w:r>
        <w:rPr>
          <w:sz w:val="24"/>
          <w:szCs w:val="24"/>
        </w:rPr>
        <w:tab/>
      </w:r>
      <w:r>
        <w:rPr>
          <w:sz w:val="24"/>
          <w:szCs w:val="24"/>
        </w:rPr>
        <w:tab/>
      </w:r>
      <w:r w:rsidRPr="00540798">
        <w:rPr>
          <w:i/>
          <w:sz w:val="24"/>
          <w:szCs w:val="24"/>
        </w:rPr>
        <w:t>Source: Vision</w:t>
      </w:r>
      <w:r>
        <w:rPr>
          <w:i/>
          <w:sz w:val="24"/>
          <w:szCs w:val="24"/>
        </w:rPr>
        <w:t>-n</w:t>
      </w:r>
      <w:r w:rsidRPr="00540798">
        <w:rPr>
          <w:i/>
          <w:sz w:val="24"/>
          <w:szCs w:val="24"/>
        </w:rPr>
        <w:t>et</w:t>
      </w:r>
      <w:r>
        <w:rPr>
          <w:i/>
          <w:sz w:val="24"/>
          <w:szCs w:val="24"/>
        </w:rPr>
        <w:t xml:space="preserve"> Annual </w:t>
      </w:r>
      <w:r w:rsidRPr="00540798">
        <w:rPr>
          <w:i/>
          <w:sz w:val="24"/>
          <w:szCs w:val="24"/>
        </w:rPr>
        <w:t>Business</w:t>
      </w:r>
      <w:r>
        <w:rPr>
          <w:i/>
          <w:sz w:val="24"/>
          <w:szCs w:val="24"/>
        </w:rPr>
        <w:t xml:space="preserve"> </w:t>
      </w:r>
      <w:r w:rsidRPr="00540798">
        <w:rPr>
          <w:i/>
          <w:sz w:val="24"/>
          <w:szCs w:val="24"/>
        </w:rPr>
        <w:t>Review</w:t>
      </w:r>
      <w:r>
        <w:rPr>
          <w:i/>
          <w:sz w:val="24"/>
          <w:szCs w:val="24"/>
        </w:rPr>
        <w:t xml:space="preserve"> </w:t>
      </w:r>
      <w:r w:rsidRPr="00540798">
        <w:rPr>
          <w:i/>
          <w:sz w:val="24"/>
          <w:szCs w:val="24"/>
        </w:rPr>
        <w:t>2015</w:t>
      </w:r>
      <w:r>
        <w:rPr>
          <w:i/>
          <w:sz w:val="24"/>
          <w:szCs w:val="24"/>
        </w:rPr>
        <w:t xml:space="preserve"> </w:t>
      </w:r>
    </w:p>
    <w:p w:rsidR="007C12D5" w:rsidRDefault="007C12D5" w:rsidP="007C12D5">
      <w:pPr>
        <w:jc w:val="both"/>
        <w:rPr>
          <w:rFonts w:eastAsia="Times New Roman"/>
          <w:color w:val="000000"/>
          <w:sz w:val="24"/>
          <w:szCs w:val="24"/>
          <w:lang w:val="en-GB" w:eastAsia="en-GB"/>
        </w:rPr>
      </w:pPr>
      <w:r w:rsidRPr="00FF6186">
        <w:rPr>
          <w:rFonts w:eastAsia="Times New Roman"/>
          <w:color w:val="000000"/>
          <w:sz w:val="24"/>
          <w:szCs w:val="24"/>
          <w:lang w:val="en-GB" w:eastAsia="en-GB"/>
        </w:rPr>
        <w:t xml:space="preserve">Local authorities, while </w:t>
      </w:r>
      <w:r w:rsidRPr="00FF6186">
        <w:rPr>
          <w:rFonts w:ascii="Calibri" w:eastAsia="Times New Roman" w:hAnsi="Calibri"/>
          <w:bCs/>
          <w:color w:val="000000"/>
          <w:sz w:val="24"/>
          <w:szCs w:val="24"/>
          <w:lang w:val="en-GB" w:eastAsia="en-GB"/>
        </w:rPr>
        <w:t>conscious of the trading difficulties of many rate payers</w:t>
      </w:r>
      <w:r>
        <w:rPr>
          <w:rFonts w:ascii="Calibri" w:eastAsia="Times New Roman" w:hAnsi="Calibri"/>
          <w:bCs/>
          <w:color w:val="000000"/>
          <w:sz w:val="24"/>
          <w:szCs w:val="24"/>
          <w:lang w:val="en-GB" w:eastAsia="en-GB"/>
        </w:rPr>
        <w:t>,</w:t>
      </w:r>
      <w:r w:rsidRPr="00FF6186">
        <w:rPr>
          <w:rFonts w:ascii="Calibri" w:eastAsia="Times New Roman" w:hAnsi="Calibri"/>
          <w:bCs/>
          <w:color w:val="000000"/>
          <w:sz w:val="24"/>
          <w:szCs w:val="24"/>
          <w:lang w:val="en-GB" w:eastAsia="en-GB"/>
        </w:rPr>
        <w:t xml:space="preserve"> </w:t>
      </w:r>
      <w:r w:rsidRPr="00FF6186">
        <w:rPr>
          <w:rFonts w:eastAsia="Times New Roman"/>
          <w:color w:val="000000"/>
          <w:sz w:val="24"/>
          <w:szCs w:val="24"/>
          <w:lang w:val="en-GB" w:eastAsia="en-GB"/>
        </w:rPr>
        <w:t>have</w:t>
      </w:r>
      <w:r>
        <w:rPr>
          <w:rFonts w:eastAsia="Times New Roman"/>
          <w:color w:val="000000"/>
          <w:sz w:val="24"/>
          <w:szCs w:val="24"/>
          <w:lang w:val="en-GB" w:eastAsia="en-GB"/>
        </w:rPr>
        <w:t xml:space="preserve"> adopted a series of measures designed to </w:t>
      </w:r>
      <w:r w:rsidRPr="007D0A60">
        <w:rPr>
          <w:rFonts w:eastAsia="Times New Roman"/>
          <w:color w:val="000000"/>
          <w:sz w:val="24"/>
          <w:szCs w:val="24"/>
          <w:lang w:val="en-GB" w:eastAsia="en-GB"/>
        </w:rPr>
        <w:t>i</w:t>
      </w:r>
      <w:r>
        <w:rPr>
          <w:rFonts w:eastAsia="Times New Roman"/>
          <w:color w:val="000000"/>
          <w:sz w:val="24"/>
          <w:szCs w:val="24"/>
          <w:lang w:val="en-GB" w:eastAsia="en-GB"/>
        </w:rPr>
        <w:t xml:space="preserve">ncrease collection rates including: </w:t>
      </w:r>
      <w:r>
        <w:rPr>
          <w:rFonts w:ascii="Calibri" w:eastAsia="Times New Roman" w:hAnsi="Calibri"/>
          <w:color w:val="000000"/>
          <w:sz w:val="24"/>
          <w:szCs w:val="24"/>
          <w:lang w:val="en-GB" w:eastAsia="en-GB"/>
        </w:rPr>
        <w:t xml:space="preserve">improving </w:t>
      </w:r>
      <w:r w:rsidRPr="007006F3">
        <w:rPr>
          <w:rFonts w:ascii="Calibri" w:eastAsia="Times New Roman" w:hAnsi="Calibri"/>
          <w:color w:val="000000"/>
          <w:sz w:val="24"/>
          <w:szCs w:val="24"/>
          <w:lang w:val="en-GB" w:eastAsia="en-GB"/>
        </w:rPr>
        <w:t>business processes</w:t>
      </w:r>
      <w:r>
        <w:rPr>
          <w:rFonts w:ascii="Calibri" w:eastAsia="Times New Roman" w:hAnsi="Calibri"/>
          <w:color w:val="000000"/>
          <w:sz w:val="24"/>
          <w:szCs w:val="24"/>
          <w:lang w:val="en-GB" w:eastAsia="en-GB"/>
        </w:rPr>
        <w:t xml:space="preserve">; </w:t>
      </w:r>
      <w:r w:rsidRPr="007006F3">
        <w:rPr>
          <w:rFonts w:ascii="Calibri" w:eastAsia="Times New Roman" w:hAnsi="Calibri"/>
          <w:color w:val="000000"/>
          <w:sz w:val="24"/>
          <w:szCs w:val="24"/>
          <w:lang w:val="en-GB" w:eastAsia="en-GB"/>
        </w:rPr>
        <w:t>centralising debt collection units</w:t>
      </w:r>
      <w:r>
        <w:rPr>
          <w:rFonts w:ascii="Calibri" w:eastAsia="Times New Roman" w:hAnsi="Calibri"/>
          <w:color w:val="000000"/>
          <w:sz w:val="24"/>
          <w:szCs w:val="24"/>
          <w:lang w:val="en-GB" w:eastAsia="en-GB"/>
        </w:rPr>
        <w:t xml:space="preserve">; managing accounts in arrears through </w:t>
      </w:r>
      <w:r w:rsidRPr="007006F3">
        <w:rPr>
          <w:rFonts w:ascii="Calibri" w:eastAsia="Times New Roman" w:hAnsi="Calibri"/>
          <w:color w:val="000000"/>
          <w:sz w:val="24"/>
          <w:szCs w:val="24"/>
          <w:lang w:val="en-GB" w:eastAsia="en-GB"/>
        </w:rPr>
        <w:t xml:space="preserve"> </w:t>
      </w:r>
      <w:r>
        <w:rPr>
          <w:rFonts w:eastAsia="Times New Roman"/>
          <w:color w:val="000000"/>
          <w:sz w:val="24"/>
          <w:szCs w:val="24"/>
          <w:lang w:val="en-GB" w:eastAsia="en-GB"/>
        </w:rPr>
        <w:t>the promotion of d</w:t>
      </w:r>
      <w:r w:rsidRPr="007D0A60">
        <w:rPr>
          <w:rFonts w:eastAsia="Times New Roman"/>
          <w:color w:val="000000"/>
          <w:sz w:val="24"/>
          <w:szCs w:val="24"/>
          <w:lang w:val="en-GB" w:eastAsia="en-GB"/>
        </w:rPr>
        <w:t xml:space="preserve">irect </w:t>
      </w:r>
      <w:r>
        <w:rPr>
          <w:rFonts w:eastAsia="Times New Roman"/>
          <w:color w:val="000000"/>
          <w:sz w:val="24"/>
          <w:szCs w:val="24"/>
          <w:lang w:val="en-GB" w:eastAsia="en-GB"/>
        </w:rPr>
        <w:t>d</w:t>
      </w:r>
      <w:r w:rsidRPr="007D0A60">
        <w:rPr>
          <w:rFonts w:eastAsia="Times New Roman"/>
          <w:color w:val="000000"/>
          <w:sz w:val="24"/>
          <w:szCs w:val="24"/>
          <w:lang w:val="en-GB" w:eastAsia="en-GB"/>
        </w:rPr>
        <w:t>ebit</w:t>
      </w:r>
      <w:r>
        <w:rPr>
          <w:rFonts w:eastAsia="Times New Roman"/>
          <w:color w:val="000000"/>
          <w:sz w:val="24"/>
          <w:szCs w:val="24"/>
          <w:lang w:val="en-GB" w:eastAsia="en-GB"/>
        </w:rPr>
        <w:t xml:space="preserve"> payments; implementing payment incentive s</w:t>
      </w:r>
      <w:r w:rsidRPr="007D0A60">
        <w:rPr>
          <w:rFonts w:eastAsia="Times New Roman"/>
          <w:color w:val="000000"/>
          <w:sz w:val="24"/>
          <w:szCs w:val="24"/>
          <w:lang w:val="en-GB" w:eastAsia="en-GB"/>
        </w:rPr>
        <w:t>chemes</w:t>
      </w:r>
      <w:r>
        <w:rPr>
          <w:rFonts w:eastAsia="Times New Roman"/>
          <w:color w:val="000000"/>
          <w:sz w:val="24"/>
          <w:szCs w:val="24"/>
          <w:lang w:val="en-GB" w:eastAsia="en-GB"/>
        </w:rPr>
        <w:t xml:space="preserve">; and implementing strong enforcement procedures which include progressing </w:t>
      </w:r>
      <w:r>
        <w:rPr>
          <w:rFonts w:ascii="Calibri" w:eastAsia="Times New Roman" w:hAnsi="Calibri" w:cs="Segoe UI"/>
          <w:color w:val="000000"/>
          <w:sz w:val="24"/>
          <w:szCs w:val="24"/>
          <w:lang w:val="en-GB" w:eastAsia="en-GB"/>
        </w:rPr>
        <w:t> “w</w:t>
      </w:r>
      <w:r w:rsidRPr="007D598A">
        <w:rPr>
          <w:rFonts w:ascii="Calibri" w:eastAsia="Times New Roman" w:hAnsi="Calibri" w:cs="Segoe UI"/>
          <w:color w:val="000000"/>
          <w:sz w:val="24"/>
          <w:szCs w:val="24"/>
          <w:lang w:val="en-GB" w:eastAsia="en-GB"/>
        </w:rPr>
        <w:t xml:space="preserve">on’t pay” cases to </w:t>
      </w:r>
      <w:r>
        <w:rPr>
          <w:rFonts w:ascii="Calibri" w:eastAsia="Times New Roman" w:hAnsi="Calibri" w:cs="Segoe UI"/>
          <w:color w:val="000000"/>
          <w:sz w:val="24"/>
          <w:szCs w:val="24"/>
          <w:lang w:val="en-GB" w:eastAsia="en-GB"/>
        </w:rPr>
        <w:t xml:space="preserve">the </w:t>
      </w:r>
      <w:r w:rsidRPr="007D598A">
        <w:rPr>
          <w:rFonts w:ascii="Calibri" w:eastAsia="Times New Roman" w:hAnsi="Calibri" w:cs="Segoe UI"/>
          <w:color w:val="000000"/>
          <w:sz w:val="24"/>
          <w:szCs w:val="24"/>
          <w:lang w:val="en-GB" w:eastAsia="en-GB"/>
        </w:rPr>
        <w:t xml:space="preserve">District Court and </w:t>
      </w:r>
      <w:r>
        <w:rPr>
          <w:rFonts w:ascii="Calibri" w:eastAsia="Times New Roman" w:hAnsi="Calibri" w:cs="Segoe UI"/>
          <w:color w:val="000000"/>
          <w:sz w:val="24"/>
          <w:szCs w:val="24"/>
          <w:lang w:val="en-GB" w:eastAsia="en-GB"/>
        </w:rPr>
        <w:t xml:space="preserve">having </w:t>
      </w:r>
      <w:r w:rsidRPr="007D598A">
        <w:rPr>
          <w:rFonts w:ascii="Calibri" w:eastAsia="Times New Roman" w:hAnsi="Calibri" w:cs="Segoe UI"/>
          <w:color w:val="000000"/>
          <w:sz w:val="24"/>
          <w:szCs w:val="24"/>
          <w:lang w:val="en-GB" w:eastAsia="en-GB"/>
        </w:rPr>
        <w:t>judgements put on properties.</w:t>
      </w:r>
    </w:p>
    <w:p w:rsidR="007C12D5" w:rsidRPr="00DD67B0" w:rsidRDefault="007C12D5" w:rsidP="007C12D5">
      <w:pPr>
        <w:spacing w:after="0"/>
        <w:jc w:val="both"/>
        <w:rPr>
          <w:b/>
          <w:color w:val="1F497D" w:themeColor="text2"/>
          <w:sz w:val="24"/>
          <w:szCs w:val="24"/>
        </w:rPr>
      </w:pPr>
      <w:r>
        <w:rPr>
          <w:b/>
          <w:color w:val="1F497D" w:themeColor="text2"/>
          <w:sz w:val="24"/>
          <w:szCs w:val="24"/>
        </w:rPr>
        <w:t xml:space="preserve">Collection of </w:t>
      </w:r>
      <w:r w:rsidRPr="00DD67B0">
        <w:rPr>
          <w:b/>
          <w:color w:val="1F497D" w:themeColor="text2"/>
          <w:sz w:val="24"/>
          <w:szCs w:val="24"/>
        </w:rPr>
        <w:t xml:space="preserve">Rents and Annuities </w:t>
      </w:r>
    </w:p>
    <w:p w:rsidR="007C12D5" w:rsidRDefault="007C12D5" w:rsidP="007C12D5">
      <w:pPr>
        <w:jc w:val="both"/>
        <w:rPr>
          <w:sz w:val="24"/>
          <w:szCs w:val="24"/>
        </w:rPr>
      </w:pPr>
      <w:r w:rsidRPr="00C55A9F">
        <w:rPr>
          <w:sz w:val="24"/>
          <w:szCs w:val="24"/>
        </w:rPr>
        <w:t>The percentage of rent</w:t>
      </w:r>
      <w:r>
        <w:rPr>
          <w:sz w:val="24"/>
          <w:szCs w:val="24"/>
        </w:rPr>
        <w:t>s</w:t>
      </w:r>
      <w:r w:rsidRPr="00C55A9F">
        <w:rPr>
          <w:sz w:val="24"/>
          <w:szCs w:val="24"/>
        </w:rPr>
        <w:t xml:space="preserve"> and annuities collected for each city and county council in 2014 ranged from </w:t>
      </w:r>
      <w:r>
        <w:rPr>
          <w:sz w:val="24"/>
          <w:szCs w:val="24"/>
        </w:rPr>
        <w:t>95</w:t>
      </w:r>
      <w:r w:rsidRPr="00C55A9F">
        <w:rPr>
          <w:sz w:val="24"/>
          <w:szCs w:val="24"/>
        </w:rPr>
        <w:t xml:space="preserve">% to </w:t>
      </w:r>
      <w:r>
        <w:rPr>
          <w:sz w:val="24"/>
          <w:szCs w:val="24"/>
        </w:rPr>
        <w:t>73</w:t>
      </w:r>
      <w:r w:rsidRPr="00C55A9F">
        <w:rPr>
          <w:sz w:val="24"/>
          <w:szCs w:val="24"/>
        </w:rPr>
        <w:t xml:space="preserve">% with an overall </w:t>
      </w:r>
      <w:r>
        <w:rPr>
          <w:sz w:val="24"/>
          <w:szCs w:val="24"/>
        </w:rPr>
        <w:t>mean</w:t>
      </w:r>
      <w:r w:rsidRPr="00C55A9F">
        <w:rPr>
          <w:sz w:val="24"/>
          <w:szCs w:val="24"/>
        </w:rPr>
        <w:t xml:space="preserve"> average of </w:t>
      </w:r>
      <w:r>
        <w:rPr>
          <w:sz w:val="24"/>
          <w:szCs w:val="24"/>
        </w:rPr>
        <w:t>86.55</w:t>
      </w:r>
      <w:r w:rsidRPr="00C55A9F">
        <w:rPr>
          <w:sz w:val="24"/>
          <w:szCs w:val="24"/>
        </w:rPr>
        <w:t xml:space="preserve">%. </w:t>
      </w:r>
      <w:r>
        <w:rPr>
          <w:sz w:val="24"/>
          <w:szCs w:val="24"/>
        </w:rPr>
        <w:t xml:space="preserve">This is a marginal increase on the </w:t>
      </w:r>
      <w:proofErr w:type="spellStart"/>
      <w:r>
        <w:rPr>
          <w:sz w:val="24"/>
          <w:szCs w:val="24"/>
        </w:rPr>
        <w:t>sectoral</w:t>
      </w:r>
      <w:proofErr w:type="spellEnd"/>
      <w:r>
        <w:rPr>
          <w:sz w:val="24"/>
          <w:szCs w:val="24"/>
        </w:rPr>
        <w:t xml:space="preserve"> </w:t>
      </w:r>
      <w:r w:rsidRPr="00C55A9F">
        <w:rPr>
          <w:sz w:val="24"/>
          <w:szCs w:val="24"/>
        </w:rPr>
        <w:t xml:space="preserve">average </w:t>
      </w:r>
      <w:r>
        <w:rPr>
          <w:sz w:val="24"/>
          <w:szCs w:val="24"/>
        </w:rPr>
        <w:t xml:space="preserve">of 86.39% </w:t>
      </w:r>
      <w:r w:rsidRPr="00C55A9F">
        <w:rPr>
          <w:sz w:val="24"/>
          <w:szCs w:val="24"/>
        </w:rPr>
        <w:t>in 2013</w:t>
      </w:r>
      <w:r>
        <w:rPr>
          <w:sz w:val="24"/>
          <w:szCs w:val="24"/>
        </w:rPr>
        <w:t xml:space="preserve"> and is a small decrease on the </w:t>
      </w:r>
      <w:r w:rsidRPr="00C55A9F">
        <w:rPr>
          <w:sz w:val="24"/>
          <w:szCs w:val="24"/>
        </w:rPr>
        <w:t>2010</w:t>
      </w:r>
      <w:r>
        <w:rPr>
          <w:sz w:val="24"/>
          <w:szCs w:val="24"/>
        </w:rPr>
        <w:t xml:space="preserve"> average of 88.39%</w:t>
      </w:r>
      <w:r w:rsidRPr="00C55A9F">
        <w:rPr>
          <w:sz w:val="24"/>
          <w:szCs w:val="24"/>
        </w:rPr>
        <w:t xml:space="preserve">. </w:t>
      </w:r>
      <w:r>
        <w:rPr>
          <w:sz w:val="24"/>
          <w:szCs w:val="24"/>
        </w:rPr>
        <w:t>In overall terms the returns show that the collection rate improved in 14 local authorities, remained static in five and decreased in 12.</w:t>
      </w:r>
    </w:p>
    <w:p w:rsidR="007C12D5" w:rsidRDefault="007C12D5" w:rsidP="007C12D5">
      <w:pPr>
        <w:jc w:val="both"/>
        <w:rPr>
          <w:rFonts w:eastAsia="Times New Roman"/>
          <w:color w:val="000000"/>
          <w:sz w:val="24"/>
          <w:szCs w:val="24"/>
          <w:lang w:val="en-GB" w:eastAsia="en-GB"/>
        </w:rPr>
      </w:pPr>
      <w:r w:rsidRPr="00C55A9F">
        <w:rPr>
          <w:rFonts w:eastAsia="Times New Roman" w:cs="Arial"/>
          <w:color w:val="000000"/>
          <w:sz w:val="24"/>
          <w:szCs w:val="24"/>
          <w:lang w:val="en-GB" w:eastAsia="en-GB"/>
        </w:rPr>
        <w:t xml:space="preserve">Local authorities operate an early intervention policy to identify accounts that are falling into arrears.  This will often involve setting up a payment </w:t>
      </w:r>
      <w:proofErr w:type="gramStart"/>
      <w:r w:rsidRPr="00C55A9F">
        <w:rPr>
          <w:rFonts w:eastAsia="Times New Roman" w:cs="Arial"/>
          <w:color w:val="000000"/>
          <w:sz w:val="24"/>
          <w:szCs w:val="24"/>
          <w:lang w:val="en-GB" w:eastAsia="en-GB"/>
        </w:rPr>
        <w:t>plan</w:t>
      </w:r>
      <w:r>
        <w:rPr>
          <w:rFonts w:eastAsia="Times New Roman" w:cs="Arial"/>
          <w:color w:val="000000"/>
          <w:sz w:val="24"/>
          <w:szCs w:val="24"/>
          <w:lang w:val="en-GB" w:eastAsia="en-GB"/>
        </w:rPr>
        <w:t>,</w:t>
      </w:r>
      <w:r w:rsidRPr="00C55A9F">
        <w:rPr>
          <w:rFonts w:eastAsia="Times New Roman" w:cs="Arial"/>
          <w:color w:val="000000"/>
          <w:sz w:val="24"/>
          <w:szCs w:val="24"/>
          <w:lang w:val="en-GB" w:eastAsia="en-GB"/>
        </w:rPr>
        <w:t xml:space="preserve"> that</w:t>
      </w:r>
      <w:proofErr w:type="gramEnd"/>
      <w:r w:rsidRPr="00C55A9F">
        <w:rPr>
          <w:rFonts w:eastAsia="Times New Roman" w:cs="Arial"/>
          <w:color w:val="000000"/>
          <w:sz w:val="24"/>
          <w:szCs w:val="24"/>
          <w:lang w:val="en-GB" w:eastAsia="en-GB"/>
        </w:rPr>
        <w:t xml:space="preserve"> is both affordable and sustainable for the tenant, to clear arrears arising.  </w:t>
      </w:r>
    </w:p>
    <w:p w:rsidR="007C12D5" w:rsidRPr="00DD67B0" w:rsidRDefault="007C12D5" w:rsidP="007C12D5">
      <w:pPr>
        <w:spacing w:after="0"/>
        <w:jc w:val="both"/>
        <w:rPr>
          <w:b/>
          <w:color w:val="1F497D" w:themeColor="text2"/>
          <w:sz w:val="24"/>
          <w:szCs w:val="24"/>
        </w:rPr>
      </w:pPr>
      <w:r w:rsidRPr="00DD67B0">
        <w:rPr>
          <w:rFonts w:ascii="Calibri" w:eastAsia="Times New Roman" w:hAnsi="Calibri"/>
          <w:b/>
          <w:color w:val="1F497D" w:themeColor="text2"/>
          <w:sz w:val="24"/>
          <w:szCs w:val="24"/>
          <w:lang w:val="en-GB" w:eastAsia="en-GB"/>
        </w:rPr>
        <w:t xml:space="preserve">Collection of </w:t>
      </w:r>
      <w:r w:rsidRPr="00DD67B0">
        <w:rPr>
          <w:b/>
          <w:color w:val="1F497D" w:themeColor="text2"/>
          <w:sz w:val="24"/>
          <w:szCs w:val="24"/>
        </w:rPr>
        <w:t xml:space="preserve">Housing </w:t>
      </w:r>
      <w:r>
        <w:rPr>
          <w:b/>
          <w:color w:val="1F497D" w:themeColor="text2"/>
          <w:sz w:val="24"/>
          <w:szCs w:val="24"/>
        </w:rPr>
        <w:t>Loans</w:t>
      </w:r>
    </w:p>
    <w:p w:rsidR="007C12D5" w:rsidRDefault="007C12D5" w:rsidP="007C12D5">
      <w:pPr>
        <w:jc w:val="both"/>
        <w:rPr>
          <w:sz w:val="24"/>
          <w:szCs w:val="24"/>
        </w:rPr>
      </w:pPr>
      <w:r w:rsidRPr="00AA34F4">
        <w:rPr>
          <w:sz w:val="24"/>
          <w:szCs w:val="24"/>
        </w:rPr>
        <w:t xml:space="preserve">The continued decline in the collection levels for housing loans reflect the challenging economic environment which prevails for local authority customers. </w:t>
      </w:r>
      <w:r w:rsidRPr="00C55A9F">
        <w:rPr>
          <w:sz w:val="24"/>
          <w:szCs w:val="24"/>
        </w:rPr>
        <w:t xml:space="preserve">The percentage of </w:t>
      </w:r>
      <w:r>
        <w:rPr>
          <w:sz w:val="24"/>
          <w:szCs w:val="24"/>
        </w:rPr>
        <w:t>collection levels for housing loans</w:t>
      </w:r>
      <w:r w:rsidRPr="00C55A9F">
        <w:rPr>
          <w:sz w:val="24"/>
          <w:szCs w:val="24"/>
        </w:rPr>
        <w:t xml:space="preserve"> collected for each city and county council in 2014 ranged from </w:t>
      </w:r>
      <w:r>
        <w:rPr>
          <w:sz w:val="24"/>
          <w:szCs w:val="24"/>
        </w:rPr>
        <w:t>98% to 42</w:t>
      </w:r>
      <w:r w:rsidRPr="00C55A9F">
        <w:rPr>
          <w:sz w:val="24"/>
          <w:szCs w:val="24"/>
        </w:rPr>
        <w:t xml:space="preserve">% with an overall </w:t>
      </w:r>
      <w:r>
        <w:rPr>
          <w:sz w:val="24"/>
          <w:szCs w:val="24"/>
        </w:rPr>
        <w:t>mean</w:t>
      </w:r>
      <w:r w:rsidRPr="00C55A9F">
        <w:rPr>
          <w:sz w:val="24"/>
          <w:szCs w:val="24"/>
        </w:rPr>
        <w:t xml:space="preserve"> average of </w:t>
      </w:r>
      <w:r>
        <w:rPr>
          <w:sz w:val="24"/>
          <w:szCs w:val="24"/>
        </w:rPr>
        <w:t>67.23</w:t>
      </w:r>
      <w:r w:rsidRPr="00C55A9F">
        <w:rPr>
          <w:sz w:val="24"/>
          <w:szCs w:val="24"/>
        </w:rPr>
        <w:t xml:space="preserve">%. </w:t>
      </w:r>
      <w:r>
        <w:rPr>
          <w:sz w:val="24"/>
          <w:szCs w:val="24"/>
        </w:rPr>
        <w:t xml:space="preserve">This is a marginal decrease on the </w:t>
      </w:r>
      <w:proofErr w:type="spellStart"/>
      <w:r>
        <w:rPr>
          <w:sz w:val="24"/>
          <w:szCs w:val="24"/>
        </w:rPr>
        <w:t>sectoral</w:t>
      </w:r>
      <w:proofErr w:type="spellEnd"/>
      <w:r>
        <w:rPr>
          <w:sz w:val="24"/>
          <w:szCs w:val="24"/>
        </w:rPr>
        <w:t xml:space="preserve"> </w:t>
      </w:r>
      <w:r w:rsidRPr="00C55A9F">
        <w:rPr>
          <w:sz w:val="24"/>
          <w:szCs w:val="24"/>
        </w:rPr>
        <w:t xml:space="preserve">average </w:t>
      </w:r>
      <w:r>
        <w:rPr>
          <w:sz w:val="24"/>
          <w:szCs w:val="24"/>
        </w:rPr>
        <w:t xml:space="preserve">of 68.03% </w:t>
      </w:r>
      <w:r w:rsidRPr="00C55A9F">
        <w:rPr>
          <w:sz w:val="24"/>
          <w:szCs w:val="24"/>
        </w:rPr>
        <w:t>in 2013</w:t>
      </w:r>
      <w:r>
        <w:rPr>
          <w:sz w:val="24"/>
          <w:szCs w:val="24"/>
        </w:rPr>
        <w:t xml:space="preserve">, and an overall decrease of 14% on the </w:t>
      </w:r>
      <w:r w:rsidRPr="00C55A9F">
        <w:rPr>
          <w:sz w:val="24"/>
          <w:szCs w:val="24"/>
        </w:rPr>
        <w:t>2010</w:t>
      </w:r>
      <w:r>
        <w:rPr>
          <w:sz w:val="24"/>
          <w:szCs w:val="24"/>
        </w:rPr>
        <w:t xml:space="preserve"> average of 78.32%</w:t>
      </w:r>
      <w:r w:rsidRPr="00C55A9F">
        <w:rPr>
          <w:sz w:val="24"/>
          <w:szCs w:val="24"/>
        </w:rPr>
        <w:t xml:space="preserve">. </w:t>
      </w:r>
      <w:r>
        <w:rPr>
          <w:sz w:val="24"/>
          <w:szCs w:val="24"/>
        </w:rPr>
        <w:t>In overall terms the returns show that the collection rate improved in eight local authorities, remained static in four and decreased in 19.</w:t>
      </w:r>
    </w:p>
    <w:p w:rsidR="007C12D5" w:rsidRPr="003D0690" w:rsidRDefault="007C12D5" w:rsidP="007C12D5">
      <w:pPr>
        <w:jc w:val="both"/>
        <w:rPr>
          <w:sz w:val="24"/>
          <w:szCs w:val="24"/>
        </w:rPr>
      </w:pPr>
      <w:r w:rsidRPr="005E7555">
        <w:rPr>
          <w:sz w:val="24"/>
          <w:szCs w:val="24"/>
        </w:rPr>
        <w:t>In the case of housing loans, local authorities acted as a ‘lender of last resort’ giving loans to individual</w:t>
      </w:r>
      <w:r>
        <w:rPr>
          <w:sz w:val="24"/>
          <w:szCs w:val="24"/>
        </w:rPr>
        <w:t>s</w:t>
      </w:r>
      <w:r w:rsidRPr="005E7555">
        <w:rPr>
          <w:sz w:val="24"/>
          <w:szCs w:val="24"/>
        </w:rPr>
        <w:t xml:space="preserve"> who otherwise would not have been in a position to get a loan from a bank or building society. Anecdotal evidence would suggest that the recent recovery in the economy </w:t>
      </w:r>
      <w:r w:rsidRPr="005E7555">
        <w:rPr>
          <w:sz w:val="24"/>
          <w:szCs w:val="24"/>
        </w:rPr>
        <w:lastRenderedPageBreak/>
        <w:t xml:space="preserve">is not reflected in the incomes of local authority borrowers with many still in negative equity and finding the repayment of loans challenging. This has a significant negative effect on housing loan arrears </w:t>
      </w:r>
      <w:r>
        <w:rPr>
          <w:sz w:val="24"/>
          <w:szCs w:val="24"/>
        </w:rPr>
        <w:t>in general.</w:t>
      </w:r>
    </w:p>
    <w:p w:rsidR="007C12D5" w:rsidRDefault="007C12D5" w:rsidP="007C12D5">
      <w:pPr>
        <w:jc w:val="both"/>
        <w:rPr>
          <w:sz w:val="24"/>
          <w:szCs w:val="24"/>
        </w:rPr>
      </w:pPr>
      <w:r w:rsidRPr="003D0690">
        <w:rPr>
          <w:sz w:val="24"/>
          <w:szCs w:val="24"/>
        </w:rPr>
        <w:t>The establishment of the Mortgage Arrears Resolution Process (MARP), a statutory framework for customers to pay arrears over a long period of time, provides a vehicle for local authority customers to agree a repayment scheme that is</w:t>
      </w:r>
      <w:r w:rsidRPr="005E7555">
        <w:rPr>
          <w:sz w:val="24"/>
          <w:szCs w:val="24"/>
        </w:rPr>
        <w:t xml:space="preserve"> fair to both the lending authority and the borrower. While the sector welcomes this arrangement it </w:t>
      </w:r>
      <w:r w:rsidRPr="003D0690">
        <w:rPr>
          <w:sz w:val="24"/>
          <w:szCs w:val="24"/>
        </w:rPr>
        <w:t xml:space="preserve">has resulted in both the period of loan repayments being extended and the value of individual repayments being decreased. </w:t>
      </w:r>
    </w:p>
    <w:p w:rsidR="00EB3EF8" w:rsidRDefault="00EB3EF8" w:rsidP="007C12D5">
      <w:pPr>
        <w:jc w:val="both"/>
        <w:rPr>
          <w:b/>
          <w:color w:val="1F497D" w:themeColor="text2"/>
          <w:sz w:val="28"/>
          <w:szCs w:val="28"/>
        </w:rPr>
      </w:pPr>
    </w:p>
    <w:p w:rsidR="007C12D5" w:rsidRPr="00EC7EEC" w:rsidRDefault="007C12D5" w:rsidP="007C12D5">
      <w:pPr>
        <w:jc w:val="both"/>
        <w:rPr>
          <w:b/>
          <w:color w:val="1F497D" w:themeColor="text2"/>
          <w:sz w:val="28"/>
          <w:szCs w:val="28"/>
        </w:rPr>
      </w:pPr>
      <w:r>
        <w:rPr>
          <w:b/>
          <w:color w:val="1F497D" w:themeColor="text2"/>
          <w:sz w:val="28"/>
          <w:szCs w:val="28"/>
        </w:rPr>
        <w:t>2.11</w:t>
      </w:r>
      <w:r>
        <w:rPr>
          <w:b/>
          <w:color w:val="1F497D" w:themeColor="text2"/>
          <w:sz w:val="28"/>
          <w:szCs w:val="28"/>
        </w:rPr>
        <w:tab/>
      </w:r>
      <w:r w:rsidRPr="005E7555">
        <w:rPr>
          <w:b/>
          <w:color w:val="1F497D" w:themeColor="text2"/>
          <w:sz w:val="28"/>
          <w:szCs w:val="28"/>
        </w:rPr>
        <w:t>Economic Development</w:t>
      </w:r>
    </w:p>
    <w:p w:rsidR="007C12D5" w:rsidRDefault="007C12D5" w:rsidP="007C12D5">
      <w:pPr>
        <w:jc w:val="both"/>
        <w:rPr>
          <w:rFonts w:cs="Arial"/>
          <w:sz w:val="24"/>
          <w:szCs w:val="24"/>
          <w:shd w:val="clear" w:color="auto" w:fill="FFFFFF"/>
        </w:rPr>
      </w:pPr>
      <w:r w:rsidRPr="00AC7EA1">
        <w:rPr>
          <w:sz w:val="24"/>
          <w:szCs w:val="24"/>
        </w:rPr>
        <w:t xml:space="preserve">Local authorities play </w:t>
      </w:r>
      <w:r>
        <w:rPr>
          <w:sz w:val="24"/>
          <w:szCs w:val="24"/>
        </w:rPr>
        <w:t>a critical</w:t>
      </w:r>
      <w:r w:rsidRPr="00AC7EA1">
        <w:rPr>
          <w:sz w:val="24"/>
          <w:szCs w:val="24"/>
        </w:rPr>
        <w:t xml:space="preserve"> role in facilitating and enabling economic development </w:t>
      </w:r>
      <w:r>
        <w:rPr>
          <w:sz w:val="24"/>
          <w:szCs w:val="24"/>
        </w:rPr>
        <w:t xml:space="preserve">across the country </w:t>
      </w:r>
      <w:r w:rsidRPr="00AC7EA1">
        <w:rPr>
          <w:sz w:val="24"/>
          <w:szCs w:val="24"/>
        </w:rPr>
        <w:t xml:space="preserve">through a broad range of direct and indirect </w:t>
      </w:r>
      <w:r>
        <w:rPr>
          <w:sz w:val="24"/>
          <w:szCs w:val="24"/>
        </w:rPr>
        <w:t>mechanisms</w:t>
      </w:r>
      <w:r w:rsidRPr="00AC7EA1">
        <w:rPr>
          <w:sz w:val="24"/>
          <w:szCs w:val="24"/>
        </w:rPr>
        <w:t>. 2014 saw</w:t>
      </w:r>
      <w:r>
        <w:rPr>
          <w:sz w:val="24"/>
          <w:szCs w:val="24"/>
        </w:rPr>
        <w:t xml:space="preserve"> this role being strengthened with the </w:t>
      </w:r>
      <w:r w:rsidRPr="00AC7EA1">
        <w:rPr>
          <w:sz w:val="24"/>
          <w:szCs w:val="24"/>
        </w:rPr>
        <w:t xml:space="preserve">establishment of </w:t>
      </w:r>
      <w:r>
        <w:rPr>
          <w:sz w:val="24"/>
          <w:szCs w:val="24"/>
        </w:rPr>
        <w:t xml:space="preserve">a </w:t>
      </w:r>
      <w:r w:rsidRPr="00AC7EA1">
        <w:rPr>
          <w:sz w:val="24"/>
          <w:szCs w:val="24"/>
        </w:rPr>
        <w:t xml:space="preserve">Local Enterprise Office </w:t>
      </w:r>
      <w:r>
        <w:rPr>
          <w:sz w:val="24"/>
          <w:szCs w:val="24"/>
        </w:rPr>
        <w:t xml:space="preserve">(LEO) </w:t>
      </w:r>
      <w:r w:rsidRPr="00AC7EA1">
        <w:rPr>
          <w:sz w:val="24"/>
          <w:szCs w:val="24"/>
        </w:rPr>
        <w:t>in every local authority to provide</w:t>
      </w:r>
      <w:r w:rsidRPr="00AC7EA1">
        <w:rPr>
          <w:rFonts w:cs="Arial"/>
          <w:sz w:val="24"/>
          <w:szCs w:val="24"/>
          <w:shd w:val="clear" w:color="auto" w:fill="FFFFFF"/>
        </w:rPr>
        <w:t xml:space="preserve"> advice, information and </w:t>
      </w:r>
      <w:r>
        <w:rPr>
          <w:rFonts w:cs="Arial"/>
          <w:sz w:val="24"/>
          <w:szCs w:val="24"/>
          <w:shd w:val="clear" w:color="auto" w:fill="FFFFFF"/>
        </w:rPr>
        <w:t xml:space="preserve">meaningful </w:t>
      </w:r>
      <w:r w:rsidRPr="00AC7EA1">
        <w:rPr>
          <w:rFonts w:cs="Arial"/>
          <w:sz w:val="24"/>
          <w:szCs w:val="24"/>
          <w:shd w:val="clear" w:color="auto" w:fill="FFFFFF"/>
        </w:rPr>
        <w:t xml:space="preserve">support </w:t>
      </w:r>
      <w:r>
        <w:rPr>
          <w:rFonts w:cs="Arial"/>
          <w:sz w:val="24"/>
          <w:szCs w:val="24"/>
          <w:shd w:val="clear" w:color="auto" w:fill="FFFFFF"/>
        </w:rPr>
        <w:t xml:space="preserve">to both start-up and growing </w:t>
      </w:r>
      <w:r w:rsidRPr="00AC7EA1">
        <w:rPr>
          <w:rFonts w:cs="Arial"/>
          <w:sz w:val="24"/>
          <w:szCs w:val="24"/>
          <w:shd w:val="clear" w:color="auto" w:fill="FFFFFF"/>
        </w:rPr>
        <w:t>business</w:t>
      </w:r>
      <w:r>
        <w:rPr>
          <w:rFonts w:cs="Arial"/>
          <w:sz w:val="24"/>
          <w:szCs w:val="24"/>
          <w:shd w:val="clear" w:color="auto" w:fill="FFFFFF"/>
        </w:rPr>
        <w:t>es</w:t>
      </w:r>
      <w:r>
        <w:rPr>
          <w:rStyle w:val="FootnoteReference"/>
          <w:rFonts w:cs="Arial"/>
          <w:sz w:val="24"/>
          <w:szCs w:val="24"/>
          <w:shd w:val="clear" w:color="auto" w:fill="FFFFFF"/>
        </w:rPr>
        <w:footnoteReference w:id="8"/>
      </w:r>
      <w:r w:rsidRPr="00AC7EA1">
        <w:rPr>
          <w:rFonts w:cs="Arial"/>
          <w:sz w:val="24"/>
          <w:szCs w:val="24"/>
          <w:shd w:val="clear" w:color="auto" w:fill="FFFFFF"/>
        </w:rPr>
        <w:t xml:space="preserve">. </w:t>
      </w:r>
    </w:p>
    <w:p w:rsidR="007C12D5" w:rsidRDefault="007C12D5" w:rsidP="007C12D5">
      <w:pPr>
        <w:jc w:val="both"/>
        <w:rPr>
          <w:sz w:val="24"/>
          <w:szCs w:val="24"/>
        </w:rPr>
      </w:pPr>
      <w:r>
        <w:rPr>
          <w:rFonts w:cs="Arial"/>
          <w:sz w:val="24"/>
          <w:szCs w:val="24"/>
          <w:shd w:val="clear" w:color="auto" w:fill="FFFFFF"/>
        </w:rPr>
        <w:t xml:space="preserve">As recorded in Table 26, 3,478.5 </w:t>
      </w:r>
      <w:r>
        <w:rPr>
          <w:sz w:val="24"/>
          <w:szCs w:val="24"/>
        </w:rPr>
        <w:t xml:space="preserve">new </w:t>
      </w:r>
      <w:r w:rsidRPr="00AC7EA1">
        <w:rPr>
          <w:sz w:val="24"/>
          <w:szCs w:val="24"/>
        </w:rPr>
        <w:t xml:space="preserve">jobs </w:t>
      </w:r>
      <w:r>
        <w:rPr>
          <w:sz w:val="24"/>
          <w:szCs w:val="24"/>
        </w:rPr>
        <w:t xml:space="preserve">were </w:t>
      </w:r>
      <w:r w:rsidRPr="00AC7EA1">
        <w:rPr>
          <w:sz w:val="24"/>
          <w:szCs w:val="24"/>
        </w:rPr>
        <w:t xml:space="preserve">created with </w:t>
      </w:r>
      <w:r>
        <w:rPr>
          <w:sz w:val="24"/>
          <w:szCs w:val="24"/>
        </w:rPr>
        <w:t xml:space="preserve">the </w:t>
      </w:r>
      <w:r w:rsidRPr="00AC7EA1">
        <w:rPr>
          <w:sz w:val="24"/>
          <w:szCs w:val="24"/>
        </w:rPr>
        <w:t xml:space="preserve">assistance </w:t>
      </w:r>
      <w:r>
        <w:rPr>
          <w:sz w:val="24"/>
          <w:szCs w:val="24"/>
        </w:rPr>
        <w:t xml:space="preserve">of LEOs during 2014. This figure relates to new jobs, and does not take account of employment that was sustained or opportunities that were created through training, mentoring and development programmes run by the LEOs.  Looking ahead, this indicator has the potential to be broadened to capture not just the performance of LEOs in grant assisted job creation but in the wider function of support and promotion of local enterprise. </w:t>
      </w:r>
    </w:p>
    <w:p w:rsidR="00EB3EF8" w:rsidRDefault="00EB3EF8" w:rsidP="007C12D5">
      <w:pPr>
        <w:jc w:val="both"/>
        <w:rPr>
          <w:b/>
          <w:color w:val="1F497D" w:themeColor="text2"/>
          <w:sz w:val="28"/>
          <w:szCs w:val="28"/>
        </w:rPr>
      </w:pPr>
    </w:p>
    <w:p w:rsidR="007C12D5" w:rsidRPr="00DD67B0" w:rsidRDefault="007C12D5" w:rsidP="007C12D5">
      <w:pPr>
        <w:jc w:val="both"/>
        <w:rPr>
          <w:b/>
          <w:color w:val="1F497D" w:themeColor="text2"/>
          <w:sz w:val="28"/>
          <w:szCs w:val="28"/>
        </w:rPr>
      </w:pPr>
      <w:r w:rsidRPr="00DD67B0">
        <w:rPr>
          <w:b/>
          <w:color w:val="1F497D" w:themeColor="text2"/>
          <w:sz w:val="28"/>
          <w:szCs w:val="28"/>
        </w:rPr>
        <w:t>2.12</w:t>
      </w:r>
      <w:r w:rsidRPr="00DD67B0">
        <w:rPr>
          <w:b/>
          <w:color w:val="1F497D" w:themeColor="text2"/>
          <w:sz w:val="28"/>
          <w:szCs w:val="28"/>
        </w:rPr>
        <w:tab/>
        <w:t xml:space="preserve">Conclusion </w:t>
      </w:r>
    </w:p>
    <w:p w:rsidR="007C12D5" w:rsidRDefault="007C12D5" w:rsidP="007C12D5">
      <w:pPr>
        <w:jc w:val="both"/>
        <w:rPr>
          <w:rFonts w:cs="Arial"/>
          <w:sz w:val="24"/>
          <w:szCs w:val="24"/>
        </w:rPr>
      </w:pPr>
      <w:r w:rsidRPr="00AE54CA">
        <w:rPr>
          <w:sz w:val="24"/>
          <w:szCs w:val="24"/>
        </w:rPr>
        <w:t>This</w:t>
      </w:r>
      <w:r>
        <w:rPr>
          <w:sz w:val="24"/>
          <w:szCs w:val="24"/>
        </w:rPr>
        <w:t xml:space="preserve"> r</w:t>
      </w:r>
      <w:r w:rsidRPr="00AE54CA">
        <w:rPr>
          <w:sz w:val="24"/>
          <w:szCs w:val="24"/>
        </w:rPr>
        <w:t xml:space="preserve">eport </w:t>
      </w:r>
      <w:r>
        <w:rPr>
          <w:sz w:val="24"/>
          <w:szCs w:val="24"/>
        </w:rPr>
        <w:t>documents the performance of local authorities in the implementation of the wide range of functions they provide</w:t>
      </w:r>
      <w:r w:rsidRPr="00AE54CA">
        <w:rPr>
          <w:sz w:val="24"/>
          <w:szCs w:val="24"/>
        </w:rPr>
        <w:t xml:space="preserve"> and </w:t>
      </w:r>
      <w:r>
        <w:rPr>
          <w:sz w:val="24"/>
          <w:szCs w:val="24"/>
        </w:rPr>
        <w:t>gives valuable insight into the ways and means these services are delivered. The</w:t>
      </w:r>
      <w:r w:rsidRPr="00AE54CA">
        <w:rPr>
          <w:sz w:val="24"/>
          <w:szCs w:val="24"/>
        </w:rPr>
        <w:t xml:space="preserve"> </w:t>
      </w:r>
      <w:r w:rsidRPr="00AE54CA">
        <w:rPr>
          <w:rFonts w:cs="Arial"/>
          <w:sz w:val="24"/>
          <w:szCs w:val="24"/>
        </w:rPr>
        <w:t>data reflects performance at a set point in time and provide</w:t>
      </w:r>
      <w:r>
        <w:rPr>
          <w:rFonts w:cs="Arial"/>
          <w:sz w:val="24"/>
          <w:szCs w:val="24"/>
        </w:rPr>
        <w:t>s</w:t>
      </w:r>
      <w:r w:rsidRPr="00AE54CA">
        <w:rPr>
          <w:rFonts w:cs="Arial"/>
          <w:sz w:val="24"/>
          <w:szCs w:val="24"/>
        </w:rPr>
        <w:t xml:space="preserve"> a baseline from which future performance can be measured, emerging trends and issues can be assessed and comparisons between local authority performances can be made.</w:t>
      </w:r>
      <w:r>
        <w:rPr>
          <w:rFonts w:cs="Arial"/>
          <w:sz w:val="24"/>
          <w:szCs w:val="24"/>
        </w:rPr>
        <w:t xml:space="preserve"> In a number of cases however the value of the data gathered and the methodology used to gather it requires further refinement to ensure relevance to the measurement of </w:t>
      </w:r>
      <w:r>
        <w:rPr>
          <w:rFonts w:cs="Arial"/>
          <w:sz w:val="24"/>
          <w:szCs w:val="24"/>
        </w:rPr>
        <w:lastRenderedPageBreak/>
        <w:t xml:space="preserve">performance within the local authorities. This is particularly the case with regard to the roads, community and finance indicators. </w:t>
      </w:r>
    </w:p>
    <w:p w:rsidR="007C12D5" w:rsidRPr="00AE54CA" w:rsidRDefault="007C12D5" w:rsidP="007C12D5">
      <w:pPr>
        <w:jc w:val="both"/>
        <w:rPr>
          <w:sz w:val="24"/>
          <w:szCs w:val="24"/>
        </w:rPr>
      </w:pPr>
      <w:r w:rsidRPr="00AE54CA">
        <w:rPr>
          <w:rStyle w:val="apple-converted-space"/>
          <w:rFonts w:cs="Segoe UI"/>
          <w:color w:val="000000"/>
          <w:sz w:val="24"/>
          <w:szCs w:val="24"/>
          <w:shd w:val="clear" w:color="auto" w:fill="FFFFFF"/>
        </w:rPr>
        <w:t>Tracking the indicators will give stakeholders </w:t>
      </w:r>
      <w:r w:rsidRPr="00AE54CA">
        <w:rPr>
          <w:rFonts w:cs="Segoe UI"/>
          <w:color w:val="000000"/>
          <w:sz w:val="24"/>
          <w:szCs w:val="24"/>
          <w:shd w:val="clear" w:color="auto" w:fill="FFFFFF"/>
        </w:rPr>
        <w:t xml:space="preserve">a tool to </w:t>
      </w:r>
      <w:r>
        <w:rPr>
          <w:rFonts w:cs="Segoe UI"/>
          <w:color w:val="000000"/>
          <w:sz w:val="24"/>
          <w:szCs w:val="24"/>
          <w:shd w:val="clear" w:color="auto" w:fill="FFFFFF"/>
        </w:rPr>
        <w:t xml:space="preserve">identity </w:t>
      </w:r>
      <w:r w:rsidRPr="00AE54CA">
        <w:rPr>
          <w:rFonts w:cs="Segoe UI"/>
          <w:color w:val="000000"/>
          <w:sz w:val="24"/>
          <w:szCs w:val="24"/>
          <w:shd w:val="clear" w:color="auto" w:fill="FFFFFF"/>
        </w:rPr>
        <w:t>where change is happening, and</w:t>
      </w:r>
      <w:r>
        <w:rPr>
          <w:rFonts w:cs="Segoe UI"/>
          <w:color w:val="000000"/>
          <w:sz w:val="24"/>
          <w:szCs w:val="24"/>
          <w:shd w:val="clear" w:color="auto" w:fill="FFFFFF"/>
        </w:rPr>
        <w:t>,</w:t>
      </w:r>
      <w:r w:rsidRPr="00AE54CA">
        <w:rPr>
          <w:rFonts w:cs="Segoe UI"/>
          <w:color w:val="000000"/>
          <w:sz w:val="24"/>
          <w:szCs w:val="24"/>
          <w:shd w:val="clear" w:color="auto" w:fill="FFFFFF"/>
        </w:rPr>
        <w:t xml:space="preserve"> as appropriate, address the underlying cause or make use of the opportunities it presents</w:t>
      </w:r>
      <w:r w:rsidRPr="00AE54CA">
        <w:rPr>
          <w:sz w:val="24"/>
          <w:szCs w:val="24"/>
        </w:rPr>
        <w:t xml:space="preserve"> to take informed future-orientated action. </w:t>
      </w:r>
      <w:r>
        <w:rPr>
          <w:sz w:val="24"/>
          <w:szCs w:val="24"/>
        </w:rPr>
        <w:t xml:space="preserve">The LGMA looks forward to its continued involvement in this process. </w:t>
      </w:r>
    </w:p>
    <w:p w:rsidR="007C12D5" w:rsidRDefault="007C12D5" w:rsidP="007C12D5">
      <w:pPr>
        <w:rPr>
          <w:sz w:val="24"/>
          <w:szCs w:val="24"/>
        </w:rPr>
      </w:pPr>
    </w:p>
    <w:p w:rsidR="007C12D5" w:rsidRDefault="007C12D5" w:rsidP="007C12D5">
      <w:pPr>
        <w:rPr>
          <w:sz w:val="24"/>
          <w:szCs w:val="24"/>
        </w:rPr>
      </w:pPr>
    </w:p>
    <w:p w:rsidR="007C12D5" w:rsidRDefault="007C12D5" w:rsidP="007C12D5">
      <w:pPr>
        <w:rPr>
          <w:sz w:val="24"/>
          <w:szCs w:val="24"/>
        </w:rPr>
      </w:pPr>
    </w:p>
    <w:p w:rsidR="00EF61E3" w:rsidRPr="007C12D5" w:rsidRDefault="00EF61E3">
      <w:pPr>
        <w:rPr>
          <w:rFonts w:ascii="Calibri" w:eastAsia="Times New Roman" w:hAnsi="Calibri" w:cs="Calibri"/>
          <w:b/>
          <w:bCs/>
          <w:color w:val="1F497D" w:themeColor="text2"/>
          <w:sz w:val="28"/>
          <w:szCs w:val="28"/>
          <w:lang w:eastAsia="en-IE"/>
        </w:rPr>
      </w:pPr>
    </w:p>
    <w:sectPr w:rsidR="00EF61E3" w:rsidRPr="007C12D5" w:rsidSect="004A0DD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CA3" w:rsidRDefault="005F6CA3" w:rsidP="00820CE8">
      <w:pPr>
        <w:spacing w:after="0" w:line="240" w:lineRule="auto"/>
      </w:pPr>
      <w:r>
        <w:separator/>
      </w:r>
    </w:p>
  </w:endnote>
  <w:endnote w:type="continuationSeparator" w:id="0">
    <w:p w:rsidR="005F6CA3" w:rsidRDefault="005F6CA3" w:rsidP="0082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04" w:rsidRDefault="008D6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A3" w:rsidRPr="00820CE8" w:rsidRDefault="005F6CA3" w:rsidP="00EF61E3">
    <w:pPr>
      <w:pStyle w:val="Footer"/>
      <w:pBdr>
        <w:top w:val="single" w:sz="4" w:space="1" w:color="D9D9D9" w:themeColor="background1" w:themeShade="D9"/>
      </w:pBdr>
      <w:jc w:val="both"/>
      <w:rPr>
        <w:b/>
      </w:rPr>
    </w:pPr>
    <w:r>
      <w:tab/>
    </w:r>
    <w:sdt>
      <w:sdtPr>
        <w:id w:val="185252924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5807E3" w:rsidRPr="005807E3">
          <w:rPr>
            <w:b/>
            <w:noProof/>
          </w:rPr>
          <w:t>1</w:t>
        </w:r>
        <w:r>
          <w:rPr>
            <w:b/>
            <w:noProof/>
          </w:rPr>
          <w:fldChar w:fldCharType="end"/>
        </w:r>
        <w:r>
          <w:rPr>
            <w:b/>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04" w:rsidRDefault="008D6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CA3" w:rsidRDefault="005F6CA3" w:rsidP="00820CE8">
      <w:pPr>
        <w:spacing w:after="0" w:line="240" w:lineRule="auto"/>
      </w:pPr>
      <w:r>
        <w:separator/>
      </w:r>
    </w:p>
  </w:footnote>
  <w:footnote w:type="continuationSeparator" w:id="0">
    <w:p w:rsidR="005F6CA3" w:rsidRDefault="005F6CA3" w:rsidP="00820CE8">
      <w:pPr>
        <w:spacing w:after="0" w:line="240" w:lineRule="auto"/>
      </w:pPr>
      <w:r>
        <w:continuationSeparator/>
      </w:r>
    </w:p>
  </w:footnote>
  <w:footnote w:id="1">
    <w:p w:rsidR="005F6CA3" w:rsidRPr="004F3355" w:rsidRDefault="005F6CA3" w:rsidP="007C12D5">
      <w:pPr>
        <w:pStyle w:val="FootnoteText"/>
        <w:rPr>
          <w:rFonts w:asciiTheme="minorHAnsi" w:hAnsiTheme="minorHAnsi"/>
          <w:sz w:val="18"/>
          <w:szCs w:val="18"/>
        </w:rPr>
      </w:pPr>
      <w:r w:rsidRPr="005E7555">
        <w:rPr>
          <w:rStyle w:val="FootnoteReference"/>
          <w:rFonts w:asciiTheme="minorHAnsi" w:hAnsiTheme="minorHAnsi"/>
          <w:sz w:val="18"/>
          <w:szCs w:val="18"/>
        </w:rPr>
        <w:footnoteRef/>
      </w:r>
      <w:r w:rsidRPr="005E7555">
        <w:rPr>
          <w:rFonts w:asciiTheme="minorHAnsi" w:hAnsiTheme="minorHAnsi"/>
          <w:sz w:val="18"/>
          <w:szCs w:val="18"/>
        </w:rPr>
        <w:t xml:space="preserve"> Putting People First – Action Programme for Effective Local Government (</w:t>
      </w:r>
      <w:r>
        <w:rPr>
          <w:rFonts w:asciiTheme="minorHAnsi" w:hAnsiTheme="minorHAnsi"/>
          <w:sz w:val="18"/>
          <w:szCs w:val="18"/>
        </w:rPr>
        <w:t xml:space="preserve">Department of the Environment, Community and Local Government </w:t>
      </w:r>
      <w:r w:rsidRPr="005E7555">
        <w:rPr>
          <w:rFonts w:asciiTheme="minorHAnsi" w:hAnsiTheme="minorHAnsi"/>
          <w:sz w:val="18"/>
          <w:szCs w:val="18"/>
        </w:rPr>
        <w:t>2012)</w:t>
      </w:r>
    </w:p>
  </w:footnote>
  <w:footnote w:id="2">
    <w:p w:rsidR="005F6CA3" w:rsidRPr="00D71A7B" w:rsidRDefault="005F6CA3" w:rsidP="007C12D5">
      <w:pPr>
        <w:pStyle w:val="FootnoteText"/>
        <w:rPr>
          <w:rFonts w:asciiTheme="minorHAnsi" w:hAnsiTheme="minorHAnsi"/>
          <w:sz w:val="18"/>
          <w:szCs w:val="18"/>
        </w:rPr>
      </w:pPr>
      <w:r>
        <w:rPr>
          <w:rStyle w:val="FootnoteReference"/>
        </w:rPr>
        <w:footnoteRef/>
      </w:r>
      <w:r w:rsidRPr="00D71A7B">
        <w:rPr>
          <w:rFonts w:asciiTheme="minorHAnsi" w:hAnsiTheme="minorHAnsi"/>
          <w:sz w:val="18"/>
          <w:szCs w:val="18"/>
        </w:rPr>
        <w:t xml:space="preserve">Kilkenny, Cork, Louth and Monaghan County Councils and Waterford City and County Council  </w:t>
      </w:r>
    </w:p>
  </w:footnote>
  <w:footnote w:id="3">
    <w:p w:rsidR="005F6CA3" w:rsidRPr="003A31E7" w:rsidRDefault="005F6CA3" w:rsidP="007C12D5">
      <w:pPr>
        <w:pStyle w:val="FootnoteText"/>
        <w:rPr>
          <w:rFonts w:asciiTheme="minorHAnsi" w:hAnsiTheme="minorHAnsi"/>
          <w:sz w:val="18"/>
          <w:szCs w:val="18"/>
        </w:rPr>
      </w:pPr>
      <w:r>
        <w:rPr>
          <w:rStyle w:val="FootnoteReference"/>
        </w:rPr>
        <w:footnoteRef/>
      </w:r>
      <w:r>
        <w:t xml:space="preserve"> </w:t>
      </w:r>
      <w:r w:rsidRPr="003A31E7">
        <w:rPr>
          <w:rFonts w:asciiTheme="minorHAnsi" w:hAnsiTheme="minorHAnsi"/>
          <w:sz w:val="18"/>
          <w:szCs w:val="18"/>
        </w:rPr>
        <w:t xml:space="preserve">Cork City Council, Dun Laoghaire </w:t>
      </w:r>
      <w:proofErr w:type="spellStart"/>
      <w:r w:rsidRPr="003A31E7">
        <w:rPr>
          <w:rFonts w:asciiTheme="minorHAnsi" w:hAnsiTheme="minorHAnsi"/>
          <w:sz w:val="18"/>
          <w:szCs w:val="18"/>
        </w:rPr>
        <w:t>Rathdown</w:t>
      </w:r>
      <w:proofErr w:type="spellEnd"/>
      <w:r w:rsidRPr="003A31E7">
        <w:rPr>
          <w:rFonts w:asciiTheme="minorHAnsi" w:hAnsiTheme="minorHAnsi"/>
          <w:sz w:val="18"/>
          <w:szCs w:val="18"/>
        </w:rPr>
        <w:t xml:space="preserve">, </w:t>
      </w:r>
      <w:proofErr w:type="spellStart"/>
      <w:r w:rsidRPr="003A31E7">
        <w:rPr>
          <w:rFonts w:asciiTheme="minorHAnsi" w:hAnsiTheme="minorHAnsi"/>
          <w:sz w:val="18"/>
          <w:szCs w:val="18"/>
        </w:rPr>
        <w:t>Fingal</w:t>
      </w:r>
      <w:proofErr w:type="spellEnd"/>
      <w:r w:rsidRPr="003A31E7">
        <w:rPr>
          <w:rFonts w:asciiTheme="minorHAnsi" w:hAnsiTheme="minorHAnsi"/>
          <w:sz w:val="18"/>
          <w:szCs w:val="18"/>
        </w:rPr>
        <w:t>, Meath and South Dublin County Council did not undertake the PSCI survey in 2014</w:t>
      </w:r>
    </w:p>
  </w:footnote>
  <w:footnote w:id="4">
    <w:p w:rsidR="005F6CA3" w:rsidRPr="00FD3530" w:rsidRDefault="005F6CA3" w:rsidP="007C12D5">
      <w:pPr>
        <w:pStyle w:val="FootnoteText"/>
        <w:rPr>
          <w:rFonts w:asciiTheme="minorHAnsi" w:hAnsiTheme="minorHAnsi"/>
          <w:sz w:val="18"/>
          <w:szCs w:val="18"/>
        </w:rPr>
      </w:pPr>
      <w:r>
        <w:rPr>
          <w:rStyle w:val="FootnoteReference"/>
        </w:rPr>
        <w:footnoteRef/>
      </w:r>
      <w:r>
        <w:t xml:space="preserve"> </w:t>
      </w:r>
      <w:r w:rsidRPr="00FD3530">
        <w:rPr>
          <w:rFonts w:asciiTheme="minorHAnsi" w:hAnsiTheme="minorHAnsi"/>
          <w:sz w:val="18"/>
          <w:szCs w:val="18"/>
        </w:rPr>
        <w:t xml:space="preserve">In this case per capita costs are based on the </w:t>
      </w:r>
      <w:r>
        <w:rPr>
          <w:rFonts w:asciiTheme="minorHAnsi" w:hAnsiTheme="minorHAnsi"/>
          <w:sz w:val="18"/>
          <w:szCs w:val="18"/>
        </w:rPr>
        <w:t xml:space="preserve">2011 Census figures for the </w:t>
      </w:r>
      <w:r w:rsidRPr="00FD3530">
        <w:rPr>
          <w:rFonts w:asciiTheme="minorHAnsi" w:hAnsiTheme="minorHAnsi"/>
          <w:sz w:val="18"/>
          <w:szCs w:val="18"/>
        </w:rPr>
        <w:t xml:space="preserve">population served by the fire service in question and not the 2011 census figures </w:t>
      </w:r>
      <w:r>
        <w:rPr>
          <w:rFonts w:asciiTheme="minorHAnsi" w:hAnsiTheme="minorHAnsi"/>
          <w:sz w:val="18"/>
          <w:szCs w:val="18"/>
        </w:rPr>
        <w:t xml:space="preserve">relating to the administrative area </w:t>
      </w:r>
      <w:r w:rsidRPr="00FD3530">
        <w:rPr>
          <w:rFonts w:asciiTheme="minorHAnsi" w:hAnsiTheme="minorHAnsi"/>
          <w:sz w:val="18"/>
          <w:szCs w:val="18"/>
        </w:rPr>
        <w:t xml:space="preserve">as used for calculating the per capita cost of planning and libraries. </w:t>
      </w:r>
    </w:p>
  </w:footnote>
  <w:footnote w:id="5">
    <w:p w:rsidR="005F6CA3" w:rsidRPr="00145CAD" w:rsidRDefault="005F6CA3" w:rsidP="007C12D5">
      <w:pPr>
        <w:pStyle w:val="FootnoteText"/>
        <w:rPr>
          <w:rFonts w:asciiTheme="minorHAnsi" w:hAnsiTheme="minorHAnsi"/>
          <w:sz w:val="18"/>
          <w:szCs w:val="18"/>
        </w:rPr>
      </w:pPr>
      <w:r w:rsidRPr="00145CAD">
        <w:rPr>
          <w:rStyle w:val="FootnoteReference"/>
          <w:rFonts w:asciiTheme="minorHAnsi" w:hAnsiTheme="minorHAnsi"/>
          <w:sz w:val="18"/>
          <w:szCs w:val="18"/>
        </w:rPr>
        <w:footnoteRef/>
      </w:r>
      <w:r w:rsidRPr="00145CAD">
        <w:rPr>
          <w:rFonts w:asciiTheme="minorHAnsi" w:hAnsiTheme="minorHAnsi"/>
          <w:sz w:val="18"/>
          <w:szCs w:val="18"/>
        </w:rPr>
        <w:t xml:space="preserve"> This is the composite figure compiled from the data submitted by local authorities for the Performance Indicator Report. Figures for 2010 – 2013 are sourced </w:t>
      </w:r>
      <w:proofErr w:type="gramStart"/>
      <w:r w:rsidRPr="00145CAD">
        <w:rPr>
          <w:rFonts w:asciiTheme="minorHAnsi" w:hAnsiTheme="minorHAnsi"/>
          <w:sz w:val="18"/>
          <w:szCs w:val="18"/>
        </w:rPr>
        <w:t xml:space="preserve">from  </w:t>
      </w:r>
      <w:proofErr w:type="gramEnd"/>
      <w:hyperlink r:id="rId1" w:history="1">
        <w:r w:rsidRPr="00145CAD">
          <w:rPr>
            <w:rStyle w:val="Hyperlink"/>
            <w:rFonts w:asciiTheme="minorHAnsi" w:hAnsiTheme="minorHAnsi"/>
            <w:sz w:val="18"/>
            <w:szCs w:val="18"/>
          </w:rPr>
          <w:t>http://databank.per.gov.ie/</w:t>
        </w:r>
      </w:hyperlink>
      <w:r>
        <w:rPr>
          <w:rFonts w:asciiTheme="minorHAnsi" w:hAnsiTheme="minorHAnsi"/>
          <w:sz w:val="18"/>
          <w:szCs w:val="18"/>
        </w:rPr>
        <w:t xml:space="preserve">. </w:t>
      </w:r>
    </w:p>
  </w:footnote>
  <w:footnote w:id="6">
    <w:p w:rsidR="005F6CA3" w:rsidRDefault="005F6CA3" w:rsidP="007C12D5">
      <w:pPr>
        <w:pStyle w:val="FootnoteText"/>
      </w:pPr>
      <w:r>
        <w:rPr>
          <w:rStyle w:val="FootnoteReference"/>
        </w:rPr>
        <w:footnoteRef/>
      </w:r>
      <w:r>
        <w:t xml:space="preserve"> </w:t>
      </w:r>
      <w:r w:rsidRPr="00F35333">
        <w:rPr>
          <w:rFonts w:asciiTheme="minorHAnsi" w:hAnsiTheme="minorHAnsi"/>
          <w:sz w:val="18"/>
          <w:szCs w:val="18"/>
        </w:rPr>
        <w:t>http://databank.per.gov.ie/Public_Service_Numbers.aspx?rep=SectorTrend</w:t>
      </w:r>
    </w:p>
  </w:footnote>
  <w:footnote w:id="7">
    <w:p w:rsidR="005F6CA3" w:rsidRPr="004F43F1" w:rsidRDefault="005F6CA3" w:rsidP="007C12D5">
      <w:pPr>
        <w:pStyle w:val="FootnoteText"/>
        <w:rPr>
          <w:rFonts w:asciiTheme="minorHAnsi" w:hAnsiTheme="minorHAnsi"/>
          <w:sz w:val="18"/>
          <w:szCs w:val="18"/>
          <w:lang w:val="en-GB"/>
        </w:rPr>
      </w:pPr>
      <w:r w:rsidRPr="004F43F1">
        <w:rPr>
          <w:rStyle w:val="FootnoteReference"/>
          <w:rFonts w:asciiTheme="minorHAnsi" w:hAnsiTheme="minorHAnsi"/>
          <w:sz w:val="18"/>
          <w:szCs w:val="18"/>
        </w:rPr>
        <w:footnoteRef/>
      </w:r>
      <w:r w:rsidRPr="004F43F1">
        <w:rPr>
          <w:rFonts w:asciiTheme="minorHAnsi" w:hAnsiTheme="minorHAnsi"/>
          <w:sz w:val="18"/>
          <w:szCs w:val="18"/>
        </w:rPr>
        <w:t xml:space="preserve"> </w:t>
      </w:r>
      <w:r w:rsidRPr="004F43F1">
        <w:rPr>
          <w:rFonts w:asciiTheme="minorHAnsi" w:hAnsiTheme="minorHAnsi"/>
          <w:sz w:val="18"/>
          <w:szCs w:val="18"/>
          <w:lang w:val="en-GB"/>
        </w:rPr>
        <w:t xml:space="preserve">Ref DECLG VFM Report 2013 </w:t>
      </w:r>
    </w:p>
  </w:footnote>
  <w:footnote w:id="8">
    <w:p w:rsidR="005F6CA3" w:rsidRPr="00564734" w:rsidRDefault="005F6CA3" w:rsidP="007C12D5">
      <w:pPr>
        <w:rPr>
          <w:rFonts w:cs="Arial"/>
          <w:sz w:val="18"/>
          <w:szCs w:val="18"/>
          <w:shd w:val="clear" w:color="auto" w:fill="FFFFFF"/>
        </w:rPr>
      </w:pPr>
      <w:r w:rsidRPr="00564734">
        <w:rPr>
          <w:rStyle w:val="FootnoteReference"/>
          <w:sz w:val="18"/>
          <w:szCs w:val="18"/>
        </w:rPr>
        <w:footnoteRef/>
      </w:r>
      <w:r w:rsidRPr="00564734">
        <w:rPr>
          <w:sz w:val="18"/>
          <w:szCs w:val="18"/>
        </w:rPr>
        <w:t xml:space="preserve"> The Local Enterprise Offices (LEOs) were established on the 15th April 2014 upon the dissolution of the County Enterprise Boards. Services areas formerly delivered by the CEB were then integrated into mainstream Local Authority Services and enhanced.</w:t>
      </w:r>
    </w:p>
    <w:p w:rsidR="005F6CA3" w:rsidRPr="00564734" w:rsidRDefault="005F6CA3" w:rsidP="007C12D5">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04" w:rsidRDefault="008D6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04" w:rsidRDefault="008D6D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04" w:rsidRDefault="008D6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F09F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4C00FD"/>
    <w:multiLevelType w:val="hybridMultilevel"/>
    <w:tmpl w:val="32D80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9A418B4"/>
    <w:multiLevelType w:val="hybridMultilevel"/>
    <w:tmpl w:val="BA04B3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E156E0"/>
    <w:multiLevelType w:val="hybridMultilevel"/>
    <w:tmpl w:val="1C1A6BB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
    <w:nsid w:val="0D1B7044"/>
    <w:multiLevelType w:val="hybridMultilevel"/>
    <w:tmpl w:val="5CB87A6C"/>
    <w:lvl w:ilvl="0" w:tplc="22EC0DFA">
      <w:numFmt w:val="bullet"/>
      <w:lvlText w:val="-"/>
      <w:lvlJc w:val="left"/>
      <w:pPr>
        <w:ind w:left="720" w:hanging="360"/>
      </w:pPr>
      <w:rPr>
        <w:rFonts w:ascii="Calibri" w:eastAsia="Times New Roman" w:hAnsi="Calibri"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nsid w:val="0E8E157E"/>
    <w:multiLevelType w:val="hybridMultilevel"/>
    <w:tmpl w:val="45EA7906"/>
    <w:lvl w:ilvl="0" w:tplc="74C63130">
      <w:numFmt w:val="bullet"/>
      <w:lvlText w:val="-"/>
      <w:lvlJc w:val="left"/>
      <w:pPr>
        <w:ind w:left="720" w:hanging="360"/>
      </w:pPr>
      <w:rPr>
        <w:rFonts w:ascii="Calibri" w:eastAsia="Times New Roman" w:hAnsi="Calibri"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A9042CE"/>
    <w:multiLevelType w:val="hybridMultilevel"/>
    <w:tmpl w:val="40B85E90"/>
    <w:lvl w:ilvl="0" w:tplc="536A8FE0">
      <w:start w:val="1"/>
      <w:numFmt w:val="bullet"/>
      <w:lvlText w:val=""/>
      <w:lvlJc w:val="left"/>
      <w:pPr>
        <w:ind w:left="720" w:hanging="360"/>
      </w:pPr>
      <w:rPr>
        <w:rFonts w:ascii="Symbol" w:hAnsi="Symbol" w:hint="default"/>
        <w:u w:color="1F497D" w:themeColor="tex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FCC0617"/>
    <w:multiLevelType w:val="hybridMultilevel"/>
    <w:tmpl w:val="AC70D472"/>
    <w:lvl w:ilvl="0" w:tplc="6E2CEC8A">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52A6684"/>
    <w:multiLevelType w:val="hybridMultilevel"/>
    <w:tmpl w:val="5DC00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5352C20"/>
    <w:multiLevelType w:val="hybridMultilevel"/>
    <w:tmpl w:val="133E9664"/>
    <w:lvl w:ilvl="0" w:tplc="E266DE7E">
      <w:start w:val="2014"/>
      <w:numFmt w:val="bullet"/>
      <w:lvlText w:val="-"/>
      <w:lvlJc w:val="left"/>
      <w:pPr>
        <w:ind w:left="720" w:hanging="360"/>
      </w:pPr>
      <w:rPr>
        <w:rFonts w:ascii="Calibri" w:eastAsia="MS Mincho"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7701C11"/>
    <w:multiLevelType w:val="hybridMultilevel"/>
    <w:tmpl w:val="666CC32A"/>
    <w:lvl w:ilvl="0" w:tplc="03ECD36C">
      <w:start w:val="20"/>
      <w:numFmt w:val="bullet"/>
      <w:lvlText w:val="-"/>
      <w:lvlJc w:val="left"/>
      <w:pPr>
        <w:ind w:left="720" w:hanging="360"/>
      </w:pPr>
      <w:rPr>
        <w:rFonts w:ascii="Calibri" w:eastAsia="MS Mincho"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89A654C"/>
    <w:multiLevelType w:val="hybridMultilevel"/>
    <w:tmpl w:val="62806244"/>
    <w:lvl w:ilvl="0" w:tplc="B4CA35D4">
      <w:start w:val="115"/>
      <w:numFmt w:val="bullet"/>
      <w:lvlText w:val="-"/>
      <w:lvlJc w:val="left"/>
      <w:pPr>
        <w:ind w:left="720" w:hanging="360"/>
      </w:pPr>
      <w:rPr>
        <w:rFonts w:ascii="Calibri" w:eastAsia="MS Mincho"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D6D6A3F"/>
    <w:multiLevelType w:val="multilevel"/>
    <w:tmpl w:val="5F5E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88674F"/>
    <w:multiLevelType w:val="hybridMultilevel"/>
    <w:tmpl w:val="AC2A5F60"/>
    <w:lvl w:ilvl="0" w:tplc="5CBACB74">
      <w:start w:val="19"/>
      <w:numFmt w:val="bullet"/>
      <w:lvlText w:val="-"/>
      <w:lvlJc w:val="left"/>
      <w:pPr>
        <w:ind w:left="720" w:hanging="360"/>
      </w:pPr>
      <w:rPr>
        <w:rFonts w:ascii="Calibri" w:eastAsiaTheme="minorHAns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7AA3415"/>
    <w:multiLevelType w:val="hybridMultilevel"/>
    <w:tmpl w:val="AF20CC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F7E064F"/>
    <w:multiLevelType w:val="hybridMultilevel"/>
    <w:tmpl w:val="74845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665540"/>
    <w:multiLevelType w:val="hybridMultilevel"/>
    <w:tmpl w:val="5A04B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1DF402B"/>
    <w:multiLevelType w:val="hybridMultilevel"/>
    <w:tmpl w:val="FEC8E336"/>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46CB1EF8"/>
    <w:multiLevelType w:val="hybridMultilevel"/>
    <w:tmpl w:val="82544234"/>
    <w:lvl w:ilvl="0" w:tplc="536A8FE0">
      <w:start w:val="1"/>
      <w:numFmt w:val="bullet"/>
      <w:lvlText w:val=""/>
      <w:lvlJc w:val="left"/>
      <w:pPr>
        <w:ind w:left="1080" w:hanging="360"/>
      </w:pPr>
      <w:rPr>
        <w:rFonts w:ascii="Symbol" w:hAnsi="Symbol" w:hint="default"/>
        <w:u w:color="1F497D" w:themeColor="text2"/>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4C2C05D7"/>
    <w:multiLevelType w:val="hybridMultilevel"/>
    <w:tmpl w:val="7E32D5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EC35670"/>
    <w:multiLevelType w:val="hybridMultilevel"/>
    <w:tmpl w:val="B43ACDA6"/>
    <w:lvl w:ilvl="0" w:tplc="5CBACB74">
      <w:start w:val="19"/>
      <w:numFmt w:val="bullet"/>
      <w:lvlText w:val="-"/>
      <w:lvlJc w:val="left"/>
      <w:pPr>
        <w:ind w:left="720" w:hanging="360"/>
      </w:pPr>
      <w:rPr>
        <w:rFonts w:ascii="Calibri" w:eastAsiaTheme="minorHAnsi" w:hAnsi="Calibri" w:cs="Times New Roman" w:hint="default"/>
      </w:rPr>
    </w:lvl>
    <w:lvl w:ilvl="1" w:tplc="536A8FE0">
      <w:start w:val="1"/>
      <w:numFmt w:val="bullet"/>
      <w:lvlText w:val=""/>
      <w:lvlJc w:val="left"/>
      <w:pPr>
        <w:ind w:left="1440" w:hanging="360"/>
      </w:pPr>
      <w:rPr>
        <w:rFonts w:ascii="Symbol" w:hAnsi="Symbol" w:hint="default"/>
        <w:u w:color="1F497D" w:themeColor="text2"/>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0AB07C0"/>
    <w:multiLevelType w:val="hybridMultilevel"/>
    <w:tmpl w:val="88D4A7E6"/>
    <w:lvl w:ilvl="0" w:tplc="825ED61C">
      <w:start w:val="1"/>
      <w:numFmt w:val="bullet"/>
      <w:lvlText w:val=""/>
      <w:lvlJc w:val="left"/>
      <w:pPr>
        <w:ind w:left="720" w:hanging="360"/>
      </w:pPr>
      <w:rPr>
        <w:rFonts w:ascii="Symbol" w:eastAsiaTheme="minorHAnsi"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3912426"/>
    <w:multiLevelType w:val="hybridMultilevel"/>
    <w:tmpl w:val="E06C1F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43F48D3"/>
    <w:multiLevelType w:val="hybridMultilevel"/>
    <w:tmpl w:val="1C32EF46"/>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24">
    <w:nsid w:val="55417865"/>
    <w:multiLevelType w:val="hybridMultilevel"/>
    <w:tmpl w:val="7AD829B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7B1727E"/>
    <w:multiLevelType w:val="hybridMultilevel"/>
    <w:tmpl w:val="B240F6EC"/>
    <w:lvl w:ilvl="0" w:tplc="7DAE15C0">
      <w:start w:val="20"/>
      <w:numFmt w:val="bullet"/>
      <w:lvlText w:val="-"/>
      <w:lvlJc w:val="left"/>
      <w:pPr>
        <w:ind w:left="720" w:hanging="360"/>
      </w:pPr>
      <w:rPr>
        <w:rFonts w:ascii="Calibri" w:eastAsia="MS Mincho"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D3C1B14"/>
    <w:multiLevelType w:val="hybridMultilevel"/>
    <w:tmpl w:val="83526AB6"/>
    <w:lvl w:ilvl="0" w:tplc="4AC287C2">
      <w:start w:val="2014"/>
      <w:numFmt w:val="bullet"/>
      <w:lvlText w:val="-"/>
      <w:lvlJc w:val="left"/>
      <w:pPr>
        <w:ind w:left="720" w:hanging="360"/>
      </w:pPr>
      <w:rPr>
        <w:rFonts w:ascii="Calibri" w:eastAsia="MS Mincho"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04865C7"/>
    <w:multiLevelType w:val="hybridMultilevel"/>
    <w:tmpl w:val="AC28F4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31B4AB7"/>
    <w:multiLevelType w:val="hybridMultilevel"/>
    <w:tmpl w:val="1462531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44C0AA5"/>
    <w:multiLevelType w:val="hybridMultilevel"/>
    <w:tmpl w:val="296A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0A65D3"/>
    <w:multiLevelType w:val="hybridMultilevel"/>
    <w:tmpl w:val="1A2A0C20"/>
    <w:lvl w:ilvl="0" w:tplc="536A8FE0">
      <w:start w:val="1"/>
      <w:numFmt w:val="bullet"/>
      <w:lvlText w:val=""/>
      <w:lvlJc w:val="left"/>
      <w:pPr>
        <w:ind w:left="720" w:hanging="360"/>
      </w:pPr>
      <w:rPr>
        <w:rFonts w:ascii="Symbol" w:hAnsi="Symbol" w:hint="default"/>
        <w:u w:color="1F497D" w:themeColor="tex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DC158F0"/>
    <w:multiLevelType w:val="hybridMultilevel"/>
    <w:tmpl w:val="58344D4C"/>
    <w:lvl w:ilvl="0" w:tplc="536A8FE0">
      <w:start w:val="1"/>
      <w:numFmt w:val="bullet"/>
      <w:lvlText w:val=""/>
      <w:lvlJc w:val="left"/>
      <w:pPr>
        <w:ind w:left="720" w:hanging="360"/>
      </w:pPr>
      <w:rPr>
        <w:rFonts w:ascii="Symbol" w:hAnsi="Symbol" w:hint="default"/>
        <w:u w:color="1F497D" w:themeColor="tex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1977928"/>
    <w:multiLevelType w:val="hybridMultilevel"/>
    <w:tmpl w:val="6D2CCC48"/>
    <w:lvl w:ilvl="0" w:tplc="536A8FE0">
      <w:start w:val="1"/>
      <w:numFmt w:val="bullet"/>
      <w:lvlText w:val=""/>
      <w:lvlJc w:val="left"/>
      <w:pPr>
        <w:ind w:left="720" w:hanging="360"/>
      </w:pPr>
      <w:rPr>
        <w:rFonts w:ascii="Symbol" w:hAnsi="Symbol" w:hint="default"/>
        <w:u w:color="1F497D" w:themeColor="text2"/>
      </w:rPr>
    </w:lvl>
    <w:lvl w:ilvl="1" w:tplc="536A8FE0">
      <w:start w:val="1"/>
      <w:numFmt w:val="bullet"/>
      <w:lvlText w:val=""/>
      <w:lvlJc w:val="left"/>
      <w:pPr>
        <w:ind w:left="1440" w:hanging="360"/>
      </w:pPr>
      <w:rPr>
        <w:rFonts w:ascii="Symbol" w:hAnsi="Symbol" w:hint="default"/>
        <w:u w:color="1F497D" w:themeColor="text2"/>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6375D51"/>
    <w:multiLevelType w:val="hybridMultilevel"/>
    <w:tmpl w:val="5F28ED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E4D1F76"/>
    <w:multiLevelType w:val="hybridMultilevel"/>
    <w:tmpl w:val="45984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ED172D8"/>
    <w:multiLevelType w:val="hybridMultilevel"/>
    <w:tmpl w:val="519898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21"/>
  </w:num>
  <w:num w:numId="3">
    <w:abstractNumId w:val="35"/>
  </w:num>
  <w:num w:numId="4">
    <w:abstractNumId w:val="1"/>
  </w:num>
  <w:num w:numId="5">
    <w:abstractNumId w:val="34"/>
  </w:num>
  <w:num w:numId="6">
    <w:abstractNumId w:val="10"/>
  </w:num>
  <w:num w:numId="7">
    <w:abstractNumId w:val="25"/>
  </w:num>
  <w:num w:numId="8">
    <w:abstractNumId w:val="12"/>
  </w:num>
  <w:num w:numId="9">
    <w:abstractNumId w:val="0"/>
  </w:num>
  <w:num w:numId="10">
    <w:abstractNumId w:val="2"/>
  </w:num>
  <w:num w:numId="11">
    <w:abstractNumId w:val="33"/>
  </w:num>
  <w:num w:numId="12">
    <w:abstractNumId w:val="16"/>
  </w:num>
  <w:num w:numId="13">
    <w:abstractNumId w:val="13"/>
  </w:num>
  <w:num w:numId="14">
    <w:abstractNumId w:val="17"/>
  </w:num>
  <w:num w:numId="15">
    <w:abstractNumId w:val="20"/>
  </w:num>
  <w:num w:numId="16">
    <w:abstractNumId w:val="5"/>
  </w:num>
  <w:num w:numId="17">
    <w:abstractNumId w:val="15"/>
  </w:num>
  <w:num w:numId="18">
    <w:abstractNumId w:val="29"/>
  </w:num>
  <w:num w:numId="19">
    <w:abstractNumId w:val="6"/>
  </w:num>
  <w:num w:numId="20">
    <w:abstractNumId w:val="18"/>
  </w:num>
  <w:num w:numId="21">
    <w:abstractNumId w:val="32"/>
  </w:num>
  <w:num w:numId="22">
    <w:abstractNumId w:val="31"/>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6"/>
  </w:num>
  <w:num w:numId="26">
    <w:abstractNumId w:val="11"/>
  </w:num>
  <w:num w:numId="27">
    <w:abstractNumId w:val="7"/>
  </w:num>
  <w:num w:numId="28">
    <w:abstractNumId w:val="30"/>
  </w:num>
  <w:num w:numId="29">
    <w:abstractNumId w:val="23"/>
  </w:num>
  <w:num w:numId="30">
    <w:abstractNumId w:val="19"/>
  </w:num>
  <w:num w:numId="31">
    <w:abstractNumId w:val="22"/>
  </w:num>
  <w:num w:numId="32">
    <w:abstractNumId w:val="8"/>
  </w:num>
  <w:num w:numId="33">
    <w:abstractNumId w:val="3"/>
  </w:num>
  <w:num w:numId="34">
    <w:abstractNumId w:val="27"/>
  </w:num>
  <w:num w:numId="35">
    <w:abstractNumId w:val="2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7B7CB8"/>
    <w:rsid w:val="00004FBF"/>
    <w:rsid w:val="000060D8"/>
    <w:rsid w:val="00006BAB"/>
    <w:rsid w:val="00010882"/>
    <w:rsid w:val="000117FC"/>
    <w:rsid w:val="000123A9"/>
    <w:rsid w:val="000128D5"/>
    <w:rsid w:val="00013615"/>
    <w:rsid w:val="00013E18"/>
    <w:rsid w:val="00014E33"/>
    <w:rsid w:val="00014EAA"/>
    <w:rsid w:val="00016F3E"/>
    <w:rsid w:val="000254A4"/>
    <w:rsid w:val="000271F2"/>
    <w:rsid w:val="0003075C"/>
    <w:rsid w:val="00033D51"/>
    <w:rsid w:val="000363D7"/>
    <w:rsid w:val="00041706"/>
    <w:rsid w:val="0004586E"/>
    <w:rsid w:val="00052258"/>
    <w:rsid w:val="00052BD1"/>
    <w:rsid w:val="0005390B"/>
    <w:rsid w:val="00056DF0"/>
    <w:rsid w:val="00065D55"/>
    <w:rsid w:val="000754C4"/>
    <w:rsid w:val="0008328C"/>
    <w:rsid w:val="00085A18"/>
    <w:rsid w:val="00086532"/>
    <w:rsid w:val="000953A0"/>
    <w:rsid w:val="00097BDF"/>
    <w:rsid w:val="000A1490"/>
    <w:rsid w:val="000A4AFC"/>
    <w:rsid w:val="000B07BE"/>
    <w:rsid w:val="000B09BE"/>
    <w:rsid w:val="000B70B6"/>
    <w:rsid w:val="000B787E"/>
    <w:rsid w:val="000C175B"/>
    <w:rsid w:val="000C1880"/>
    <w:rsid w:val="000C78ED"/>
    <w:rsid w:val="000D0F29"/>
    <w:rsid w:val="000D2A8A"/>
    <w:rsid w:val="000D3C16"/>
    <w:rsid w:val="000D5F92"/>
    <w:rsid w:val="000E110E"/>
    <w:rsid w:val="000E1D52"/>
    <w:rsid w:val="000F42DF"/>
    <w:rsid w:val="000F47D1"/>
    <w:rsid w:val="000F6A09"/>
    <w:rsid w:val="000F72CA"/>
    <w:rsid w:val="000F78DF"/>
    <w:rsid w:val="0010041D"/>
    <w:rsid w:val="0010610F"/>
    <w:rsid w:val="00106D9B"/>
    <w:rsid w:val="00106F41"/>
    <w:rsid w:val="001101C3"/>
    <w:rsid w:val="00112148"/>
    <w:rsid w:val="0011215C"/>
    <w:rsid w:val="00113593"/>
    <w:rsid w:val="00121302"/>
    <w:rsid w:val="0012130F"/>
    <w:rsid w:val="0012156D"/>
    <w:rsid w:val="00121FD9"/>
    <w:rsid w:val="00124FE2"/>
    <w:rsid w:val="00130886"/>
    <w:rsid w:val="001368BE"/>
    <w:rsid w:val="00137C7C"/>
    <w:rsid w:val="0014356A"/>
    <w:rsid w:val="0014432C"/>
    <w:rsid w:val="001453F5"/>
    <w:rsid w:val="00150C7F"/>
    <w:rsid w:val="00152DE0"/>
    <w:rsid w:val="0015554A"/>
    <w:rsid w:val="00164ED0"/>
    <w:rsid w:val="00165B06"/>
    <w:rsid w:val="001754C5"/>
    <w:rsid w:val="00185B0B"/>
    <w:rsid w:val="00196807"/>
    <w:rsid w:val="001A12E4"/>
    <w:rsid w:val="001A1784"/>
    <w:rsid w:val="001B1FAD"/>
    <w:rsid w:val="001C2BCC"/>
    <w:rsid w:val="001D5CF7"/>
    <w:rsid w:val="001E2041"/>
    <w:rsid w:val="001E5C4A"/>
    <w:rsid w:val="001F0451"/>
    <w:rsid w:val="001F0AFB"/>
    <w:rsid w:val="001F6C63"/>
    <w:rsid w:val="00201AE9"/>
    <w:rsid w:val="00201EC9"/>
    <w:rsid w:val="00202241"/>
    <w:rsid w:val="00212B0F"/>
    <w:rsid w:val="0021459B"/>
    <w:rsid w:val="0021766D"/>
    <w:rsid w:val="00217CEB"/>
    <w:rsid w:val="00220641"/>
    <w:rsid w:val="00224FC6"/>
    <w:rsid w:val="00227370"/>
    <w:rsid w:val="00244B44"/>
    <w:rsid w:val="00247403"/>
    <w:rsid w:val="00257E70"/>
    <w:rsid w:val="00266776"/>
    <w:rsid w:val="00276F5A"/>
    <w:rsid w:val="00281804"/>
    <w:rsid w:val="00295D48"/>
    <w:rsid w:val="002A4EE3"/>
    <w:rsid w:val="002B153D"/>
    <w:rsid w:val="002B1A20"/>
    <w:rsid w:val="002B6680"/>
    <w:rsid w:val="002C3237"/>
    <w:rsid w:val="002D315B"/>
    <w:rsid w:val="002D6BD0"/>
    <w:rsid w:val="002E49C5"/>
    <w:rsid w:val="002E54BA"/>
    <w:rsid w:val="002E6BAB"/>
    <w:rsid w:val="002F3607"/>
    <w:rsid w:val="002F5161"/>
    <w:rsid w:val="00301073"/>
    <w:rsid w:val="0030139D"/>
    <w:rsid w:val="00303923"/>
    <w:rsid w:val="0031605E"/>
    <w:rsid w:val="00317E42"/>
    <w:rsid w:val="00322D7D"/>
    <w:rsid w:val="003237BA"/>
    <w:rsid w:val="00325B12"/>
    <w:rsid w:val="00326A0E"/>
    <w:rsid w:val="00330068"/>
    <w:rsid w:val="00342963"/>
    <w:rsid w:val="00345302"/>
    <w:rsid w:val="003454C5"/>
    <w:rsid w:val="00345D1D"/>
    <w:rsid w:val="00354A40"/>
    <w:rsid w:val="00367BD3"/>
    <w:rsid w:val="00372A2B"/>
    <w:rsid w:val="00376EFC"/>
    <w:rsid w:val="0037763B"/>
    <w:rsid w:val="00377FE0"/>
    <w:rsid w:val="0038034A"/>
    <w:rsid w:val="003803E8"/>
    <w:rsid w:val="0038089E"/>
    <w:rsid w:val="0038163D"/>
    <w:rsid w:val="00382CA2"/>
    <w:rsid w:val="00386329"/>
    <w:rsid w:val="00390449"/>
    <w:rsid w:val="003A28FD"/>
    <w:rsid w:val="003B6145"/>
    <w:rsid w:val="003C451C"/>
    <w:rsid w:val="003C4E40"/>
    <w:rsid w:val="003C5797"/>
    <w:rsid w:val="003D12D7"/>
    <w:rsid w:val="003D14C3"/>
    <w:rsid w:val="003D539F"/>
    <w:rsid w:val="003D78BA"/>
    <w:rsid w:val="003E001D"/>
    <w:rsid w:val="003E275F"/>
    <w:rsid w:val="003E3953"/>
    <w:rsid w:val="003F1869"/>
    <w:rsid w:val="003F4F04"/>
    <w:rsid w:val="00400CAE"/>
    <w:rsid w:val="00403145"/>
    <w:rsid w:val="0040405D"/>
    <w:rsid w:val="004049B9"/>
    <w:rsid w:val="00410109"/>
    <w:rsid w:val="00417149"/>
    <w:rsid w:val="00417900"/>
    <w:rsid w:val="004227B2"/>
    <w:rsid w:val="00422A11"/>
    <w:rsid w:val="0042438C"/>
    <w:rsid w:val="004270B6"/>
    <w:rsid w:val="00430C7F"/>
    <w:rsid w:val="004315C1"/>
    <w:rsid w:val="00431F6E"/>
    <w:rsid w:val="0043289E"/>
    <w:rsid w:val="0043337E"/>
    <w:rsid w:val="00434C1B"/>
    <w:rsid w:val="00436BCC"/>
    <w:rsid w:val="00436E86"/>
    <w:rsid w:val="00442353"/>
    <w:rsid w:val="00442A2E"/>
    <w:rsid w:val="0044486A"/>
    <w:rsid w:val="004466E5"/>
    <w:rsid w:val="00447A0C"/>
    <w:rsid w:val="00451B3D"/>
    <w:rsid w:val="004530B1"/>
    <w:rsid w:val="00463967"/>
    <w:rsid w:val="004703EB"/>
    <w:rsid w:val="00474CDF"/>
    <w:rsid w:val="00474D19"/>
    <w:rsid w:val="00484D0A"/>
    <w:rsid w:val="00485CB6"/>
    <w:rsid w:val="00491969"/>
    <w:rsid w:val="004946EA"/>
    <w:rsid w:val="004A0DD7"/>
    <w:rsid w:val="004A2CFB"/>
    <w:rsid w:val="004A5B7A"/>
    <w:rsid w:val="004A7B6C"/>
    <w:rsid w:val="004B26D9"/>
    <w:rsid w:val="004B3016"/>
    <w:rsid w:val="004C05C7"/>
    <w:rsid w:val="004C099D"/>
    <w:rsid w:val="004C0C48"/>
    <w:rsid w:val="004C49AB"/>
    <w:rsid w:val="004D1A60"/>
    <w:rsid w:val="004D5854"/>
    <w:rsid w:val="004E0326"/>
    <w:rsid w:val="004E1F6C"/>
    <w:rsid w:val="004E52C7"/>
    <w:rsid w:val="004E5851"/>
    <w:rsid w:val="004E5F9A"/>
    <w:rsid w:val="004E6623"/>
    <w:rsid w:val="004F160E"/>
    <w:rsid w:val="0050408E"/>
    <w:rsid w:val="0050417D"/>
    <w:rsid w:val="005062A6"/>
    <w:rsid w:val="00512F0F"/>
    <w:rsid w:val="00515C84"/>
    <w:rsid w:val="0052185F"/>
    <w:rsid w:val="00521A16"/>
    <w:rsid w:val="0052202A"/>
    <w:rsid w:val="00531738"/>
    <w:rsid w:val="005375AB"/>
    <w:rsid w:val="00541DA5"/>
    <w:rsid w:val="00545C34"/>
    <w:rsid w:val="00554F19"/>
    <w:rsid w:val="005604FA"/>
    <w:rsid w:val="005656E4"/>
    <w:rsid w:val="005656E8"/>
    <w:rsid w:val="005804A5"/>
    <w:rsid w:val="005807E3"/>
    <w:rsid w:val="00581E57"/>
    <w:rsid w:val="00584CA0"/>
    <w:rsid w:val="00586F6F"/>
    <w:rsid w:val="0059097D"/>
    <w:rsid w:val="0059278E"/>
    <w:rsid w:val="00595EA3"/>
    <w:rsid w:val="005A24A7"/>
    <w:rsid w:val="005A29B7"/>
    <w:rsid w:val="005B0643"/>
    <w:rsid w:val="005C14E3"/>
    <w:rsid w:val="005C15F2"/>
    <w:rsid w:val="005C4524"/>
    <w:rsid w:val="005D01AB"/>
    <w:rsid w:val="005D030C"/>
    <w:rsid w:val="005D6A9D"/>
    <w:rsid w:val="005E04E1"/>
    <w:rsid w:val="005E04E7"/>
    <w:rsid w:val="005E1ECD"/>
    <w:rsid w:val="005E3911"/>
    <w:rsid w:val="005F3627"/>
    <w:rsid w:val="005F5327"/>
    <w:rsid w:val="005F5C9C"/>
    <w:rsid w:val="005F67C4"/>
    <w:rsid w:val="005F6CA3"/>
    <w:rsid w:val="005F6F98"/>
    <w:rsid w:val="00601021"/>
    <w:rsid w:val="00626A2A"/>
    <w:rsid w:val="00627A57"/>
    <w:rsid w:val="006309D8"/>
    <w:rsid w:val="00631B23"/>
    <w:rsid w:val="006335C2"/>
    <w:rsid w:val="00640638"/>
    <w:rsid w:val="00644FAE"/>
    <w:rsid w:val="0064781E"/>
    <w:rsid w:val="00651C6A"/>
    <w:rsid w:val="00652B67"/>
    <w:rsid w:val="006571CD"/>
    <w:rsid w:val="0065781E"/>
    <w:rsid w:val="006609FF"/>
    <w:rsid w:val="00662043"/>
    <w:rsid w:val="006644B4"/>
    <w:rsid w:val="00670ADD"/>
    <w:rsid w:val="00673993"/>
    <w:rsid w:val="006757DB"/>
    <w:rsid w:val="00677F10"/>
    <w:rsid w:val="0068315F"/>
    <w:rsid w:val="0068381D"/>
    <w:rsid w:val="006908B2"/>
    <w:rsid w:val="00690DAE"/>
    <w:rsid w:val="00690DDB"/>
    <w:rsid w:val="0069500D"/>
    <w:rsid w:val="00695D15"/>
    <w:rsid w:val="006970B4"/>
    <w:rsid w:val="006A3508"/>
    <w:rsid w:val="006B074A"/>
    <w:rsid w:val="006B1328"/>
    <w:rsid w:val="006B2CEC"/>
    <w:rsid w:val="006B34C6"/>
    <w:rsid w:val="006C0F86"/>
    <w:rsid w:val="006D2042"/>
    <w:rsid w:val="006D58AE"/>
    <w:rsid w:val="006E2A4D"/>
    <w:rsid w:val="006E3628"/>
    <w:rsid w:val="006E6A0F"/>
    <w:rsid w:val="006E71D8"/>
    <w:rsid w:val="006E7957"/>
    <w:rsid w:val="006F27B0"/>
    <w:rsid w:val="007021AD"/>
    <w:rsid w:val="00703384"/>
    <w:rsid w:val="00705098"/>
    <w:rsid w:val="00707DCE"/>
    <w:rsid w:val="00707F3B"/>
    <w:rsid w:val="00713C3E"/>
    <w:rsid w:val="007146B9"/>
    <w:rsid w:val="007177B1"/>
    <w:rsid w:val="00723095"/>
    <w:rsid w:val="00723EF2"/>
    <w:rsid w:val="00725F6E"/>
    <w:rsid w:val="007267C6"/>
    <w:rsid w:val="00740CDA"/>
    <w:rsid w:val="00743366"/>
    <w:rsid w:val="00750759"/>
    <w:rsid w:val="00753BF3"/>
    <w:rsid w:val="00753EA5"/>
    <w:rsid w:val="00756555"/>
    <w:rsid w:val="00762CD3"/>
    <w:rsid w:val="0076731A"/>
    <w:rsid w:val="00770687"/>
    <w:rsid w:val="00771880"/>
    <w:rsid w:val="00791DD3"/>
    <w:rsid w:val="00793E03"/>
    <w:rsid w:val="007A276D"/>
    <w:rsid w:val="007A4115"/>
    <w:rsid w:val="007B0393"/>
    <w:rsid w:val="007B1EB7"/>
    <w:rsid w:val="007B1FAD"/>
    <w:rsid w:val="007B54AC"/>
    <w:rsid w:val="007B6923"/>
    <w:rsid w:val="007B7CB8"/>
    <w:rsid w:val="007C12D5"/>
    <w:rsid w:val="007C3501"/>
    <w:rsid w:val="007C3912"/>
    <w:rsid w:val="007C5D11"/>
    <w:rsid w:val="007C65BB"/>
    <w:rsid w:val="007C7A2E"/>
    <w:rsid w:val="007D6672"/>
    <w:rsid w:val="007D7DD3"/>
    <w:rsid w:val="007E38EF"/>
    <w:rsid w:val="007E3ABD"/>
    <w:rsid w:val="007E4DB8"/>
    <w:rsid w:val="007E754B"/>
    <w:rsid w:val="007F28C5"/>
    <w:rsid w:val="007F4808"/>
    <w:rsid w:val="007F6C46"/>
    <w:rsid w:val="0080118C"/>
    <w:rsid w:val="008057E5"/>
    <w:rsid w:val="0081072B"/>
    <w:rsid w:val="00811C69"/>
    <w:rsid w:val="00812C29"/>
    <w:rsid w:val="0081532B"/>
    <w:rsid w:val="00820CE8"/>
    <w:rsid w:val="0082378C"/>
    <w:rsid w:val="00825E98"/>
    <w:rsid w:val="0083189A"/>
    <w:rsid w:val="008322C2"/>
    <w:rsid w:val="0083560E"/>
    <w:rsid w:val="00835CBF"/>
    <w:rsid w:val="00843705"/>
    <w:rsid w:val="00845B83"/>
    <w:rsid w:val="00846480"/>
    <w:rsid w:val="00847C5D"/>
    <w:rsid w:val="0085003F"/>
    <w:rsid w:val="008508A2"/>
    <w:rsid w:val="0085426A"/>
    <w:rsid w:val="008542C4"/>
    <w:rsid w:val="00856D51"/>
    <w:rsid w:val="00867134"/>
    <w:rsid w:val="0087184C"/>
    <w:rsid w:val="0087376D"/>
    <w:rsid w:val="00881BAE"/>
    <w:rsid w:val="00883F05"/>
    <w:rsid w:val="00885360"/>
    <w:rsid w:val="00892A21"/>
    <w:rsid w:val="008A159D"/>
    <w:rsid w:val="008A4139"/>
    <w:rsid w:val="008B2F1E"/>
    <w:rsid w:val="008C023C"/>
    <w:rsid w:val="008C3C6E"/>
    <w:rsid w:val="008C3EB5"/>
    <w:rsid w:val="008D0377"/>
    <w:rsid w:val="008D6B95"/>
    <w:rsid w:val="008D6D04"/>
    <w:rsid w:val="008E0E52"/>
    <w:rsid w:val="008E2CC3"/>
    <w:rsid w:val="008E4072"/>
    <w:rsid w:val="008F17D5"/>
    <w:rsid w:val="008F7E83"/>
    <w:rsid w:val="00902DDE"/>
    <w:rsid w:val="00907121"/>
    <w:rsid w:val="00917C94"/>
    <w:rsid w:val="009216D3"/>
    <w:rsid w:val="009219B1"/>
    <w:rsid w:val="00927439"/>
    <w:rsid w:val="00927AF8"/>
    <w:rsid w:val="00927CB3"/>
    <w:rsid w:val="009309DA"/>
    <w:rsid w:val="00933C96"/>
    <w:rsid w:val="00937D09"/>
    <w:rsid w:val="0094316F"/>
    <w:rsid w:val="0094552A"/>
    <w:rsid w:val="00945C8C"/>
    <w:rsid w:val="0095053A"/>
    <w:rsid w:val="009507EE"/>
    <w:rsid w:val="009554B2"/>
    <w:rsid w:val="0096287F"/>
    <w:rsid w:val="00962DF8"/>
    <w:rsid w:val="009660A3"/>
    <w:rsid w:val="00966A43"/>
    <w:rsid w:val="009675D0"/>
    <w:rsid w:val="00981702"/>
    <w:rsid w:val="009917E8"/>
    <w:rsid w:val="009966A1"/>
    <w:rsid w:val="009A5E0C"/>
    <w:rsid w:val="009A7729"/>
    <w:rsid w:val="009A7822"/>
    <w:rsid w:val="009B0D35"/>
    <w:rsid w:val="009B2C89"/>
    <w:rsid w:val="009B4A07"/>
    <w:rsid w:val="009B4E19"/>
    <w:rsid w:val="009B5DD7"/>
    <w:rsid w:val="009C0479"/>
    <w:rsid w:val="009C05E2"/>
    <w:rsid w:val="009C5732"/>
    <w:rsid w:val="009C70A3"/>
    <w:rsid w:val="009C7435"/>
    <w:rsid w:val="009D39F7"/>
    <w:rsid w:val="009E4429"/>
    <w:rsid w:val="009E76C1"/>
    <w:rsid w:val="009F4106"/>
    <w:rsid w:val="00A01594"/>
    <w:rsid w:val="00A01E92"/>
    <w:rsid w:val="00A03429"/>
    <w:rsid w:val="00A0454F"/>
    <w:rsid w:val="00A169E2"/>
    <w:rsid w:val="00A27D8E"/>
    <w:rsid w:val="00A335CE"/>
    <w:rsid w:val="00A44293"/>
    <w:rsid w:val="00A53F26"/>
    <w:rsid w:val="00A572D5"/>
    <w:rsid w:val="00A60093"/>
    <w:rsid w:val="00A61F45"/>
    <w:rsid w:val="00A63412"/>
    <w:rsid w:val="00A64C5E"/>
    <w:rsid w:val="00A652DA"/>
    <w:rsid w:val="00A72016"/>
    <w:rsid w:val="00A734A8"/>
    <w:rsid w:val="00A74465"/>
    <w:rsid w:val="00A778D7"/>
    <w:rsid w:val="00A80874"/>
    <w:rsid w:val="00A81192"/>
    <w:rsid w:val="00A82FDF"/>
    <w:rsid w:val="00A83036"/>
    <w:rsid w:val="00A852C7"/>
    <w:rsid w:val="00A92CF4"/>
    <w:rsid w:val="00A96679"/>
    <w:rsid w:val="00AA1027"/>
    <w:rsid w:val="00AB182E"/>
    <w:rsid w:val="00AB392A"/>
    <w:rsid w:val="00AB504C"/>
    <w:rsid w:val="00AC0619"/>
    <w:rsid w:val="00AD54B3"/>
    <w:rsid w:val="00AD7FAA"/>
    <w:rsid w:val="00AE17E0"/>
    <w:rsid w:val="00AF25C9"/>
    <w:rsid w:val="00AF2E1D"/>
    <w:rsid w:val="00AF3420"/>
    <w:rsid w:val="00B00CE8"/>
    <w:rsid w:val="00B0335E"/>
    <w:rsid w:val="00B16CFE"/>
    <w:rsid w:val="00B2033C"/>
    <w:rsid w:val="00B2363B"/>
    <w:rsid w:val="00B335E7"/>
    <w:rsid w:val="00B36C33"/>
    <w:rsid w:val="00B40CB1"/>
    <w:rsid w:val="00B413B1"/>
    <w:rsid w:val="00B4156E"/>
    <w:rsid w:val="00B44A89"/>
    <w:rsid w:val="00B46106"/>
    <w:rsid w:val="00B46D51"/>
    <w:rsid w:val="00B47CB9"/>
    <w:rsid w:val="00B51FD6"/>
    <w:rsid w:val="00B52429"/>
    <w:rsid w:val="00B679C2"/>
    <w:rsid w:val="00B70292"/>
    <w:rsid w:val="00B70C2D"/>
    <w:rsid w:val="00B71C8A"/>
    <w:rsid w:val="00B76D8B"/>
    <w:rsid w:val="00B8183B"/>
    <w:rsid w:val="00B81B71"/>
    <w:rsid w:val="00B904ED"/>
    <w:rsid w:val="00B9316C"/>
    <w:rsid w:val="00B93C42"/>
    <w:rsid w:val="00B97E75"/>
    <w:rsid w:val="00B97FBB"/>
    <w:rsid w:val="00BA0ADA"/>
    <w:rsid w:val="00BA21B1"/>
    <w:rsid w:val="00BA2227"/>
    <w:rsid w:val="00BA361C"/>
    <w:rsid w:val="00BA7D47"/>
    <w:rsid w:val="00BB2DBE"/>
    <w:rsid w:val="00BB3A31"/>
    <w:rsid w:val="00BC2D97"/>
    <w:rsid w:val="00BD45F0"/>
    <w:rsid w:val="00BD46A5"/>
    <w:rsid w:val="00BD7B3E"/>
    <w:rsid w:val="00BE584A"/>
    <w:rsid w:val="00BF0547"/>
    <w:rsid w:val="00BF22D4"/>
    <w:rsid w:val="00BF40AA"/>
    <w:rsid w:val="00BF4104"/>
    <w:rsid w:val="00C02BA6"/>
    <w:rsid w:val="00C02C1F"/>
    <w:rsid w:val="00C0531A"/>
    <w:rsid w:val="00C070BF"/>
    <w:rsid w:val="00C1316F"/>
    <w:rsid w:val="00C221F6"/>
    <w:rsid w:val="00C22E8B"/>
    <w:rsid w:val="00C26757"/>
    <w:rsid w:val="00C27C9B"/>
    <w:rsid w:val="00C33FCD"/>
    <w:rsid w:val="00C369C0"/>
    <w:rsid w:val="00C44859"/>
    <w:rsid w:val="00C53BFE"/>
    <w:rsid w:val="00C63D56"/>
    <w:rsid w:val="00C6583F"/>
    <w:rsid w:val="00C66A6D"/>
    <w:rsid w:val="00C74630"/>
    <w:rsid w:val="00C802D2"/>
    <w:rsid w:val="00C81B88"/>
    <w:rsid w:val="00C84A08"/>
    <w:rsid w:val="00C85E74"/>
    <w:rsid w:val="00C86E5F"/>
    <w:rsid w:val="00C95185"/>
    <w:rsid w:val="00C96ED6"/>
    <w:rsid w:val="00CA455B"/>
    <w:rsid w:val="00CA6A6A"/>
    <w:rsid w:val="00CB2F4E"/>
    <w:rsid w:val="00CB7998"/>
    <w:rsid w:val="00CC0133"/>
    <w:rsid w:val="00CC1D0D"/>
    <w:rsid w:val="00CD56FF"/>
    <w:rsid w:val="00CD7304"/>
    <w:rsid w:val="00CE37CA"/>
    <w:rsid w:val="00CE3B68"/>
    <w:rsid w:val="00CF27F0"/>
    <w:rsid w:val="00CF3DE2"/>
    <w:rsid w:val="00CF4574"/>
    <w:rsid w:val="00CF616C"/>
    <w:rsid w:val="00D060E7"/>
    <w:rsid w:val="00D06482"/>
    <w:rsid w:val="00D07CC8"/>
    <w:rsid w:val="00D17720"/>
    <w:rsid w:val="00D25D40"/>
    <w:rsid w:val="00D26CA9"/>
    <w:rsid w:val="00D32973"/>
    <w:rsid w:val="00D329E1"/>
    <w:rsid w:val="00D34E30"/>
    <w:rsid w:val="00D36D20"/>
    <w:rsid w:val="00D51E7C"/>
    <w:rsid w:val="00D6015E"/>
    <w:rsid w:val="00D6144A"/>
    <w:rsid w:val="00D63337"/>
    <w:rsid w:val="00D659DA"/>
    <w:rsid w:val="00D72384"/>
    <w:rsid w:val="00D74DB7"/>
    <w:rsid w:val="00D771E5"/>
    <w:rsid w:val="00D81A84"/>
    <w:rsid w:val="00D86255"/>
    <w:rsid w:val="00D91732"/>
    <w:rsid w:val="00D94834"/>
    <w:rsid w:val="00DA09B7"/>
    <w:rsid w:val="00DA1A26"/>
    <w:rsid w:val="00DA1BCC"/>
    <w:rsid w:val="00DA22FC"/>
    <w:rsid w:val="00DA2817"/>
    <w:rsid w:val="00DA4C01"/>
    <w:rsid w:val="00DA77B8"/>
    <w:rsid w:val="00DB1EE2"/>
    <w:rsid w:val="00DB1F6F"/>
    <w:rsid w:val="00DB27B8"/>
    <w:rsid w:val="00DB4841"/>
    <w:rsid w:val="00DB55DA"/>
    <w:rsid w:val="00DB7504"/>
    <w:rsid w:val="00DC1289"/>
    <w:rsid w:val="00DC7D53"/>
    <w:rsid w:val="00DD3BE7"/>
    <w:rsid w:val="00DD6A92"/>
    <w:rsid w:val="00DE6D24"/>
    <w:rsid w:val="00DF2FFB"/>
    <w:rsid w:val="00DF7EC2"/>
    <w:rsid w:val="00E0190E"/>
    <w:rsid w:val="00E029FE"/>
    <w:rsid w:val="00E13270"/>
    <w:rsid w:val="00E132EE"/>
    <w:rsid w:val="00E17A00"/>
    <w:rsid w:val="00E214E3"/>
    <w:rsid w:val="00E25445"/>
    <w:rsid w:val="00E30D77"/>
    <w:rsid w:val="00E41E31"/>
    <w:rsid w:val="00E4403E"/>
    <w:rsid w:val="00E44C93"/>
    <w:rsid w:val="00E451D9"/>
    <w:rsid w:val="00E46F1F"/>
    <w:rsid w:val="00E47BBF"/>
    <w:rsid w:val="00E51709"/>
    <w:rsid w:val="00E51D81"/>
    <w:rsid w:val="00E66B63"/>
    <w:rsid w:val="00E677F3"/>
    <w:rsid w:val="00E7214E"/>
    <w:rsid w:val="00E74952"/>
    <w:rsid w:val="00E76D82"/>
    <w:rsid w:val="00E80676"/>
    <w:rsid w:val="00E84B04"/>
    <w:rsid w:val="00E84D87"/>
    <w:rsid w:val="00E868CE"/>
    <w:rsid w:val="00E87593"/>
    <w:rsid w:val="00E910DF"/>
    <w:rsid w:val="00E91F36"/>
    <w:rsid w:val="00E92F0A"/>
    <w:rsid w:val="00E96F47"/>
    <w:rsid w:val="00E972EB"/>
    <w:rsid w:val="00E97F2C"/>
    <w:rsid w:val="00EA664F"/>
    <w:rsid w:val="00EA7029"/>
    <w:rsid w:val="00EB3EF8"/>
    <w:rsid w:val="00EB7F97"/>
    <w:rsid w:val="00EC46DC"/>
    <w:rsid w:val="00EC611D"/>
    <w:rsid w:val="00EC6E49"/>
    <w:rsid w:val="00ED12CE"/>
    <w:rsid w:val="00ED3121"/>
    <w:rsid w:val="00ED32B0"/>
    <w:rsid w:val="00ED5AEF"/>
    <w:rsid w:val="00ED6D97"/>
    <w:rsid w:val="00EE2034"/>
    <w:rsid w:val="00EF41C1"/>
    <w:rsid w:val="00EF4FF4"/>
    <w:rsid w:val="00EF61E3"/>
    <w:rsid w:val="00EF7D93"/>
    <w:rsid w:val="00F0061A"/>
    <w:rsid w:val="00F00DD3"/>
    <w:rsid w:val="00F17DC4"/>
    <w:rsid w:val="00F21748"/>
    <w:rsid w:val="00F22478"/>
    <w:rsid w:val="00F23841"/>
    <w:rsid w:val="00F30B95"/>
    <w:rsid w:val="00F31707"/>
    <w:rsid w:val="00F34A17"/>
    <w:rsid w:val="00F40933"/>
    <w:rsid w:val="00F43603"/>
    <w:rsid w:val="00F44086"/>
    <w:rsid w:val="00F53EFC"/>
    <w:rsid w:val="00F541AE"/>
    <w:rsid w:val="00F5429F"/>
    <w:rsid w:val="00F61F77"/>
    <w:rsid w:val="00F622CA"/>
    <w:rsid w:val="00F63EC7"/>
    <w:rsid w:val="00F6434C"/>
    <w:rsid w:val="00F64A5D"/>
    <w:rsid w:val="00F6640F"/>
    <w:rsid w:val="00F74353"/>
    <w:rsid w:val="00F74FF5"/>
    <w:rsid w:val="00F76BC3"/>
    <w:rsid w:val="00F82540"/>
    <w:rsid w:val="00FC1701"/>
    <w:rsid w:val="00FC59BA"/>
    <w:rsid w:val="00FD5BED"/>
    <w:rsid w:val="00FE18B5"/>
    <w:rsid w:val="00FE2DEE"/>
    <w:rsid w:val="00FE5D9D"/>
    <w:rsid w:val="00FE7D29"/>
    <w:rsid w:val="00FF054C"/>
    <w:rsid w:val="00FF0AAD"/>
    <w:rsid w:val="00FF3ADC"/>
    <w:rsid w:val="00FF3B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CB9"/>
  </w:style>
  <w:style w:type="paragraph" w:styleId="Heading1">
    <w:name w:val="heading 1"/>
    <w:basedOn w:val="Normal"/>
    <w:next w:val="Normal"/>
    <w:link w:val="Heading1Char"/>
    <w:qFormat/>
    <w:rsid w:val="0021766D"/>
    <w:pPr>
      <w:keepNext/>
      <w:keepLines/>
      <w:spacing w:after="280"/>
      <w:outlineLvl w:val="0"/>
    </w:pPr>
    <w:rPr>
      <w:rFonts w:ascii="Calibri" w:eastAsiaTheme="majorEastAsia" w:hAnsi="Calibri"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9B4A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4A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CE8"/>
  </w:style>
  <w:style w:type="paragraph" w:styleId="Footer">
    <w:name w:val="footer"/>
    <w:basedOn w:val="Normal"/>
    <w:link w:val="FooterChar"/>
    <w:uiPriority w:val="99"/>
    <w:unhideWhenUsed/>
    <w:rsid w:val="00820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CE8"/>
  </w:style>
  <w:style w:type="paragraph" w:styleId="BalloonText">
    <w:name w:val="Balloon Text"/>
    <w:basedOn w:val="Normal"/>
    <w:link w:val="BalloonTextChar"/>
    <w:uiPriority w:val="99"/>
    <w:semiHidden/>
    <w:unhideWhenUsed/>
    <w:rsid w:val="00820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CE8"/>
    <w:rPr>
      <w:rFonts w:ascii="Tahoma" w:hAnsi="Tahoma" w:cs="Tahoma"/>
      <w:sz w:val="16"/>
      <w:szCs w:val="16"/>
    </w:rPr>
  </w:style>
  <w:style w:type="paragraph" w:customStyle="1" w:styleId="PITableHeading">
    <w:name w:val="PI Table Heading"/>
    <w:basedOn w:val="Normal"/>
    <w:link w:val="PITableHeadingChar"/>
    <w:qFormat/>
    <w:rsid w:val="006970B4"/>
    <w:pPr>
      <w:spacing w:before="120" w:after="120" w:line="240" w:lineRule="auto"/>
    </w:pPr>
    <w:rPr>
      <w:rFonts w:ascii="Calibri" w:eastAsia="Times New Roman" w:hAnsi="Calibri" w:cs="Calibri"/>
      <w:b/>
      <w:bCs/>
      <w:color w:val="000000"/>
      <w:sz w:val="24"/>
      <w:szCs w:val="24"/>
      <w:lang w:eastAsia="en-IE"/>
    </w:rPr>
  </w:style>
  <w:style w:type="paragraph" w:customStyle="1" w:styleId="PISectionHeading">
    <w:name w:val="PI Section Heading"/>
    <w:basedOn w:val="Normal"/>
    <w:link w:val="PISectionHeadingChar"/>
    <w:qFormat/>
    <w:rsid w:val="00C02C1F"/>
    <w:pPr>
      <w:spacing w:before="120" w:after="120" w:line="240" w:lineRule="auto"/>
    </w:pPr>
    <w:rPr>
      <w:rFonts w:ascii="Calibri" w:eastAsia="Times New Roman" w:hAnsi="Calibri" w:cs="Calibri"/>
      <w:b/>
      <w:bCs/>
      <w:color w:val="1F497D" w:themeColor="text2"/>
      <w:sz w:val="28"/>
      <w:szCs w:val="28"/>
      <w:lang w:eastAsia="en-IE"/>
    </w:rPr>
  </w:style>
  <w:style w:type="character" w:customStyle="1" w:styleId="PITableHeadingChar">
    <w:name w:val="PI Table Heading Char"/>
    <w:basedOn w:val="DefaultParagraphFont"/>
    <w:link w:val="PITableHeading"/>
    <w:rsid w:val="006970B4"/>
    <w:rPr>
      <w:rFonts w:ascii="Calibri" w:eastAsia="Times New Roman" w:hAnsi="Calibri" w:cs="Calibri"/>
      <w:b/>
      <w:bCs/>
      <w:color w:val="000000"/>
      <w:sz w:val="24"/>
      <w:szCs w:val="24"/>
      <w:lang w:eastAsia="en-IE"/>
    </w:rPr>
  </w:style>
  <w:style w:type="paragraph" w:styleId="ListParagraph">
    <w:name w:val="List Paragraph"/>
    <w:basedOn w:val="Normal"/>
    <w:uiPriority w:val="34"/>
    <w:qFormat/>
    <w:rsid w:val="00885360"/>
    <w:pPr>
      <w:ind w:left="720"/>
      <w:contextualSpacing/>
    </w:pPr>
  </w:style>
  <w:style w:type="character" w:customStyle="1" w:styleId="PISectionHeadingChar">
    <w:name w:val="PI Section Heading Char"/>
    <w:basedOn w:val="DefaultParagraphFont"/>
    <w:link w:val="PISectionHeading"/>
    <w:rsid w:val="00C02C1F"/>
    <w:rPr>
      <w:rFonts w:ascii="Calibri" w:eastAsia="Times New Roman" w:hAnsi="Calibri" w:cs="Calibri"/>
      <w:b/>
      <w:bCs/>
      <w:color w:val="1F497D" w:themeColor="text2"/>
      <w:sz w:val="28"/>
      <w:szCs w:val="28"/>
      <w:lang w:eastAsia="en-IE"/>
    </w:rPr>
  </w:style>
  <w:style w:type="table" w:styleId="LightGrid-Accent5">
    <w:name w:val="Light Grid Accent 5"/>
    <w:basedOn w:val="TableNormal"/>
    <w:uiPriority w:val="62"/>
    <w:rsid w:val="0010610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10610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10610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PISectionD02">
    <w:name w:val="PI Section D02"/>
    <w:basedOn w:val="PISectionHeading"/>
    <w:link w:val="PISectionD02Char"/>
    <w:qFormat/>
    <w:rsid w:val="00C02C1F"/>
    <w:rPr>
      <w:rFonts w:asciiTheme="minorHAnsi" w:hAnsiTheme="minorHAnsi" w:cstheme="minorHAnsi"/>
      <w:szCs w:val="22"/>
    </w:rPr>
  </w:style>
  <w:style w:type="character" w:customStyle="1" w:styleId="PISectionD02Char">
    <w:name w:val="PI Section D02 Char"/>
    <w:basedOn w:val="PISectionHeadingChar"/>
    <w:link w:val="PISectionD02"/>
    <w:rsid w:val="00C02C1F"/>
    <w:rPr>
      <w:rFonts w:ascii="Calibri" w:eastAsia="Times New Roman" w:hAnsi="Calibri" w:cstheme="minorHAnsi"/>
      <w:b/>
      <w:bCs/>
      <w:color w:val="1F497D" w:themeColor="text2"/>
      <w:sz w:val="28"/>
      <w:szCs w:val="28"/>
      <w:lang w:eastAsia="en-IE"/>
    </w:rPr>
  </w:style>
  <w:style w:type="paragraph" w:styleId="TOC1">
    <w:name w:val="toc 1"/>
    <w:basedOn w:val="Normal"/>
    <w:next w:val="Normal"/>
    <w:autoRedefine/>
    <w:uiPriority w:val="39"/>
    <w:unhideWhenUsed/>
    <w:qFormat/>
    <w:rsid w:val="007F28C5"/>
    <w:pPr>
      <w:spacing w:before="120" w:after="120"/>
      <w:jc w:val="center"/>
    </w:pPr>
    <w:rPr>
      <w:rFonts w:cstheme="minorHAnsi"/>
      <w:b/>
      <w:bCs/>
      <w:caps/>
      <w:sz w:val="28"/>
      <w:szCs w:val="28"/>
    </w:rPr>
  </w:style>
  <w:style w:type="character" w:customStyle="1" w:styleId="Heading1Char">
    <w:name w:val="Heading 1 Char"/>
    <w:basedOn w:val="DefaultParagraphFont"/>
    <w:link w:val="Heading1"/>
    <w:rsid w:val="0021766D"/>
    <w:rPr>
      <w:rFonts w:ascii="Calibri" w:eastAsiaTheme="majorEastAsia" w:hAnsi="Calibri" w:cstheme="majorBidi"/>
      <w:b/>
      <w:bCs/>
      <w:smallCaps/>
      <w:color w:val="365F91" w:themeColor="accent1" w:themeShade="BF"/>
      <w:sz w:val="28"/>
      <w:szCs w:val="28"/>
    </w:rPr>
  </w:style>
  <w:style w:type="character" w:customStyle="1" w:styleId="Heading2Char">
    <w:name w:val="Heading 2 Char"/>
    <w:basedOn w:val="DefaultParagraphFont"/>
    <w:link w:val="Heading2"/>
    <w:uiPriority w:val="9"/>
    <w:rsid w:val="009B4A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B4A07"/>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9B4A07"/>
    <w:pPr>
      <w:spacing w:after="0"/>
      <w:ind w:left="220"/>
    </w:pPr>
    <w:rPr>
      <w:rFonts w:cstheme="minorHAnsi"/>
      <w:smallCaps/>
      <w:sz w:val="20"/>
      <w:szCs w:val="20"/>
    </w:rPr>
  </w:style>
  <w:style w:type="paragraph" w:styleId="TOC3">
    <w:name w:val="toc 3"/>
    <w:basedOn w:val="Normal"/>
    <w:next w:val="Normal"/>
    <w:autoRedefine/>
    <w:uiPriority w:val="39"/>
    <w:unhideWhenUsed/>
    <w:rsid w:val="009B4A07"/>
    <w:pPr>
      <w:spacing w:after="0"/>
      <w:ind w:left="440"/>
    </w:pPr>
    <w:rPr>
      <w:rFonts w:cstheme="minorHAnsi"/>
      <w:i/>
      <w:iCs/>
      <w:sz w:val="20"/>
      <w:szCs w:val="20"/>
    </w:rPr>
  </w:style>
  <w:style w:type="paragraph" w:styleId="TOC4">
    <w:name w:val="toc 4"/>
    <w:basedOn w:val="Normal"/>
    <w:next w:val="Normal"/>
    <w:autoRedefine/>
    <w:uiPriority w:val="39"/>
    <w:unhideWhenUsed/>
    <w:rsid w:val="009B4A07"/>
    <w:pPr>
      <w:spacing w:after="0"/>
      <w:ind w:left="660"/>
    </w:pPr>
    <w:rPr>
      <w:rFonts w:cstheme="minorHAnsi"/>
      <w:sz w:val="18"/>
      <w:szCs w:val="18"/>
    </w:rPr>
  </w:style>
  <w:style w:type="paragraph" w:styleId="TOC5">
    <w:name w:val="toc 5"/>
    <w:basedOn w:val="Normal"/>
    <w:next w:val="Normal"/>
    <w:autoRedefine/>
    <w:uiPriority w:val="39"/>
    <w:unhideWhenUsed/>
    <w:rsid w:val="009B4A07"/>
    <w:pPr>
      <w:spacing w:after="0"/>
      <w:ind w:left="880"/>
    </w:pPr>
    <w:rPr>
      <w:rFonts w:cstheme="minorHAnsi"/>
      <w:sz w:val="18"/>
      <w:szCs w:val="18"/>
    </w:rPr>
  </w:style>
  <w:style w:type="paragraph" w:styleId="TOC6">
    <w:name w:val="toc 6"/>
    <w:basedOn w:val="Normal"/>
    <w:next w:val="Normal"/>
    <w:autoRedefine/>
    <w:uiPriority w:val="39"/>
    <w:unhideWhenUsed/>
    <w:rsid w:val="009B4A07"/>
    <w:pPr>
      <w:spacing w:after="0"/>
      <w:ind w:left="1100"/>
    </w:pPr>
    <w:rPr>
      <w:rFonts w:cstheme="minorHAnsi"/>
      <w:sz w:val="18"/>
      <w:szCs w:val="18"/>
    </w:rPr>
  </w:style>
  <w:style w:type="paragraph" w:styleId="TOC7">
    <w:name w:val="toc 7"/>
    <w:basedOn w:val="Normal"/>
    <w:next w:val="Normal"/>
    <w:autoRedefine/>
    <w:uiPriority w:val="39"/>
    <w:unhideWhenUsed/>
    <w:rsid w:val="009B4A07"/>
    <w:pPr>
      <w:spacing w:after="0"/>
      <w:ind w:left="1320"/>
    </w:pPr>
    <w:rPr>
      <w:rFonts w:cstheme="minorHAnsi"/>
      <w:sz w:val="18"/>
      <w:szCs w:val="18"/>
    </w:rPr>
  </w:style>
  <w:style w:type="paragraph" w:styleId="TOC8">
    <w:name w:val="toc 8"/>
    <w:basedOn w:val="Normal"/>
    <w:next w:val="Normal"/>
    <w:autoRedefine/>
    <w:uiPriority w:val="39"/>
    <w:unhideWhenUsed/>
    <w:rsid w:val="009B4A07"/>
    <w:pPr>
      <w:spacing w:after="0"/>
      <w:ind w:left="1540"/>
    </w:pPr>
    <w:rPr>
      <w:rFonts w:cstheme="minorHAnsi"/>
      <w:sz w:val="18"/>
      <w:szCs w:val="18"/>
    </w:rPr>
  </w:style>
  <w:style w:type="paragraph" w:styleId="TOC9">
    <w:name w:val="toc 9"/>
    <w:basedOn w:val="Normal"/>
    <w:next w:val="Normal"/>
    <w:autoRedefine/>
    <w:uiPriority w:val="39"/>
    <w:unhideWhenUsed/>
    <w:rsid w:val="009B4A07"/>
    <w:pPr>
      <w:spacing w:after="0"/>
      <w:ind w:left="1760"/>
    </w:pPr>
    <w:rPr>
      <w:rFonts w:cstheme="minorHAnsi"/>
      <w:sz w:val="18"/>
      <w:szCs w:val="18"/>
    </w:rPr>
  </w:style>
  <w:style w:type="paragraph" w:styleId="NoSpacing">
    <w:name w:val="No Spacing"/>
    <w:link w:val="NoSpacingChar"/>
    <w:uiPriority w:val="1"/>
    <w:qFormat/>
    <w:rsid w:val="009B4A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B4A07"/>
    <w:rPr>
      <w:rFonts w:eastAsiaTheme="minorEastAsia"/>
      <w:lang w:val="en-US"/>
    </w:rPr>
  </w:style>
  <w:style w:type="character" w:styleId="Hyperlink">
    <w:name w:val="Hyperlink"/>
    <w:basedOn w:val="DefaultParagraphFont"/>
    <w:rsid w:val="0021766D"/>
    <w:rPr>
      <w:color w:val="0000FF"/>
      <w:u w:val="single"/>
    </w:rPr>
  </w:style>
  <w:style w:type="character" w:customStyle="1" w:styleId="apple-converted-space">
    <w:name w:val="apple-converted-space"/>
    <w:basedOn w:val="DefaultParagraphFont"/>
    <w:rsid w:val="0021766D"/>
  </w:style>
  <w:style w:type="paragraph" w:styleId="FootnoteText">
    <w:name w:val="footnote text"/>
    <w:basedOn w:val="Normal"/>
    <w:link w:val="FootnoteTextChar"/>
    <w:uiPriority w:val="99"/>
    <w:semiHidden/>
    <w:unhideWhenUsed/>
    <w:rsid w:val="0021766D"/>
    <w:pPr>
      <w:spacing w:after="0" w:line="240" w:lineRule="auto"/>
      <w:jc w:val="both"/>
    </w:pPr>
    <w:rPr>
      <w:rFonts w:ascii="Arial" w:eastAsia="MS Mincho" w:hAnsi="Arial" w:cs="Times New Roman"/>
      <w:sz w:val="20"/>
      <w:szCs w:val="20"/>
      <w:lang w:eastAsia="ja-JP"/>
    </w:rPr>
  </w:style>
  <w:style w:type="character" w:customStyle="1" w:styleId="FootnoteTextChar">
    <w:name w:val="Footnote Text Char"/>
    <w:basedOn w:val="DefaultParagraphFont"/>
    <w:link w:val="FootnoteText"/>
    <w:uiPriority w:val="99"/>
    <w:semiHidden/>
    <w:rsid w:val="0021766D"/>
    <w:rPr>
      <w:rFonts w:ascii="Arial" w:eastAsia="MS Mincho" w:hAnsi="Arial" w:cs="Times New Roman"/>
      <w:sz w:val="20"/>
      <w:szCs w:val="20"/>
      <w:lang w:eastAsia="ja-JP"/>
    </w:rPr>
  </w:style>
  <w:style w:type="character" w:styleId="FootnoteReference">
    <w:name w:val="footnote reference"/>
    <w:basedOn w:val="DefaultParagraphFont"/>
    <w:uiPriority w:val="99"/>
    <w:semiHidden/>
    <w:unhideWhenUsed/>
    <w:rsid w:val="0021766D"/>
    <w:rPr>
      <w:vertAlign w:val="superscript"/>
    </w:rPr>
  </w:style>
  <w:style w:type="paragraph" w:styleId="NormalWeb">
    <w:name w:val="Normal (Web)"/>
    <w:basedOn w:val="Normal"/>
    <w:uiPriority w:val="99"/>
    <w:semiHidden/>
    <w:unhideWhenUsed/>
    <w:rsid w:val="0021766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Bullet">
    <w:name w:val="List Bullet"/>
    <w:basedOn w:val="Normal"/>
    <w:uiPriority w:val="99"/>
    <w:unhideWhenUsed/>
    <w:rsid w:val="0021766D"/>
    <w:pPr>
      <w:numPr>
        <w:numId w:val="9"/>
      </w:numPr>
      <w:spacing w:after="0" w:line="480" w:lineRule="auto"/>
      <w:contextualSpacing/>
      <w:jc w:val="both"/>
    </w:pPr>
    <w:rPr>
      <w:rFonts w:ascii="Arial" w:eastAsia="MS Mincho" w:hAnsi="Arial" w:cs="Times New Roman"/>
      <w:sz w:val="20"/>
      <w:szCs w:val="20"/>
      <w:lang w:eastAsia="ja-JP"/>
    </w:rPr>
  </w:style>
  <w:style w:type="table" w:styleId="MediumGrid2-Accent5">
    <w:name w:val="Medium Grid 2 Accent 5"/>
    <w:basedOn w:val="TableNormal"/>
    <w:uiPriority w:val="68"/>
    <w:rsid w:val="0021766D"/>
    <w:pPr>
      <w:spacing w:after="0" w:line="240" w:lineRule="auto"/>
      <w:jc w:val="both"/>
    </w:pPr>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21766D"/>
    <w:pPr>
      <w:spacing w:after="0" w:line="240" w:lineRule="auto"/>
      <w:jc w:val="both"/>
    </w:pPr>
    <w:rPr>
      <w:rFonts w:ascii="Calibri" w:hAnsi="Calibri" w:cs="Times New Roman"/>
      <w:sz w:val="24"/>
      <w:szCs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1">
    <w:name w:val="Light Shading1"/>
    <w:basedOn w:val="TableNormal"/>
    <w:uiPriority w:val="60"/>
    <w:rsid w:val="0021766D"/>
    <w:pPr>
      <w:spacing w:after="0" w:line="240" w:lineRule="auto"/>
      <w:jc w:val="both"/>
    </w:pPr>
    <w:rPr>
      <w:rFonts w:ascii="Calibri" w:hAnsi="Calibri" w:cs="Times New Roman"/>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1766D"/>
    <w:pPr>
      <w:spacing w:after="0" w:line="240" w:lineRule="auto"/>
      <w:jc w:val="both"/>
    </w:pPr>
    <w:rPr>
      <w:rFonts w:ascii="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1766D"/>
    <w:pPr>
      <w:spacing w:after="0" w:line="240" w:lineRule="auto"/>
    </w:pPr>
    <w:rPr>
      <w:rFonts w:ascii="Arial" w:hAnsi="Arial" w:cs="Arial"/>
      <w:lang w:eastAsia="en-IE"/>
    </w:rPr>
  </w:style>
  <w:style w:type="character" w:customStyle="1" w:styleId="BodyTextChar">
    <w:name w:val="Body Text Char"/>
    <w:basedOn w:val="DefaultParagraphFont"/>
    <w:link w:val="BodyText"/>
    <w:uiPriority w:val="99"/>
    <w:semiHidden/>
    <w:rsid w:val="0021766D"/>
    <w:rPr>
      <w:rFonts w:ascii="Arial" w:hAnsi="Arial" w:cs="Arial"/>
      <w:lang w:eastAsia="en-IE"/>
    </w:rPr>
  </w:style>
  <w:style w:type="table" w:customStyle="1" w:styleId="LightList-Accent11">
    <w:name w:val="Light List - Accent 11"/>
    <w:basedOn w:val="TableNormal"/>
    <w:uiPriority w:val="61"/>
    <w:rsid w:val="0021766D"/>
    <w:pPr>
      <w:spacing w:after="0" w:line="240" w:lineRule="auto"/>
      <w:jc w:val="both"/>
    </w:pPr>
    <w:rPr>
      <w:rFonts w:ascii="Calibri" w:hAnsi="Calibri" w:cs="Times New Roman"/>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21766D"/>
    <w:pPr>
      <w:spacing w:after="0" w:line="240" w:lineRule="auto"/>
      <w:jc w:val="both"/>
    </w:pPr>
    <w:rPr>
      <w:rFonts w:ascii="Calibri" w:hAnsi="Calibri" w:cs="Times New Roman"/>
      <w:sz w:val="24"/>
      <w:szCs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21766D"/>
    <w:pPr>
      <w:autoSpaceDE w:val="0"/>
      <w:autoSpaceDN w:val="0"/>
      <w:adjustRightInd w:val="0"/>
      <w:spacing w:after="0" w:line="240" w:lineRule="auto"/>
    </w:pPr>
    <w:rPr>
      <w:rFonts w:ascii="Arial" w:hAnsi="Arial" w:cs="Arial"/>
      <w:color w:val="000000"/>
      <w:sz w:val="24"/>
      <w:szCs w:val="24"/>
    </w:rPr>
  </w:style>
  <w:style w:type="table" w:customStyle="1" w:styleId="LightShading-Accent11">
    <w:name w:val="Light Shading - Accent 11"/>
    <w:basedOn w:val="TableNormal"/>
    <w:uiPriority w:val="60"/>
    <w:rsid w:val="0021766D"/>
    <w:pPr>
      <w:spacing w:after="0" w:line="240" w:lineRule="auto"/>
      <w:jc w:val="both"/>
    </w:pPr>
    <w:rPr>
      <w:rFonts w:ascii="Calibri" w:hAnsi="Calibri" w:cs="Times New Roman"/>
      <w:color w:val="365F91" w:themeColor="accent1" w:themeShade="BF"/>
      <w:sz w:val="24"/>
      <w:szCs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3481">
      <w:bodyDiv w:val="1"/>
      <w:marLeft w:val="0"/>
      <w:marRight w:val="0"/>
      <w:marTop w:val="0"/>
      <w:marBottom w:val="0"/>
      <w:divBdr>
        <w:top w:val="none" w:sz="0" w:space="0" w:color="auto"/>
        <w:left w:val="none" w:sz="0" w:space="0" w:color="auto"/>
        <w:bottom w:val="none" w:sz="0" w:space="0" w:color="auto"/>
        <w:right w:val="none" w:sz="0" w:space="0" w:color="auto"/>
      </w:divBdr>
    </w:div>
    <w:div w:id="11080653">
      <w:bodyDiv w:val="1"/>
      <w:marLeft w:val="0"/>
      <w:marRight w:val="0"/>
      <w:marTop w:val="0"/>
      <w:marBottom w:val="0"/>
      <w:divBdr>
        <w:top w:val="none" w:sz="0" w:space="0" w:color="auto"/>
        <w:left w:val="none" w:sz="0" w:space="0" w:color="auto"/>
        <w:bottom w:val="none" w:sz="0" w:space="0" w:color="auto"/>
        <w:right w:val="none" w:sz="0" w:space="0" w:color="auto"/>
      </w:divBdr>
    </w:div>
    <w:div w:id="14382823">
      <w:bodyDiv w:val="1"/>
      <w:marLeft w:val="0"/>
      <w:marRight w:val="0"/>
      <w:marTop w:val="0"/>
      <w:marBottom w:val="0"/>
      <w:divBdr>
        <w:top w:val="none" w:sz="0" w:space="0" w:color="auto"/>
        <w:left w:val="none" w:sz="0" w:space="0" w:color="auto"/>
        <w:bottom w:val="none" w:sz="0" w:space="0" w:color="auto"/>
        <w:right w:val="none" w:sz="0" w:space="0" w:color="auto"/>
      </w:divBdr>
    </w:div>
    <w:div w:id="29191949">
      <w:bodyDiv w:val="1"/>
      <w:marLeft w:val="0"/>
      <w:marRight w:val="0"/>
      <w:marTop w:val="0"/>
      <w:marBottom w:val="0"/>
      <w:divBdr>
        <w:top w:val="none" w:sz="0" w:space="0" w:color="auto"/>
        <w:left w:val="none" w:sz="0" w:space="0" w:color="auto"/>
        <w:bottom w:val="none" w:sz="0" w:space="0" w:color="auto"/>
        <w:right w:val="none" w:sz="0" w:space="0" w:color="auto"/>
      </w:divBdr>
    </w:div>
    <w:div w:id="32265981">
      <w:bodyDiv w:val="1"/>
      <w:marLeft w:val="0"/>
      <w:marRight w:val="0"/>
      <w:marTop w:val="0"/>
      <w:marBottom w:val="0"/>
      <w:divBdr>
        <w:top w:val="none" w:sz="0" w:space="0" w:color="auto"/>
        <w:left w:val="none" w:sz="0" w:space="0" w:color="auto"/>
        <w:bottom w:val="none" w:sz="0" w:space="0" w:color="auto"/>
        <w:right w:val="none" w:sz="0" w:space="0" w:color="auto"/>
      </w:divBdr>
    </w:div>
    <w:div w:id="38627262">
      <w:bodyDiv w:val="1"/>
      <w:marLeft w:val="0"/>
      <w:marRight w:val="0"/>
      <w:marTop w:val="0"/>
      <w:marBottom w:val="0"/>
      <w:divBdr>
        <w:top w:val="none" w:sz="0" w:space="0" w:color="auto"/>
        <w:left w:val="none" w:sz="0" w:space="0" w:color="auto"/>
        <w:bottom w:val="none" w:sz="0" w:space="0" w:color="auto"/>
        <w:right w:val="none" w:sz="0" w:space="0" w:color="auto"/>
      </w:divBdr>
    </w:div>
    <w:div w:id="56250589">
      <w:bodyDiv w:val="1"/>
      <w:marLeft w:val="0"/>
      <w:marRight w:val="0"/>
      <w:marTop w:val="0"/>
      <w:marBottom w:val="0"/>
      <w:divBdr>
        <w:top w:val="none" w:sz="0" w:space="0" w:color="auto"/>
        <w:left w:val="none" w:sz="0" w:space="0" w:color="auto"/>
        <w:bottom w:val="none" w:sz="0" w:space="0" w:color="auto"/>
        <w:right w:val="none" w:sz="0" w:space="0" w:color="auto"/>
      </w:divBdr>
    </w:div>
    <w:div w:id="63796026">
      <w:bodyDiv w:val="1"/>
      <w:marLeft w:val="0"/>
      <w:marRight w:val="0"/>
      <w:marTop w:val="0"/>
      <w:marBottom w:val="0"/>
      <w:divBdr>
        <w:top w:val="none" w:sz="0" w:space="0" w:color="auto"/>
        <w:left w:val="none" w:sz="0" w:space="0" w:color="auto"/>
        <w:bottom w:val="none" w:sz="0" w:space="0" w:color="auto"/>
        <w:right w:val="none" w:sz="0" w:space="0" w:color="auto"/>
      </w:divBdr>
    </w:div>
    <w:div w:id="84152705">
      <w:bodyDiv w:val="1"/>
      <w:marLeft w:val="0"/>
      <w:marRight w:val="0"/>
      <w:marTop w:val="0"/>
      <w:marBottom w:val="0"/>
      <w:divBdr>
        <w:top w:val="none" w:sz="0" w:space="0" w:color="auto"/>
        <w:left w:val="none" w:sz="0" w:space="0" w:color="auto"/>
        <w:bottom w:val="none" w:sz="0" w:space="0" w:color="auto"/>
        <w:right w:val="none" w:sz="0" w:space="0" w:color="auto"/>
      </w:divBdr>
    </w:div>
    <w:div w:id="86461728">
      <w:bodyDiv w:val="1"/>
      <w:marLeft w:val="0"/>
      <w:marRight w:val="0"/>
      <w:marTop w:val="0"/>
      <w:marBottom w:val="0"/>
      <w:divBdr>
        <w:top w:val="none" w:sz="0" w:space="0" w:color="auto"/>
        <w:left w:val="none" w:sz="0" w:space="0" w:color="auto"/>
        <w:bottom w:val="none" w:sz="0" w:space="0" w:color="auto"/>
        <w:right w:val="none" w:sz="0" w:space="0" w:color="auto"/>
      </w:divBdr>
    </w:div>
    <w:div w:id="92937737">
      <w:bodyDiv w:val="1"/>
      <w:marLeft w:val="0"/>
      <w:marRight w:val="0"/>
      <w:marTop w:val="0"/>
      <w:marBottom w:val="0"/>
      <w:divBdr>
        <w:top w:val="none" w:sz="0" w:space="0" w:color="auto"/>
        <w:left w:val="none" w:sz="0" w:space="0" w:color="auto"/>
        <w:bottom w:val="none" w:sz="0" w:space="0" w:color="auto"/>
        <w:right w:val="none" w:sz="0" w:space="0" w:color="auto"/>
      </w:divBdr>
    </w:div>
    <w:div w:id="118300535">
      <w:bodyDiv w:val="1"/>
      <w:marLeft w:val="0"/>
      <w:marRight w:val="0"/>
      <w:marTop w:val="0"/>
      <w:marBottom w:val="0"/>
      <w:divBdr>
        <w:top w:val="none" w:sz="0" w:space="0" w:color="auto"/>
        <w:left w:val="none" w:sz="0" w:space="0" w:color="auto"/>
        <w:bottom w:val="none" w:sz="0" w:space="0" w:color="auto"/>
        <w:right w:val="none" w:sz="0" w:space="0" w:color="auto"/>
      </w:divBdr>
    </w:div>
    <w:div w:id="123695337">
      <w:bodyDiv w:val="1"/>
      <w:marLeft w:val="0"/>
      <w:marRight w:val="0"/>
      <w:marTop w:val="0"/>
      <w:marBottom w:val="0"/>
      <w:divBdr>
        <w:top w:val="none" w:sz="0" w:space="0" w:color="auto"/>
        <w:left w:val="none" w:sz="0" w:space="0" w:color="auto"/>
        <w:bottom w:val="none" w:sz="0" w:space="0" w:color="auto"/>
        <w:right w:val="none" w:sz="0" w:space="0" w:color="auto"/>
      </w:divBdr>
    </w:div>
    <w:div w:id="149953236">
      <w:bodyDiv w:val="1"/>
      <w:marLeft w:val="0"/>
      <w:marRight w:val="0"/>
      <w:marTop w:val="0"/>
      <w:marBottom w:val="0"/>
      <w:divBdr>
        <w:top w:val="none" w:sz="0" w:space="0" w:color="auto"/>
        <w:left w:val="none" w:sz="0" w:space="0" w:color="auto"/>
        <w:bottom w:val="none" w:sz="0" w:space="0" w:color="auto"/>
        <w:right w:val="none" w:sz="0" w:space="0" w:color="auto"/>
      </w:divBdr>
    </w:div>
    <w:div w:id="151800766">
      <w:bodyDiv w:val="1"/>
      <w:marLeft w:val="0"/>
      <w:marRight w:val="0"/>
      <w:marTop w:val="0"/>
      <w:marBottom w:val="0"/>
      <w:divBdr>
        <w:top w:val="none" w:sz="0" w:space="0" w:color="auto"/>
        <w:left w:val="none" w:sz="0" w:space="0" w:color="auto"/>
        <w:bottom w:val="none" w:sz="0" w:space="0" w:color="auto"/>
        <w:right w:val="none" w:sz="0" w:space="0" w:color="auto"/>
      </w:divBdr>
    </w:div>
    <w:div w:id="173961509">
      <w:bodyDiv w:val="1"/>
      <w:marLeft w:val="0"/>
      <w:marRight w:val="0"/>
      <w:marTop w:val="0"/>
      <w:marBottom w:val="0"/>
      <w:divBdr>
        <w:top w:val="none" w:sz="0" w:space="0" w:color="auto"/>
        <w:left w:val="none" w:sz="0" w:space="0" w:color="auto"/>
        <w:bottom w:val="none" w:sz="0" w:space="0" w:color="auto"/>
        <w:right w:val="none" w:sz="0" w:space="0" w:color="auto"/>
      </w:divBdr>
    </w:div>
    <w:div w:id="192773137">
      <w:bodyDiv w:val="1"/>
      <w:marLeft w:val="0"/>
      <w:marRight w:val="0"/>
      <w:marTop w:val="0"/>
      <w:marBottom w:val="0"/>
      <w:divBdr>
        <w:top w:val="none" w:sz="0" w:space="0" w:color="auto"/>
        <w:left w:val="none" w:sz="0" w:space="0" w:color="auto"/>
        <w:bottom w:val="none" w:sz="0" w:space="0" w:color="auto"/>
        <w:right w:val="none" w:sz="0" w:space="0" w:color="auto"/>
      </w:divBdr>
    </w:div>
    <w:div w:id="195965430">
      <w:bodyDiv w:val="1"/>
      <w:marLeft w:val="0"/>
      <w:marRight w:val="0"/>
      <w:marTop w:val="0"/>
      <w:marBottom w:val="0"/>
      <w:divBdr>
        <w:top w:val="none" w:sz="0" w:space="0" w:color="auto"/>
        <w:left w:val="none" w:sz="0" w:space="0" w:color="auto"/>
        <w:bottom w:val="none" w:sz="0" w:space="0" w:color="auto"/>
        <w:right w:val="none" w:sz="0" w:space="0" w:color="auto"/>
      </w:divBdr>
    </w:div>
    <w:div w:id="235675323">
      <w:bodyDiv w:val="1"/>
      <w:marLeft w:val="0"/>
      <w:marRight w:val="0"/>
      <w:marTop w:val="0"/>
      <w:marBottom w:val="0"/>
      <w:divBdr>
        <w:top w:val="none" w:sz="0" w:space="0" w:color="auto"/>
        <w:left w:val="none" w:sz="0" w:space="0" w:color="auto"/>
        <w:bottom w:val="none" w:sz="0" w:space="0" w:color="auto"/>
        <w:right w:val="none" w:sz="0" w:space="0" w:color="auto"/>
      </w:divBdr>
    </w:div>
    <w:div w:id="239020145">
      <w:bodyDiv w:val="1"/>
      <w:marLeft w:val="0"/>
      <w:marRight w:val="0"/>
      <w:marTop w:val="0"/>
      <w:marBottom w:val="0"/>
      <w:divBdr>
        <w:top w:val="none" w:sz="0" w:space="0" w:color="auto"/>
        <w:left w:val="none" w:sz="0" w:space="0" w:color="auto"/>
        <w:bottom w:val="none" w:sz="0" w:space="0" w:color="auto"/>
        <w:right w:val="none" w:sz="0" w:space="0" w:color="auto"/>
      </w:divBdr>
    </w:div>
    <w:div w:id="239293878">
      <w:bodyDiv w:val="1"/>
      <w:marLeft w:val="0"/>
      <w:marRight w:val="0"/>
      <w:marTop w:val="0"/>
      <w:marBottom w:val="0"/>
      <w:divBdr>
        <w:top w:val="none" w:sz="0" w:space="0" w:color="auto"/>
        <w:left w:val="none" w:sz="0" w:space="0" w:color="auto"/>
        <w:bottom w:val="none" w:sz="0" w:space="0" w:color="auto"/>
        <w:right w:val="none" w:sz="0" w:space="0" w:color="auto"/>
      </w:divBdr>
    </w:div>
    <w:div w:id="247153690">
      <w:bodyDiv w:val="1"/>
      <w:marLeft w:val="0"/>
      <w:marRight w:val="0"/>
      <w:marTop w:val="0"/>
      <w:marBottom w:val="0"/>
      <w:divBdr>
        <w:top w:val="none" w:sz="0" w:space="0" w:color="auto"/>
        <w:left w:val="none" w:sz="0" w:space="0" w:color="auto"/>
        <w:bottom w:val="none" w:sz="0" w:space="0" w:color="auto"/>
        <w:right w:val="none" w:sz="0" w:space="0" w:color="auto"/>
      </w:divBdr>
    </w:div>
    <w:div w:id="251202487">
      <w:bodyDiv w:val="1"/>
      <w:marLeft w:val="0"/>
      <w:marRight w:val="0"/>
      <w:marTop w:val="0"/>
      <w:marBottom w:val="0"/>
      <w:divBdr>
        <w:top w:val="none" w:sz="0" w:space="0" w:color="auto"/>
        <w:left w:val="none" w:sz="0" w:space="0" w:color="auto"/>
        <w:bottom w:val="none" w:sz="0" w:space="0" w:color="auto"/>
        <w:right w:val="none" w:sz="0" w:space="0" w:color="auto"/>
      </w:divBdr>
    </w:div>
    <w:div w:id="280187604">
      <w:bodyDiv w:val="1"/>
      <w:marLeft w:val="0"/>
      <w:marRight w:val="0"/>
      <w:marTop w:val="0"/>
      <w:marBottom w:val="0"/>
      <w:divBdr>
        <w:top w:val="none" w:sz="0" w:space="0" w:color="auto"/>
        <w:left w:val="none" w:sz="0" w:space="0" w:color="auto"/>
        <w:bottom w:val="none" w:sz="0" w:space="0" w:color="auto"/>
        <w:right w:val="none" w:sz="0" w:space="0" w:color="auto"/>
      </w:divBdr>
    </w:div>
    <w:div w:id="286205116">
      <w:bodyDiv w:val="1"/>
      <w:marLeft w:val="0"/>
      <w:marRight w:val="0"/>
      <w:marTop w:val="0"/>
      <w:marBottom w:val="0"/>
      <w:divBdr>
        <w:top w:val="none" w:sz="0" w:space="0" w:color="auto"/>
        <w:left w:val="none" w:sz="0" w:space="0" w:color="auto"/>
        <w:bottom w:val="none" w:sz="0" w:space="0" w:color="auto"/>
        <w:right w:val="none" w:sz="0" w:space="0" w:color="auto"/>
      </w:divBdr>
    </w:div>
    <w:div w:id="302080254">
      <w:bodyDiv w:val="1"/>
      <w:marLeft w:val="0"/>
      <w:marRight w:val="0"/>
      <w:marTop w:val="0"/>
      <w:marBottom w:val="0"/>
      <w:divBdr>
        <w:top w:val="none" w:sz="0" w:space="0" w:color="auto"/>
        <w:left w:val="none" w:sz="0" w:space="0" w:color="auto"/>
        <w:bottom w:val="none" w:sz="0" w:space="0" w:color="auto"/>
        <w:right w:val="none" w:sz="0" w:space="0" w:color="auto"/>
      </w:divBdr>
    </w:div>
    <w:div w:id="307176055">
      <w:bodyDiv w:val="1"/>
      <w:marLeft w:val="0"/>
      <w:marRight w:val="0"/>
      <w:marTop w:val="0"/>
      <w:marBottom w:val="0"/>
      <w:divBdr>
        <w:top w:val="none" w:sz="0" w:space="0" w:color="auto"/>
        <w:left w:val="none" w:sz="0" w:space="0" w:color="auto"/>
        <w:bottom w:val="none" w:sz="0" w:space="0" w:color="auto"/>
        <w:right w:val="none" w:sz="0" w:space="0" w:color="auto"/>
      </w:divBdr>
    </w:div>
    <w:div w:id="316959275">
      <w:bodyDiv w:val="1"/>
      <w:marLeft w:val="0"/>
      <w:marRight w:val="0"/>
      <w:marTop w:val="0"/>
      <w:marBottom w:val="0"/>
      <w:divBdr>
        <w:top w:val="none" w:sz="0" w:space="0" w:color="auto"/>
        <w:left w:val="none" w:sz="0" w:space="0" w:color="auto"/>
        <w:bottom w:val="none" w:sz="0" w:space="0" w:color="auto"/>
        <w:right w:val="none" w:sz="0" w:space="0" w:color="auto"/>
      </w:divBdr>
    </w:div>
    <w:div w:id="334110371">
      <w:bodyDiv w:val="1"/>
      <w:marLeft w:val="0"/>
      <w:marRight w:val="0"/>
      <w:marTop w:val="0"/>
      <w:marBottom w:val="0"/>
      <w:divBdr>
        <w:top w:val="none" w:sz="0" w:space="0" w:color="auto"/>
        <w:left w:val="none" w:sz="0" w:space="0" w:color="auto"/>
        <w:bottom w:val="none" w:sz="0" w:space="0" w:color="auto"/>
        <w:right w:val="none" w:sz="0" w:space="0" w:color="auto"/>
      </w:divBdr>
    </w:div>
    <w:div w:id="337657939">
      <w:bodyDiv w:val="1"/>
      <w:marLeft w:val="0"/>
      <w:marRight w:val="0"/>
      <w:marTop w:val="0"/>
      <w:marBottom w:val="0"/>
      <w:divBdr>
        <w:top w:val="none" w:sz="0" w:space="0" w:color="auto"/>
        <w:left w:val="none" w:sz="0" w:space="0" w:color="auto"/>
        <w:bottom w:val="none" w:sz="0" w:space="0" w:color="auto"/>
        <w:right w:val="none" w:sz="0" w:space="0" w:color="auto"/>
      </w:divBdr>
    </w:div>
    <w:div w:id="339898015">
      <w:bodyDiv w:val="1"/>
      <w:marLeft w:val="0"/>
      <w:marRight w:val="0"/>
      <w:marTop w:val="0"/>
      <w:marBottom w:val="0"/>
      <w:divBdr>
        <w:top w:val="none" w:sz="0" w:space="0" w:color="auto"/>
        <w:left w:val="none" w:sz="0" w:space="0" w:color="auto"/>
        <w:bottom w:val="none" w:sz="0" w:space="0" w:color="auto"/>
        <w:right w:val="none" w:sz="0" w:space="0" w:color="auto"/>
      </w:divBdr>
    </w:div>
    <w:div w:id="344526665">
      <w:bodyDiv w:val="1"/>
      <w:marLeft w:val="0"/>
      <w:marRight w:val="0"/>
      <w:marTop w:val="0"/>
      <w:marBottom w:val="0"/>
      <w:divBdr>
        <w:top w:val="none" w:sz="0" w:space="0" w:color="auto"/>
        <w:left w:val="none" w:sz="0" w:space="0" w:color="auto"/>
        <w:bottom w:val="none" w:sz="0" w:space="0" w:color="auto"/>
        <w:right w:val="none" w:sz="0" w:space="0" w:color="auto"/>
      </w:divBdr>
    </w:div>
    <w:div w:id="348415503">
      <w:bodyDiv w:val="1"/>
      <w:marLeft w:val="0"/>
      <w:marRight w:val="0"/>
      <w:marTop w:val="0"/>
      <w:marBottom w:val="0"/>
      <w:divBdr>
        <w:top w:val="none" w:sz="0" w:space="0" w:color="auto"/>
        <w:left w:val="none" w:sz="0" w:space="0" w:color="auto"/>
        <w:bottom w:val="none" w:sz="0" w:space="0" w:color="auto"/>
        <w:right w:val="none" w:sz="0" w:space="0" w:color="auto"/>
      </w:divBdr>
    </w:div>
    <w:div w:id="357128174">
      <w:bodyDiv w:val="1"/>
      <w:marLeft w:val="0"/>
      <w:marRight w:val="0"/>
      <w:marTop w:val="0"/>
      <w:marBottom w:val="0"/>
      <w:divBdr>
        <w:top w:val="none" w:sz="0" w:space="0" w:color="auto"/>
        <w:left w:val="none" w:sz="0" w:space="0" w:color="auto"/>
        <w:bottom w:val="none" w:sz="0" w:space="0" w:color="auto"/>
        <w:right w:val="none" w:sz="0" w:space="0" w:color="auto"/>
      </w:divBdr>
    </w:div>
    <w:div w:id="361974663">
      <w:bodyDiv w:val="1"/>
      <w:marLeft w:val="33"/>
      <w:marRight w:val="33"/>
      <w:marTop w:val="33"/>
      <w:marBottom w:val="33"/>
      <w:divBdr>
        <w:top w:val="none" w:sz="0" w:space="0" w:color="auto"/>
        <w:left w:val="none" w:sz="0" w:space="0" w:color="auto"/>
        <w:bottom w:val="none" w:sz="0" w:space="0" w:color="auto"/>
        <w:right w:val="none" w:sz="0" w:space="0" w:color="auto"/>
      </w:divBdr>
      <w:divsChild>
        <w:div w:id="1956253838">
          <w:marLeft w:val="0"/>
          <w:marRight w:val="0"/>
          <w:marTop w:val="0"/>
          <w:marBottom w:val="0"/>
          <w:divBdr>
            <w:top w:val="none" w:sz="0" w:space="0" w:color="auto"/>
            <w:left w:val="none" w:sz="0" w:space="0" w:color="auto"/>
            <w:bottom w:val="none" w:sz="0" w:space="0" w:color="auto"/>
            <w:right w:val="none" w:sz="0" w:space="0" w:color="auto"/>
          </w:divBdr>
        </w:div>
      </w:divsChild>
    </w:div>
    <w:div w:id="382993172">
      <w:bodyDiv w:val="1"/>
      <w:marLeft w:val="0"/>
      <w:marRight w:val="0"/>
      <w:marTop w:val="0"/>
      <w:marBottom w:val="0"/>
      <w:divBdr>
        <w:top w:val="none" w:sz="0" w:space="0" w:color="auto"/>
        <w:left w:val="none" w:sz="0" w:space="0" w:color="auto"/>
        <w:bottom w:val="none" w:sz="0" w:space="0" w:color="auto"/>
        <w:right w:val="none" w:sz="0" w:space="0" w:color="auto"/>
      </w:divBdr>
    </w:div>
    <w:div w:id="394621337">
      <w:bodyDiv w:val="1"/>
      <w:marLeft w:val="0"/>
      <w:marRight w:val="0"/>
      <w:marTop w:val="0"/>
      <w:marBottom w:val="0"/>
      <w:divBdr>
        <w:top w:val="none" w:sz="0" w:space="0" w:color="auto"/>
        <w:left w:val="none" w:sz="0" w:space="0" w:color="auto"/>
        <w:bottom w:val="none" w:sz="0" w:space="0" w:color="auto"/>
        <w:right w:val="none" w:sz="0" w:space="0" w:color="auto"/>
      </w:divBdr>
    </w:div>
    <w:div w:id="396323678">
      <w:bodyDiv w:val="1"/>
      <w:marLeft w:val="0"/>
      <w:marRight w:val="0"/>
      <w:marTop w:val="0"/>
      <w:marBottom w:val="0"/>
      <w:divBdr>
        <w:top w:val="none" w:sz="0" w:space="0" w:color="auto"/>
        <w:left w:val="none" w:sz="0" w:space="0" w:color="auto"/>
        <w:bottom w:val="none" w:sz="0" w:space="0" w:color="auto"/>
        <w:right w:val="none" w:sz="0" w:space="0" w:color="auto"/>
      </w:divBdr>
    </w:div>
    <w:div w:id="420877925">
      <w:bodyDiv w:val="1"/>
      <w:marLeft w:val="0"/>
      <w:marRight w:val="0"/>
      <w:marTop w:val="0"/>
      <w:marBottom w:val="0"/>
      <w:divBdr>
        <w:top w:val="none" w:sz="0" w:space="0" w:color="auto"/>
        <w:left w:val="none" w:sz="0" w:space="0" w:color="auto"/>
        <w:bottom w:val="none" w:sz="0" w:space="0" w:color="auto"/>
        <w:right w:val="none" w:sz="0" w:space="0" w:color="auto"/>
      </w:divBdr>
    </w:div>
    <w:div w:id="452987079">
      <w:bodyDiv w:val="1"/>
      <w:marLeft w:val="0"/>
      <w:marRight w:val="0"/>
      <w:marTop w:val="0"/>
      <w:marBottom w:val="0"/>
      <w:divBdr>
        <w:top w:val="none" w:sz="0" w:space="0" w:color="auto"/>
        <w:left w:val="none" w:sz="0" w:space="0" w:color="auto"/>
        <w:bottom w:val="none" w:sz="0" w:space="0" w:color="auto"/>
        <w:right w:val="none" w:sz="0" w:space="0" w:color="auto"/>
      </w:divBdr>
    </w:div>
    <w:div w:id="454371387">
      <w:bodyDiv w:val="1"/>
      <w:marLeft w:val="0"/>
      <w:marRight w:val="0"/>
      <w:marTop w:val="0"/>
      <w:marBottom w:val="0"/>
      <w:divBdr>
        <w:top w:val="none" w:sz="0" w:space="0" w:color="auto"/>
        <w:left w:val="none" w:sz="0" w:space="0" w:color="auto"/>
        <w:bottom w:val="none" w:sz="0" w:space="0" w:color="auto"/>
        <w:right w:val="none" w:sz="0" w:space="0" w:color="auto"/>
      </w:divBdr>
    </w:div>
    <w:div w:id="461995488">
      <w:bodyDiv w:val="1"/>
      <w:marLeft w:val="0"/>
      <w:marRight w:val="0"/>
      <w:marTop w:val="0"/>
      <w:marBottom w:val="0"/>
      <w:divBdr>
        <w:top w:val="none" w:sz="0" w:space="0" w:color="auto"/>
        <w:left w:val="none" w:sz="0" w:space="0" w:color="auto"/>
        <w:bottom w:val="none" w:sz="0" w:space="0" w:color="auto"/>
        <w:right w:val="none" w:sz="0" w:space="0" w:color="auto"/>
      </w:divBdr>
    </w:div>
    <w:div w:id="494227214">
      <w:bodyDiv w:val="1"/>
      <w:marLeft w:val="0"/>
      <w:marRight w:val="0"/>
      <w:marTop w:val="0"/>
      <w:marBottom w:val="0"/>
      <w:divBdr>
        <w:top w:val="none" w:sz="0" w:space="0" w:color="auto"/>
        <w:left w:val="none" w:sz="0" w:space="0" w:color="auto"/>
        <w:bottom w:val="none" w:sz="0" w:space="0" w:color="auto"/>
        <w:right w:val="none" w:sz="0" w:space="0" w:color="auto"/>
      </w:divBdr>
    </w:div>
    <w:div w:id="496117628">
      <w:bodyDiv w:val="1"/>
      <w:marLeft w:val="0"/>
      <w:marRight w:val="0"/>
      <w:marTop w:val="0"/>
      <w:marBottom w:val="0"/>
      <w:divBdr>
        <w:top w:val="none" w:sz="0" w:space="0" w:color="auto"/>
        <w:left w:val="none" w:sz="0" w:space="0" w:color="auto"/>
        <w:bottom w:val="none" w:sz="0" w:space="0" w:color="auto"/>
        <w:right w:val="none" w:sz="0" w:space="0" w:color="auto"/>
      </w:divBdr>
    </w:div>
    <w:div w:id="502552890">
      <w:bodyDiv w:val="1"/>
      <w:marLeft w:val="0"/>
      <w:marRight w:val="0"/>
      <w:marTop w:val="0"/>
      <w:marBottom w:val="0"/>
      <w:divBdr>
        <w:top w:val="none" w:sz="0" w:space="0" w:color="auto"/>
        <w:left w:val="none" w:sz="0" w:space="0" w:color="auto"/>
        <w:bottom w:val="none" w:sz="0" w:space="0" w:color="auto"/>
        <w:right w:val="none" w:sz="0" w:space="0" w:color="auto"/>
      </w:divBdr>
    </w:div>
    <w:div w:id="502823262">
      <w:bodyDiv w:val="1"/>
      <w:marLeft w:val="0"/>
      <w:marRight w:val="0"/>
      <w:marTop w:val="0"/>
      <w:marBottom w:val="0"/>
      <w:divBdr>
        <w:top w:val="none" w:sz="0" w:space="0" w:color="auto"/>
        <w:left w:val="none" w:sz="0" w:space="0" w:color="auto"/>
        <w:bottom w:val="none" w:sz="0" w:space="0" w:color="auto"/>
        <w:right w:val="none" w:sz="0" w:space="0" w:color="auto"/>
      </w:divBdr>
    </w:div>
    <w:div w:id="506670805">
      <w:bodyDiv w:val="1"/>
      <w:marLeft w:val="0"/>
      <w:marRight w:val="0"/>
      <w:marTop w:val="0"/>
      <w:marBottom w:val="0"/>
      <w:divBdr>
        <w:top w:val="none" w:sz="0" w:space="0" w:color="auto"/>
        <w:left w:val="none" w:sz="0" w:space="0" w:color="auto"/>
        <w:bottom w:val="none" w:sz="0" w:space="0" w:color="auto"/>
        <w:right w:val="none" w:sz="0" w:space="0" w:color="auto"/>
      </w:divBdr>
    </w:div>
    <w:div w:id="520824229">
      <w:bodyDiv w:val="1"/>
      <w:marLeft w:val="0"/>
      <w:marRight w:val="0"/>
      <w:marTop w:val="0"/>
      <w:marBottom w:val="0"/>
      <w:divBdr>
        <w:top w:val="none" w:sz="0" w:space="0" w:color="auto"/>
        <w:left w:val="none" w:sz="0" w:space="0" w:color="auto"/>
        <w:bottom w:val="none" w:sz="0" w:space="0" w:color="auto"/>
        <w:right w:val="none" w:sz="0" w:space="0" w:color="auto"/>
      </w:divBdr>
    </w:div>
    <w:div w:id="523904070">
      <w:bodyDiv w:val="1"/>
      <w:marLeft w:val="0"/>
      <w:marRight w:val="0"/>
      <w:marTop w:val="0"/>
      <w:marBottom w:val="0"/>
      <w:divBdr>
        <w:top w:val="none" w:sz="0" w:space="0" w:color="auto"/>
        <w:left w:val="none" w:sz="0" w:space="0" w:color="auto"/>
        <w:bottom w:val="none" w:sz="0" w:space="0" w:color="auto"/>
        <w:right w:val="none" w:sz="0" w:space="0" w:color="auto"/>
      </w:divBdr>
    </w:div>
    <w:div w:id="532307730">
      <w:bodyDiv w:val="1"/>
      <w:marLeft w:val="0"/>
      <w:marRight w:val="0"/>
      <w:marTop w:val="0"/>
      <w:marBottom w:val="0"/>
      <w:divBdr>
        <w:top w:val="none" w:sz="0" w:space="0" w:color="auto"/>
        <w:left w:val="none" w:sz="0" w:space="0" w:color="auto"/>
        <w:bottom w:val="none" w:sz="0" w:space="0" w:color="auto"/>
        <w:right w:val="none" w:sz="0" w:space="0" w:color="auto"/>
      </w:divBdr>
    </w:div>
    <w:div w:id="557085806">
      <w:bodyDiv w:val="1"/>
      <w:marLeft w:val="0"/>
      <w:marRight w:val="0"/>
      <w:marTop w:val="0"/>
      <w:marBottom w:val="0"/>
      <w:divBdr>
        <w:top w:val="none" w:sz="0" w:space="0" w:color="auto"/>
        <w:left w:val="none" w:sz="0" w:space="0" w:color="auto"/>
        <w:bottom w:val="none" w:sz="0" w:space="0" w:color="auto"/>
        <w:right w:val="none" w:sz="0" w:space="0" w:color="auto"/>
      </w:divBdr>
    </w:div>
    <w:div w:id="569578361">
      <w:bodyDiv w:val="1"/>
      <w:marLeft w:val="0"/>
      <w:marRight w:val="0"/>
      <w:marTop w:val="0"/>
      <w:marBottom w:val="0"/>
      <w:divBdr>
        <w:top w:val="none" w:sz="0" w:space="0" w:color="auto"/>
        <w:left w:val="none" w:sz="0" w:space="0" w:color="auto"/>
        <w:bottom w:val="none" w:sz="0" w:space="0" w:color="auto"/>
        <w:right w:val="none" w:sz="0" w:space="0" w:color="auto"/>
      </w:divBdr>
    </w:div>
    <w:div w:id="597644460">
      <w:bodyDiv w:val="1"/>
      <w:marLeft w:val="0"/>
      <w:marRight w:val="0"/>
      <w:marTop w:val="0"/>
      <w:marBottom w:val="0"/>
      <w:divBdr>
        <w:top w:val="none" w:sz="0" w:space="0" w:color="auto"/>
        <w:left w:val="none" w:sz="0" w:space="0" w:color="auto"/>
        <w:bottom w:val="none" w:sz="0" w:space="0" w:color="auto"/>
        <w:right w:val="none" w:sz="0" w:space="0" w:color="auto"/>
      </w:divBdr>
    </w:div>
    <w:div w:id="604267644">
      <w:bodyDiv w:val="1"/>
      <w:marLeft w:val="0"/>
      <w:marRight w:val="0"/>
      <w:marTop w:val="0"/>
      <w:marBottom w:val="0"/>
      <w:divBdr>
        <w:top w:val="none" w:sz="0" w:space="0" w:color="auto"/>
        <w:left w:val="none" w:sz="0" w:space="0" w:color="auto"/>
        <w:bottom w:val="none" w:sz="0" w:space="0" w:color="auto"/>
        <w:right w:val="none" w:sz="0" w:space="0" w:color="auto"/>
      </w:divBdr>
    </w:div>
    <w:div w:id="623275554">
      <w:bodyDiv w:val="1"/>
      <w:marLeft w:val="0"/>
      <w:marRight w:val="0"/>
      <w:marTop w:val="0"/>
      <w:marBottom w:val="0"/>
      <w:divBdr>
        <w:top w:val="none" w:sz="0" w:space="0" w:color="auto"/>
        <w:left w:val="none" w:sz="0" w:space="0" w:color="auto"/>
        <w:bottom w:val="none" w:sz="0" w:space="0" w:color="auto"/>
        <w:right w:val="none" w:sz="0" w:space="0" w:color="auto"/>
      </w:divBdr>
    </w:div>
    <w:div w:id="623926423">
      <w:bodyDiv w:val="1"/>
      <w:marLeft w:val="0"/>
      <w:marRight w:val="0"/>
      <w:marTop w:val="0"/>
      <w:marBottom w:val="0"/>
      <w:divBdr>
        <w:top w:val="none" w:sz="0" w:space="0" w:color="auto"/>
        <w:left w:val="none" w:sz="0" w:space="0" w:color="auto"/>
        <w:bottom w:val="none" w:sz="0" w:space="0" w:color="auto"/>
        <w:right w:val="none" w:sz="0" w:space="0" w:color="auto"/>
      </w:divBdr>
    </w:div>
    <w:div w:id="633870332">
      <w:bodyDiv w:val="1"/>
      <w:marLeft w:val="0"/>
      <w:marRight w:val="0"/>
      <w:marTop w:val="0"/>
      <w:marBottom w:val="0"/>
      <w:divBdr>
        <w:top w:val="none" w:sz="0" w:space="0" w:color="auto"/>
        <w:left w:val="none" w:sz="0" w:space="0" w:color="auto"/>
        <w:bottom w:val="none" w:sz="0" w:space="0" w:color="auto"/>
        <w:right w:val="none" w:sz="0" w:space="0" w:color="auto"/>
      </w:divBdr>
    </w:div>
    <w:div w:id="649091576">
      <w:bodyDiv w:val="1"/>
      <w:marLeft w:val="0"/>
      <w:marRight w:val="0"/>
      <w:marTop w:val="0"/>
      <w:marBottom w:val="0"/>
      <w:divBdr>
        <w:top w:val="none" w:sz="0" w:space="0" w:color="auto"/>
        <w:left w:val="none" w:sz="0" w:space="0" w:color="auto"/>
        <w:bottom w:val="none" w:sz="0" w:space="0" w:color="auto"/>
        <w:right w:val="none" w:sz="0" w:space="0" w:color="auto"/>
      </w:divBdr>
    </w:div>
    <w:div w:id="685210751">
      <w:bodyDiv w:val="1"/>
      <w:marLeft w:val="0"/>
      <w:marRight w:val="0"/>
      <w:marTop w:val="0"/>
      <w:marBottom w:val="0"/>
      <w:divBdr>
        <w:top w:val="none" w:sz="0" w:space="0" w:color="auto"/>
        <w:left w:val="none" w:sz="0" w:space="0" w:color="auto"/>
        <w:bottom w:val="none" w:sz="0" w:space="0" w:color="auto"/>
        <w:right w:val="none" w:sz="0" w:space="0" w:color="auto"/>
      </w:divBdr>
    </w:div>
    <w:div w:id="694381885">
      <w:bodyDiv w:val="1"/>
      <w:marLeft w:val="0"/>
      <w:marRight w:val="0"/>
      <w:marTop w:val="0"/>
      <w:marBottom w:val="0"/>
      <w:divBdr>
        <w:top w:val="none" w:sz="0" w:space="0" w:color="auto"/>
        <w:left w:val="none" w:sz="0" w:space="0" w:color="auto"/>
        <w:bottom w:val="none" w:sz="0" w:space="0" w:color="auto"/>
        <w:right w:val="none" w:sz="0" w:space="0" w:color="auto"/>
      </w:divBdr>
    </w:div>
    <w:div w:id="701707118">
      <w:bodyDiv w:val="1"/>
      <w:marLeft w:val="0"/>
      <w:marRight w:val="0"/>
      <w:marTop w:val="0"/>
      <w:marBottom w:val="0"/>
      <w:divBdr>
        <w:top w:val="none" w:sz="0" w:space="0" w:color="auto"/>
        <w:left w:val="none" w:sz="0" w:space="0" w:color="auto"/>
        <w:bottom w:val="none" w:sz="0" w:space="0" w:color="auto"/>
        <w:right w:val="none" w:sz="0" w:space="0" w:color="auto"/>
      </w:divBdr>
    </w:div>
    <w:div w:id="710349376">
      <w:bodyDiv w:val="1"/>
      <w:marLeft w:val="0"/>
      <w:marRight w:val="0"/>
      <w:marTop w:val="0"/>
      <w:marBottom w:val="0"/>
      <w:divBdr>
        <w:top w:val="none" w:sz="0" w:space="0" w:color="auto"/>
        <w:left w:val="none" w:sz="0" w:space="0" w:color="auto"/>
        <w:bottom w:val="none" w:sz="0" w:space="0" w:color="auto"/>
        <w:right w:val="none" w:sz="0" w:space="0" w:color="auto"/>
      </w:divBdr>
    </w:div>
    <w:div w:id="738598318">
      <w:bodyDiv w:val="1"/>
      <w:marLeft w:val="0"/>
      <w:marRight w:val="0"/>
      <w:marTop w:val="0"/>
      <w:marBottom w:val="0"/>
      <w:divBdr>
        <w:top w:val="none" w:sz="0" w:space="0" w:color="auto"/>
        <w:left w:val="none" w:sz="0" w:space="0" w:color="auto"/>
        <w:bottom w:val="none" w:sz="0" w:space="0" w:color="auto"/>
        <w:right w:val="none" w:sz="0" w:space="0" w:color="auto"/>
      </w:divBdr>
    </w:div>
    <w:div w:id="743723363">
      <w:bodyDiv w:val="1"/>
      <w:marLeft w:val="0"/>
      <w:marRight w:val="0"/>
      <w:marTop w:val="0"/>
      <w:marBottom w:val="0"/>
      <w:divBdr>
        <w:top w:val="none" w:sz="0" w:space="0" w:color="auto"/>
        <w:left w:val="none" w:sz="0" w:space="0" w:color="auto"/>
        <w:bottom w:val="none" w:sz="0" w:space="0" w:color="auto"/>
        <w:right w:val="none" w:sz="0" w:space="0" w:color="auto"/>
      </w:divBdr>
    </w:div>
    <w:div w:id="757483680">
      <w:bodyDiv w:val="1"/>
      <w:marLeft w:val="0"/>
      <w:marRight w:val="0"/>
      <w:marTop w:val="0"/>
      <w:marBottom w:val="0"/>
      <w:divBdr>
        <w:top w:val="none" w:sz="0" w:space="0" w:color="auto"/>
        <w:left w:val="none" w:sz="0" w:space="0" w:color="auto"/>
        <w:bottom w:val="none" w:sz="0" w:space="0" w:color="auto"/>
        <w:right w:val="none" w:sz="0" w:space="0" w:color="auto"/>
      </w:divBdr>
    </w:div>
    <w:div w:id="763185726">
      <w:bodyDiv w:val="1"/>
      <w:marLeft w:val="0"/>
      <w:marRight w:val="0"/>
      <w:marTop w:val="0"/>
      <w:marBottom w:val="0"/>
      <w:divBdr>
        <w:top w:val="none" w:sz="0" w:space="0" w:color="auto"/>
        <w:left w:val="none" w:sz="0" w:space="0" w:color="auto"/>
        <w:bottom w:val="none" w:sz="0" w:space="0" w:color="auto"/>
        <w:right w:val="none" w:sz="0" w:space="0" w:color="auto"/>
      </w:divBdr>
    </w:div>
    <w:div w:id="778987640">
      <w:bodyDiv w:val="1"/>
      <w:marLeft w:val="0"/>
      <w:marRight w:val="0"/>
      <w:marTop w:val="0"/>
      <w:marBottom w:val="0"/>
      <w:divBdr>
        <w:top w:val="none" w:sz="0" w:space="0" w:color="auto"/>
        <w:left w:val="none" w:sz="0" w:space="0" w:color="auto"/>
        <w:bottom w:val="none" w:sz="0" w:space="0" w:color="auto"/>
        <w:right w:val="none" w:sz="0" w:space="0" w:color="auto"/>
      </w:divBdr>
    </w:div>
    <w:div w:id="791900963">
      <w:bodyDiv w:val="1"/>
      <w:marLeft w:val="0"/>
      <w:marRight w:val="0"/>
      <w:marTop w:val="0"/>
      <w:marBottom w:val="0"/>
      <w:divBdr>
        <w:top w:val="none" w:sz="0" w:space="0" w:color="auto"/>
        <w:left w:val="none" w:sz="0" w:space="0" w:color="auto"/>
        <w:bottom w:val="none" w:sz="0" w:space="0" w:color="auto"/>
        <w:right w:val="none" w:sz="0" w:space="0" w:color="auto"/>
      </w:divBdr>
    </w:div>
    <w:div w:id="813982537">
      <w:bodyDiv w:val="1"/>
      <w:marLeft w:val="0"/>
      <w:marRight w:val="0"/>
      <w:marTop w:val="0"/>
      <w:marBottom w:val="0"/>
      <w:divBdr>
        <w:top w:val="none" w:sz="0" w:space="0" w:color="auto"/>
        <w:left w:val="none" w:sz="0" w:space="0" w:color="auto"/>
        <w:bottom w:val="none" w:sz="0" w:space="0" w:color="auto"/>
        <w:right w:val="none" w:sz="0" w:space="0" w:color="auto"/>
      </w:divBdr>
    </w:div>
    <w:div w:id="824131403">
      <w:bodyDiv w:val="1"/>
      <w:marLeft w:val="0"/>
      <w:marRight w:val="0"/>
      <w:marTop w:val="0"/>
      <w:marBottom w:val="0"/>
      <w:divBdr>
        <w:top w:val="none" w:sz="0" w:space="0" w:color="auto"/>
        <w:left w:val="none" w:sz="0" w:space="0" w:color="auto"/>
        <w:bottom w:val="none" w:sz="0" w:space="0" w:color="auto"/>
        <w:right w:val="none" w:sz="0" w:space="0" w:color="auto"/>
      </w:divBdr>
    </w:div>
    <w:div w:id="833956512">
      <w:bodyDiv w:val="1"/>
      <w:marLeft w:val="0"/>
      <w:marRight w:val="0"/>
      <w:marTop w:val="0"/>
      <w:marBottom w:val="0"/>
      <w:divBdr>
        <w:top w:val="none" w:sz="0" w:space="0" w:color="auto"/>
        <w:left w:val="none" w:sz="0" w:space="0" w:color="auto"/>
        <w:bottom w:val="none" w:sz="0" w:space="0" w:color="auto"/>
        <w:right w:val="none" w:sz="0" w:space="0" w:color="auto"/>
      </w:divBdr>
    </w:div>
    <w:div w:id="840125242">
      <w:bodyDiv w:val="1"/>
      <w:marLeft w:val="0"/>
      <w:marRight w:val="0"/>
      <w:marTop w:val="0"/>
      <w:marBottom w:val="0"/>
      <w:divBdr>
        <w:top w:val="none" w:sz="0" w:space="0" w:color="auto"/>
        <w:left w:val="none" w:sz="0" w:space="0" w:color="auto"/>
        <w:bottom w:val="none" w:sz="0" w:space="0" w:color="auto"/>
        <w:right w:val="none" w:sz="0" w:space="0" w:color="auto"/>
      </w:divBdr>
    </w:div>
    <w:div w:id="848064907">
      <w:bodyDiv w:val="1"/>
      <w:marLeft w:val="0"/>
      <w:marRight w:val="0"/>
      <w:marTop w:val="0"/>
      <w:marBottom w:val="0"/>
      <w:divBdr>
        <w:top w:val="none" w:sz="0" w:space="0" w:color="auto"/>
        <w:left w:val="none" w:sz="0" w:space="0" w:color="auto"/>
        <w:bottom w:val="none" w:sz="0" w:space="0" w:color="auto"/>
        <w:right w:val="none" w:sz="0" w:space="0" w:color="auto"/>
      </w:divBdr>
    </w:div>
    <w:div w:id="894201051">
      <w:bodyDiv w:val="1"/>
      <w:marLeft w:val="0"/>
      <w:marRight w:val="0"/>
      <w:marTop w:val="0"/>
      <w:marBottom w:val="0"/>
      <w:divBdr>
        <w:top w:val="none" w:sz="0" w:space="0" w:color="auto"/>
        <w:left w:val="none" w:sz="0" w:space="0" w:color="auto"/>
        <w:bottom w:val="none" w:sz="0" w:space="0" w:color="auto"/>
        <w:right w:val="none" w:sz="0" w:space="0" w:color="auto"/>
      </w:divBdr>
    </w:div>
    <w:div w:id="989091245">
      <w:bodyDiv w:val="1"/>
      <w:marLeft w:val="0"/>
      <w:marRight w:val="0"/>
      <w:marTop w:val="0"/>
      <w:marBottom w:val="0"/>
      <w:divBdr>
        <w:top w:val="none" w:sz="0" w:space="0" w:color="auto"/>
        <w:left w:val="none" w:sz="0" w:space="0" w:color="auto"/>
        <w:bottom w:val="none" w:sz="0" w:space="0" w:color="auto"/>
        <w:right w:val="none" w:sz="0" w:space="0" w:color="auto"/>
      </w:divBdr>
    </w:div>
    <w:div w:id="989217191">
      <w:bodyDiv w:val="1"/>
      <w:marLeft w:val="0"/>
      <w:marRight w:val="0"/>
      <w:marTop w:val="0"/>
      <w:marBottom w:val="0"/>
      <w:divBdr>
        <w:top w:val="none" w:sz="0" w:space="0" w:color="auto"/>
        <w:left w:val="none" w:sz="0" w:space="0" w:color="auto"/>
        <w:bottom w:val="none" w:sz="0" w:space="0" w:color="auto"/>
        <w:right w:val="none" w:sz="0" w:space="0" w:color="auto"/>
      </w:divBdr>
    </w:div>
    <w:div w:id="991757149">
      <w:bodyDiv w:val="1"/>
      <w:marLeft w:val="0"/>
      <w:marRight w:val="0"/>
      <w:marTop w:val="0"/>
      <w:marBottom w:val="0"/>
      <w:divBdr>
        <w:top w:val="none" w:sz="0" w:space="0" w:color="auto"/>
        <w:left w:val="none" w:sz="0" w:space="0" w:color="auto"/>
        <w:bottom w:val="none" w:sz="0" w:space="0" w:color="auto"/>
        <w:right w:val="none" w:sz="0" w:space="0" w:color="auto"/>
      </w:divBdr>
    </w:div>
    <w:div w:id="1011299714">
      <w:bodyDiv w:val="1"/>
      <w:marLeft w:val="0"/>
      <w:marRight w:val="0"/>
      <w:marTop w:val="0"/>
      <w:marBottom w:val="0"/>
      <w:divBdr>
        <w:top w:val="none" w:sz="0" w:space="0" w:color="auto"/>
        <w:left w:val="none" w:sz="0" w:space="0" w:color="auto"/>
        <w:bottom w:val="none" w:sz="0" w:space="0" w:color="auto"/>
        <w:right w:val="none" w:sz="0" w:space="0" w:color="auto"/>
      </w:divBdr>
    </w:div>
    <w:div w:id="1015960768">
      <w:bodyDiv w:val="1"/>
      <w:marLeft w:val="0"/>
      <w:marRight w:val="0"/>
      <w:marTop w:val="0"/>
      <w:marBottom w:val="0"/>
      <w:divBdr>
        <w:top w:val="none" w:sz="0" w:space="0" w:color="auto"/>
        <w:left w:val="none" w:sz="0" w:space="0" w:color="auto"/>
        <w:bottom w:val="none" w:sz="0" w:space="0" w:color="auto"/>
        <w:right w:val="none" w:sz="0" w:space="0" w:color="auto"/>
      </w:divBdr>
    </w:div>
    <w:div w:id="1026175690">
      <w:bodyDiv w:val="1"/>
      <w:marLeft w:val="0"/>
      <w:marRight w:val="0"/>
      <w:marTop w:val="0"/>
      <w:marBottom w:val="0"/>
      <w:divBdr>
        <w:top w:val="none" w:sz="0" w:space="0" w:color="auto"/>
        <w:left w:val="none" w:sz="0" w:space="0" w:color="auto"/>
        <w:bottom w:val="none" w:sz="0" w:space="0" w:color="auto"/>
        <w:right w:val="none" w:sz="0" w:space="0" w:color="auto"/>
      </w:divBdr>
    </w:div>
    <w:div w:id="1029798852">
      <w:bodyDiv w:val="1"/>
      <w:marLeft w:val="0"/>
      <w:marRight w:val="0"/>
      <w:marTop w:val="0"/>
      <w:marBottom w:val="0"/>
      <w:divBdr>
        <w:top w:val="none" w:sz="0" w:space="0" w:color="auto"/>
        <w:left w:val="none" w:sz="0" w:space="0" w:color="auto"/>
        <w:bottom w:val="none" w:sz="0" w:space="0" w:color="auto"/>
        <w:right w:val="none" w:sz="0" w:space="0" w:color="auto"/>
      </w:divBdr>
    </w:div>
    <w:div w:id="1030455110">
      <w:bodyDiv w:val="1"/>
      <w:marLeft w:val="0"/>
      <w:marRight w:val="0"/>
      <w:marTop w:val="0"/>
      <w:marBottom w:val="0"/>
      <w:divBdr>
        <w:top w:val="none" w:sz="0" w:space="0" w:color="auto"/>
        <w:left w:val="none" w:sz="0" w:space="0" w:color="auto"/>
        <w:bottom w:val="none" w:sz="0" w:space="0" w:color="auto"/>
        <w:right w:val="none" w:sz="0" w:space="0" w:color="auto"/>
      </w:divBdr>
    </w:div>
    <w:div w:id="1036007559">
      <w:bodyDiv w:val="1"/>
      <w:marLeft w:val="0"/>
      <w:marRight w:val="0"/>
      <w:marTop w:val="0"/>
      <w:marBottom w:val="0"/>
      <w:divBdr>
        <w:top w:val="none" w:sz="0" w:space="0" w:color="auto"/>
        <w:left w:val="none" w:sz="0" w:space="0" w:color="auto"/>
        <w:bottom w:val="none" w:sz="0" w:space="0" w:color="auto"/>
        <w:right w:val="none" w:sz="0" w:space="0" w:color="auto"/>
      </w:divBdr>
    </w:div>
    <w:div w:id="1045569304">
      <w:bodyDiv w:val="1"/>
      <w:marLeft w:val="0"/>
      <w:marRight w:val="0"/>
      <w:marTop w:val="0"/>
      <w:marBottom w:val="0"/>
      <w:divBdr>
        <w:top w:val="none" w:sz="0" w:space="0" w:color="auto"/>
        <w:left w:val="none" w:sz="0" w:space="0" w:color="auto"/>
        <w:bottom w:val="none" w:sz="0" w:space="0" w:color="auto"/>
        <w:right w:val="none" w:sz="0" w:space="0" w:color="auto"/>
      </w:divBdr>
    </w:div>
    <w:div w:id="1046371137">
      <w:bodyDiv w:val="1"/>
      <w:marLeft w:val="0"/>
      <w:marRight w:val="0"/>
      <w:marTop w:val="0"/>
      <w:marBottom w:val="0"/>
      <w:divBdr>
        <w:top w:val="none" w:sz="0" w:space="0" w:color="auto"/>
        <w:left w:val="none" w:sz="0" w:space="0" w:color="auto"/>
        <w:bottom w:val="none" w:sz="0" w:space="0" w:color="auto"/>
        <w:right w:val="none" w:sz="0" w:space="0" w:color="auto"/>
      </w:divBdr>
    </w:div>
    <w:div w:id="1049500403">
      <w:bodyDiv w:val="1"/>
      <w:marLeft w:val="0"/>
      <w:marRight w:val="0"/>
      <w:marTop w:val="0"/>
      <w:marBottom w:val="0"/>
      <w:divBdr>
        <w:top w:val="none" w:sz="0" w:space="0" w:color="auto"/>
        <w:left w:val="none" w:sz="0" w:space="0" w:color="auto"/>
        <w:bottom w:val="none" w:sz="0" w:space="0" w:color="auto"/>
        <w:right w:val="none" w:sz="0" w:space="0" w:color="auto"/>
      </w:divBdr>
    </w:div>
    <w:div w:id="1077674959">
      <w:bodyDiv w:val="1"/>
      <w:marLeft w:val="0"/>
      <w:marRight w:val="0"/>
      <w:marTop w:val="0"/>
      <w:marBottom w:val="0"/>
      <w:divBdr>
        <w:top w:val="none" w:sz="0" w:space="0" w:color="auto"/>
        <w:left w:val="none" w:sz="0" w:space="0" w:color="auto"/>
        <w:bottom w:val="none" w:sz="0" w:space="0" w:color="auto"/>
        <w:right w:val="none" w:sz="0" w:space="0" w:color="auto"/>
      </w:divBdr>
    </w:div>
    <w:div w:id="1093208595">
      <w:bodyDiv w:val="1"/>
      <w:marLeft w:val="0"/>
      <w:marRight w:val="0"/>
      <w:marTop w:val="0"/>
      <w:marBottom w:val="0"/>
      <w:divBdr>
        <w:top w:val="none" w:sz="0" w:space="0" w:color="auto"/>
        <w:left w:val="none" w:sz="0" w:space="0" w:color="auto"/>
        <w:bottom w:val="none" w:sz="0" w:space="0" w:color="auto"/>
        <w:right w:val="none" w:sz="0" w:space="0" w:color="auto"/>
      </w:divBdr>
    </w:div>
    <w:div w:id="1094015552">
      <w:bodyDiv w:val="1"/>
      <w:marLeft w:val="0"/>
      <w:marRight w:val="0"/>
      <w:marTop w:val="0"/>
      <w:marBottom w:val="0"/>
      <w:divBdr>
        <w:top w:val="none" w:sz="0" w:space="0" w:color="auto"/>
        <w:left w:val="none" w:sz="0" w:space="0" w:color="auto"/>
        <w:bottom w:val="none" w:sz="0" w:space="0" w:color="auto"/>
        <w:right w:val="none" w:sz="0" w:space="0" w:color="auto"/>
      </w:divBdr>
    </w:div>
    <w:div w:id="1094278220">
      <w:bodyDiv w:val="1"/>
      <w:marLeft w:val="33"/>
      <w:marRight w:val="33"/>
      <w:marTop w:val="33"/>
      <w:marBottom w:val="33"/>
      <w:divBdr>
        <w:top w:val="none" w:sz="0" w:space="0" w:color="auto"/>
        <w:left w:val="none" w:sz="0" w:space="0" w:color="auto"/>
        <w:bottom w:val="none" w:sz="0" w:space="0" w:color="auto"/>
        <w:right w:val="none" w:sz="0" w:space="0" w:color="auto"/>
      </w:divBdr>
      <w:divsChild>
        <w:div w:id="1109156475">
          <w:marLeft w:val="0"/>
          <w:marRight w:val="0"/>
          <w:marTop w:val="0"/>
          <w:marBottom w:val="0"/>
          <w:divBdr>
            <w:top w:val="none" w:sz="0" w:space="0" w:color="auto"/>
            <w:left w:val="none" w:sz="0" w:space="0" w:color="auto"/>
            <w:bottom w:val="none" w:sz="0" w:space="0" w:color="auto"/>
            <w:right w:val="none" w:sz="0" w:space="0" w:color="auto"/>
          </w:divBdr>
        </w:div>
      </w:divsChild>
    </w:div>
    <w:div w:id="1098789151">
      <w:bodyDiv w:val="1"/>
      <w:marLeft w:val="0"/>
      <w:marRight w:val="0"/>
      <w:marTop w:val="0"/>
      <w:marBottom w:val="0"/>
      <w:divBdr>
        <w:top w:val="none" w:sz="0" w:space="0" w:color="auto"/>
        <w:left w:val="none" w:sz="0" w:space="0" w:color="auto"/>
        <w:bottom w:val="none" w:sz="0" w:space="0" w:color="auto"/>
        <w:right w:val="none" w:sz="0" w:space="0" w:color="auto"/>
      </w:divBdr>
    </w:div>
    <w:div w:id="1100874729">
      <w:bodyDiv w:val="1"/>
      <w:marLeft w:val="0"/>
      <w:marRight w:val="0"/>
      <w:marTop w:val="0"/>
      <w:marBottom w:val="0"/>
      <w:divBdr>
        <w:top w:val="none" w:sz="0" w:space="0" w:color="auto"/>
        <w:left w:val="none" w:sz="0" w:space="0" w:color="auto"/>
        <w:bottom w:val="none" w:sz="0" w:space="0" w:color="auto"/>
        <w:right w:val="none" w:sz="0" w:space="0" w:color="auto"/>
      </w:divBdr>
    </w:div>
    <w:div w:id="1108431322">
      <w:bodyDiv w:val="1"/>
      <w:marLeft w:val="0"/>
      <w:marRight w:val="0"/>
      <w:marTop w:val="0"/>
      <w:marBottom w:val="0"/>
      <w:divBdr>
        <w:top w:val="none" w:sz="0" w:space="0" w:color="auto"/>
        <w:left w:val="none" w:sz="0" w:space="0" w:color="auto"/>
        <w:bottom w:val="none" w:sz="0" w:space="0" w:color="auto"/>
        <w:right w:val="none" w:sz="0" w:space="0" w:color="auto"/>
      </w:divBdr>
    </w:div>
    <w:div w:id="1145590329">
      <w:bodyDiv w:val="1"/>
      <w:marLeft w:val="0"/>
      <w:marRight w:val="0"/>
      <w:marTop w:val="0"/>
      <w:marBottom w:val="0"/>
      <w:divBdr>
        <w:top w:val="none" w:sz="0" w:space="0" w:color="auto"/>
        <w:left w:val="none" w:sz="0" w:space="0" w:color="auto"/>
        <w:bottom w:val="none" w:sz="0" w:space="0" w:color="auto"/>
        <w:right w:val="none" w:sz="0" w:space="0" w:color="auto"/>
      </w:divBdr>
    </w:div>
    <w:div w:id="1147436728">
      <w:bodyDiv w:val="1"/>
      <w:marLeft w:val="0"/>
      <w:marRight w:val="0"/>
      <w:marTop w:val="0"/>
      <w:marBottom w:val="0"/>
      <w:divBdr>
        <w:top w:val="none" w:sz="0" w:space="0" w:color="auto"/>
        <w:left w:val="none" w:sz="0" w:space="0" w:color="auto"/>
        <w:bottom w:val="none" w:sz="0" w:space="0" w:color="auto"/>
        <w:right w:val="none" w:sz="0" w:space="0" w:color="auto"/>
      </w:divBdr>
    </w:div>
    <w:div w:id="1156341408">
      <w:bodyDiv w:val="1"/>
      <w:marLeft w:val="0"/>
      <w:marRight w:val="0"/>
      <w:marTop w:val="0"/>
      <w:marBottom w:val="0"/>
      <w:divBdr>
        <w:top w:val="none" w:sz="0" w:space="0" w:color="auto"/>
        <w:left w:val="none" w:sz="0" w:space="0" w:color="auto"/>
        <w:bottom w:val="none" w:sz="0" w:space="0" w:color="auto"/>
        <w:right w:val="none" w:sz="0" w:space="0" w:color="auto"/>
      </w:divBdr>
    </w:div>
    <w:div w:id="1159885924">
      <w:bodyDiv w:val="1"/>
      <w:marLeft w:val="0"/>
      <w:marRight w:val="0"/>
      <w:marTop w:val="0"/>
      <w:marBottom w:val="0"/>
      <w:divBdr>
        <w:top w:val="none" w:sz="0" w:space="0" w:color="auto"/>
        <w:left w:val="none" w:sz="0" w:space="0" w:color="auto"/>
        <w:bottom w:val="none" w:sz="0" w:space="0" w:color="auto"/>
        <w:right w:val="none" w:sz="0" w:space="0" w:color="auto"/>
      </w:divBdr>
    </w:div>
    <w:div w:id="1175607181">
      <w:bodyDiv w:val="1"/>
      <w:marLeft w:val="0"/>
      <w:marRight w:val="0"/>
      <w:marTop w:val="0"/>
      <w:marBottom w:val="0"/>
      <w:divBdr>
        <w:top w:val="none" w:sz="0" w:space="0" w:color="auto"/>
        <w:left w:val="none" w:sz="0" w:space="0" w:color="auto"/>
        <w:bottom w:val="none" w:sz="0" w:space="0" w:color="auto"/>
        <w:right w:val="none" w:sz="0" w:space="0" w:color="auto"/>
      </w:divBdr>
    </w:div>
    <w:div w:id="1194420207">
      <w:bodyDiv w:val="1"/>
      <w:marLeft w:val="0"/>
      <w:marRight w:val="0"/>
      <w:marTop w:val="0"/>
      <w:marBottom w:val="0"/>
      <w:divBdr>
        <w:top w:val="none" w:sz="0" w:space="0" w:color="auto"/>
        <w:left w:val="none" w:sz="0" w:space="0" w:color="auto"/>
        <w:bottom w:val="none" w:sz="0" w:space="0" w:color="auto"/>
        <w:right w:val="none" w:sz="0" w:space="0" w:color="auto"/>
      </w:divBdr>
    </w:div>
    <w:div w:id="1209294557">
      <w:bodyDiv w:val="1"/>
      <w:marLeft w:val="0"/>
      <w:marRight w:val="0"/>
      <w:marTop w:val="0"/>
      <w:marBottom w:val="0"/>
      <w:divBdr>
        <w:top w:val="none" w:sz="0" w:space="0" w:color="auto"/>
        <w:left w:val="none" w:sz="0" w:space="0" w:color="auto"/>
        <w:bottom w:val="none" w:sz="0" w:space="0" w:color="auto"/>
        <w:right w:val="none" w:sz="0" w:space="0" w:color="auto"/>
      </w:divBdr>
    </w:div>
    <w:div w:id="1211727675">
      <w:bodyDiv w:val="1"/>
      <w:marLeft w:val="0"/>
      <w:marRight w:val="0"/>
      <w:marTop w:val="0"/>
      <w:marBottom w:val="0"/>
      <w:divBdr>
        <w:top w:val="none" w:sz="0" w:space="0" w:color="auto"/>
        <w:left w:val="none" w:sz="0" w:space="0" w:color="auto"/>
        <w:bottom w:val="none" w:sz="0" w:space="0" w:color="auto"/>
        <w:right w:val="none" w:sz="0" w:space="0" w:color="auto"/>
      </w:divBdr>
    </w:div>
    <w:div w:id="1215658628">
      <w:bodyDiv w:val="1"/>
      <w:marLeft w:val="0"/>
      <w:marRight w:val="0"/>
      <w:marTop w:val="0"/>
      <w:marBottom w:val="0"/>
      <w:divBdr>
        <w:top w:val="none" w:sz="0" w:space="0" w:color="auto"/>
        <w:left w:val="none" w:sz="0" w:space="0" w:color="auto"/>
        <w:bottom w:val="none" w:sz="0" w:space="0" w:color="auto"/>
        <w:right w:val="none" w:sz="0" w:space="0" w:color="auto"/>
      </w:divBdr>
    </w:div>
    <w:div w:id="1217548050">
      <w:bodyDiv w:val="1"/>
      <w:marLeft w:val="0"/>
      <w:marRight w:val="0"/>
      <w:marTop w:val="0"/>
      <w:marBottom w:val="0"/>
      <w:divBdr>
        <w:top w:val="none" w:sz="0" w:space="0" w:color="auto"/>
        <w:left w:val="none" w:sz="0" w:space="0" w:color="auto"/>
        <w:bottom w:val="none" w:sz="0" w:space="0" w:color="auto"/>
        <w:right w:val="none" w:sz="0" w:space="0" w:color="auto"/>
      </w:divBdr>
    </w:div>
    <w:div w:id="1219244424">
      <w:bodyDiv w:val="1"/>
      <w:marLeft w:val="0"/>
      <w:marRight w:val="0"/>
      <w:marTop w:val="0"/>
      <w:marBottom w:val="0"/>
      <w:divBdr>
        <w:top w:val="none" w:sz="0" w:space="0" w:color="auto"/>
        <w:left w:val="none" w:sz="0" w:space="0" w:color="auto"/>
        <w:bottom w:val="none" w:sz="0" w:space="0" w:color="auto"/>
        <w:right w:val="none" w:sz="0" w:space="0" w:color="auto"/>
      </w:divBdr>
    </w:div>
    <w:div w:id="1241912480">
      <w:bodyDiv w:val="1"/>
      <w:marLeft w:val="0"/>
      <w:marRight w:val="0"/>
      <w:marTop w:val="0"/>
      <w:marBottom w:val="0"/>
      <w:divBdr>
        <w:top w:val="none" w:sz="0" w:space="0" w:color="auto"/>
        <w:left w:val="none" w:sz="0" w:space="0" w:color="auto"/>
        <w:bottom w:val="none" w:sz="0" w:space="0" w:color="auto"/>
        <w:right w:val="none" w:sz="0" w:space="0" w:color="auto"/>
      </w:divBdr>
    </w:div>
    <w:div w:id="1242714551">
      <w:bodyDiv w:val="1"/>
      <w:marLeft w:val="33"/>
      <w:marRight w:val="33"/>
      <w:marTop w:val="33"/>
      <w:marBottom w:val="33"/>
      <w:divBdr>
        <w:top w:val="none" w:sz="0" w:space="0" w:color="auto"/>
        <w:left w:val="none" w:sz="0" w:space="0" w:color="auto"/>
        <w:bottom w:val="none" w:sz="0" w:space="0" w:color="auto"/>
        <w:right w:val="none" w:sz="0" w:space="0" w:color="auto"/>
      </w:divBdr>
      <w:divsChild>
        <w:div w:id="1761635614">
          <w:marLeft w:val="0"/>
          <w:marRight w:val="0"/>
          <w:marTop w:val="0"/>
          <w:marBottom w:val="0"/>
          <w:divBdr>
            <w:top w:val="none" w:sz="0" w:space="0" w:color="auto"/>
            <w:left w:val="none" w:sz="0" w:space="0" w:color="auto"/>
            <w:bottom w:val="none" w:sz="0" w:space="0" w:color="auto"/>
            <w:right w:val="none" w:sz="0" w:space="0" w:color="auto"/>
          </w:divBdr>
        </w:div>
      </w:divsChild>
    </w:div>
    <w:div w:id="1251886227">
      <w:bodyDiv w:val="1"/>
      <w:marLeft w:val="0"/>
      <w:marRight w:val="0"/>
      <w:marTop w:val="0"/>
      <w:marBottom w:val="0"/>
      <w:divBdr>
        <w:top w:val="none" w:sz="0" w:space="0" w:color="auto"/>
        <w:left w:val="none" w:sz="0" w:space="0" w:color="auto"/>
        <w:bottom w:val="none" w:sz="0" w:space="0" w:color="auto"/>
        <w:right w:val="none" w:sz="0" w:space="0" w:color="auto"/>
      </w:divBdr>
    </w:div>
    <w:div w:id="1252546228">
      <w:bodyDiv w:val="1"/>
      <w:marLeft w:val="0"/>
      <w:marRight w:val="0"/>
      <w:marTop w:val="0"/>
      <w:marBottom w:val="0"/>
      <w:divBdr>
        <w:top w:val="none" w:sz="0" w:space="0" w:color="auto"/>
        <w:left w:val="none" w:sz="0" w:space="0" w:color="auto"/>
        <w:bottom w:val="none" w:sz="0" w:space="0" w:color="auto"/>
        <w:right w:val="none" w:sz="0" w:space="0" w:color="auto"/>
      </w:divBdr>
    </w:div>
    <w:div w:id="1253246669">
      <w:bodyDiv w:val="1"/>
      <w:marLeft w:val="0"/>
      <w:marRight w:val="0"/>
      <w:marTop w:val="0"/>
      <w:marBottom w:val="0"/>
      <w:divBdr>
        <w:top w:val="none" w:sz="0" w:space="0" w:color="auto"/>
        <w:left w:val="none" w:sz="0" w:space="0" w:color="auto"/>
        <w:bottom w:val="none" w:sz="0" w:space="0" w:color="auto"/>
        <w:right w:val="none" w:sz="0" w:space="0" w:color="auto"/>
      </w:divBdr>
    </w:div>
    <w:div w:id="1254436701">
      <w:bodyDiv w:val="1"/>
      <w:marLeft w:val="0"/>
      <w:marRight w:val="0"/>
      <w:marTop w:val="0"/>
      <w:marBottom w:val="0"/>
      <w:divBdr>
        <w:top w:val="none" w:sz="0" w:space="0" w:color="auto"/>
        <w:left w:val="none" w:sz="0" w:space="0" w:color="auto"/>
        <w:bottom w:val="none" w:sz="0" w:space="0" w:color="auto"/>
        <w:right w:val="none" w:sz="0" w:space="0" w:color="auto"/>
      </w:divBdr>
    </w:div>
    <w:div w:id="1274358954">
      <w:bodyDiv w:val="1"/>
      <w:marLeft w:val="0"/>
      <w:marRight w:val="0"/>
      <w:marTop w:val="0"/>
      <w:marBottom w:val="0"/>
      <w:divBdr>
        <w:top w:val="none" w:sz="0" w:space="0" w:color="auto"/>
        <w:left w:val="none" w:sz="0" w:space="0" w:color="auto"/>
        <w:bottom w:val="none" w:sz="0" w:space="0" w:color="auto"/>
        <w:right w:val="none" w:sz="0" w:space="0" w:color="auto"/>
      </w:divBdr>
    </w:div>
    <w:div w:id="1278830563">
      <w:bodyDiv w:val="1"/>
      <w:marLeft w:val="0"/>
      <w:marRight w:val="0"/>
      <w:marTop w:val="0"/>
      <w:marBottom w:val="0"/>
      <w:divBdr>
        <w:top w:val="none" w:sz="0" w:space="0" w:color="auto"/>
        <w:left w:val="none" w:sz="0" w:space="0" w:color="auto"/>
        <w:bottom w:val="none" w:sz="0" w:space="0" w:color="auto"/>
        <w:right w:val="none" w:sz="0" w:space="0" w:color="auto"/>
      </w:divBdr>
    </w:div>
    <w:div w:id="1305500432">
      <w:bodyDiv w:val="1"/>
      <w:marLeft w:val="0"/>
      <w:marRight w:val="0"/>
      <w:marTop w:val="0"/>
      <w:marBottom w:val="0"/>
      <w:divBdr>
        <w:top w:val="none" w:sz="0" w:space="0" w:color="auto"/>
        <w:left w:val="none" w:sz="0" w:space="0" w:color="auto"/>
        <w:bottom w:val="none" w:sz="0" w:space="0" w:color="auto"/>
        <w:right w:val="none" w:sz="0" w:space="0" w:color="auto"/>
      </w:divBdr>
    </w:div>
    <w:div w:id="1308894655">
      <w:bodyDiv w:val="1"/>
      <w:marLeft w:val="0"/>
      <w:marRight w:val="0"/>
      <w:marTop w:val="0"/>
      <w:marBottom w:val="0"/>
      <w:divBdr>
        <w:top w:val="none" w:sz="0" w:space="0" w:color="auto"/>
        <w:left w:val="none" w:sz="0" w:space="0" w:color="auto"/>
        <w:bottom w:val="none" w:sz="0" w:space="0" w:color="auto"/>
        <w:right w:val="none" w:sz="0" w:space="0" w:color="auto"/>
      </w:divBdr>
    </w:div>
    <w:div w:id="1321078060">
      <w:bodyDiv w:val="1"/>
      <w:marLeft w:val="0"/>
      <w:marRight w:val="0"/>
      <w:marTop w:val="0"/>
      <w:marBottom w:val="0"/>
      <w:divBdr>
        <w:top w:val="none" w:sz="0" w:space="0" w:color="auto"/>
        <w:left w:val="none" w:sz="0" w:space="0" w:color="auto"/>
        <w:bottom w:val="none" w:sz="0" w:space="0" w:color="auto"/>
        <w:right w:val="none" w:sz="0" w:space="0" w:color="auto"/>
      </w:divBdr>
    </w:div>
    <w:div w:id="1326278488">
      <w:bodyDiv w:val="1"/>
      <w:marLeft w:val="0"/>
      <w:marRight w:val="0"/>
      <w:marTop w:val="0"/>
      <w:marBottom w:val="0"/>
      <w:divBdr>
        <w:top w:val="none" w:sz="0" w:space="0" w:color="auto"/>
        <w:left w:val="none" w:sz="0" w:space="0" w:color="auto"/>
        <w:bottom w:val="none" w:sz="0" w:space="0" w:color="auto"/>
        <w:right w:val="none" w:sz="0" w:space="0" w:color="auto"/>
      </w:divBdr>
    </w:div>
    <w:div w:id="1348947727">
      <w:bodyDiv w:val="1"/>
      <w:marLeft w:val="0"/>
      <w:marRight w:val="0"/>
      <w:marTop w:val="0"/>
      <w:marBottom w:val="0"/>
      <w:divBdr>
        <w:top w:val="none" w:sz="0" w:space="0" w:color="auto"/>
        <w:left w:val="none" w:sz="0" w:space="0" w:color="auto"/>
        <w:bottom w:val="none" w:sz="0" w:space="0" w:color="auto"/>
        <w:right w:val="none" w:sz="0" w:space="0" w:color="auto"/>
      </w:divBdr>
    </w:div>
    <w:div w:id="1370839732">
      <w:bodyDiv w:val="1"/>
      <w:marLeft w:val="0"/>
      <w:marRight w:val="0"/>
      <w:marTop w:val="0"/>
      <w:marBottom w:val="0"/>
      <w:divBdr>
        <w:top w:val="none" w:sz="0" w:space="0" w:color="auto"/>
        <w:left w:val="none" w:sz="0" w:space="0" w:color="auto"/>
        <w:bottom w:val="none" w:sz="0" w:space="0" w:color="auto"/>
        <w:right w:val="none" w:sz="0" w:space="0" w:color="auto"/>
      </w:divBdr>
    </w:div>
    <w:div w:id="1372027912">
      <w:bodyDiv w:val="1"/>
      <w:marLeft w:val="0"/>
      <w:marRight w:val="0"/>
      <w:marTop w:val="0"/>
      <w:marBottom w:val="0"/>
      <w:divBdr>
        <w:top w:val="none" w:sz="0" w:space="0" w:color="auto"/>
        <w:left w:val="none" w:sz="0" w:space="0" w:color="auto"/>
        <w:bottom w:val="none" w:sz="0" w:space="0" w:color="auto"/>
        <w:right w:val="none" w:sz="0" w:space="0" w:color="auto"/>
      </w:divBdr>
    </w:div>
    <w:div w:id="1391003584">
      <w:bodyDiv w:val="1"/>
      <w:marLeft w:val="0"/>
      <w:marRight w:val="0"/>
      <w:marTop w:val="0"/>
      <w:marBottom w:val="0"/>
      <w:divBdr>
        <w:top w:val="none" w:sz="0" w:space="0" w:color="auto"/>
        <w:left w:val="none" w:sz="0" w:space="0" w:color="auto"/>
        <w:bottom w:val="none" w:sz="0" w:space="0" w:color="auto"/>
        <w:right w:val="none" w:sz="0" w:space="0" w:color="auto"/>
      </w:divBdr>
    </w:div>
    <w:div w:id="1393041384">
      <w:bodyDiv w:val="1"/>
      <w:marLeft w:val="0"/>
      <w:marRight w:val="0"/>
      <w:marTop w:val="0"/>
      <w:marBottom w:val="0"/>
      <w:divBdr>
        <w:top w:val="none" w:sz="0" w:space="0" w:color="auto"/>
        <w:left w:val="none" w:sz="0" w:space="0" w:color="auto"/>
        <w:bottom w:val="none" w:sz="0" w:space="0" w:color="auto"/>
        <w:right w:val="none" w:sz="0" w:space="0" w:color="auto"/>
      </w:divBdr>
    </w:div>
    <w:div w:id="1393889710">
      <w:bodyDiv w:val="1"/>
      <w:marLeft w:val="0"/>
      <w:marRight w:val="0"/>
      <w:marTop w:val="0"/>
      <w:marBottom w:val="0"/>
      <w:divBdr>
        <w:top w:val="none" w:sz="0" w:space="0" w:color="auto"/>
        <w:left w:val="none" w:sz="0" w:space="0" w:color="auto"/>
        <w:bottom w:val="none" w:sz="0" w:space="0" w:color="auto"/>
        <w:right w:val="none" w:sz="0" w:space="0" w:color="auto"/>
      </w:divBdr>
    </w:div>
    <w:div w:id="1401709418">
      <w:bodyDiv w:val="1"/>
      <w:marLeft w:val="0"/>
      <w:marRight w:val="0"/>
      <w:marTop w:val="0"/>
      <w:marBottom w:val="0"/>
      <w:divBdr>
        <w:top w:val="none" w:sz="0" w:space="0" w:color="auto"/>
        <w:left w:val="none" w:sz="0" w:space="0" w:color="auto"/>
        <w:bottom w:val="none" w:sz="0" w:space="0" w:color="auto"/>
        <w:right w:val="none" w:sz="0" w:space="0" w:color="auto"/>
      </w:divBdr>
    </w:div>
    <w:div w:id="1402019833">
      <w:bodyDiv w:val="1"/>
      <w:marLeft w:val="0"/>
      <w:marRight w:val="0"/>
      <w:marTop w:val="0"/>
      <w:marBottom w:val="0"/>
      <w:divBdr>
        <w:top w:val="none" w:sz="0" w:space="0" w:color="auto"/>
        <w:left w:val="none" w:sz="0" w:space="0" w:color="auto"/>
        <w:bottom w:val="none" w:sz="0" w:space="0" w:color="auto"/>
        <w:right w:val="none" w:sz="0" w:space="0" w:color="auto"/>
      </w:divBdr>
    </w:div>
    <w:div w:id="1407998586">
      <w:bodyDiv w:val="1"/>
      <w:marLeft w:val="0"/>
      <w:marRight w:val="0"/>
      <w:marTop w:val="0"/>
      <w:marBottom w:val="0"/>
      <w:divBdr>
        <w:top w:val="none" w:sz="0" w:space="0" w:color="auto"/>
        <w:left w:val="none" w:sz="0" w:space="0" w:color="auto"/>
        <w:bottom w:val="none" w:sz="0" w:space="0" w:color="auto"/>
        <w:right w:val="none" w:sz="0" w:space="0" w:color="auto"/>
      </w:divBdr>
    </w:div>
    <w:div w:id="1408922169">
      <w:bodyDiv w:val="1"/>
      <w:marLeft w:val="0"/>
      <w:marRight w:val="0"/>
      <w:marTop w:val="0"/>
      <w:marBottom w:val="0"/>
      <w:divBdr>
        <w:top w:val="none" w:sz="0" w:space="0" w:color="auto"/>
        <w:left w:val="none" w:sz="0" w:space="0" w:color="auto"/>
        <w:bottom w:val="none" w:sz="0" w:space="0" w:color="auto"/>
        <w:right w:val="none" w:sz="0" w:space="0" w:color="auto"/>
      </w:divBdr>
    </w:div>
    <w:div w:id="1417903009">
      <w:bodyDiv w:val="1"/>
      <w:marLeft w:val="0"/>
      <w:marRight w:val="0"/>
      <w:marTop w:val="0"/>
      <w:marBottom w:val="0"/>
      <w:divBdr>
        <w:top w:val="none" w:sz="0" w:space="0" w:color="auto"/>
        <w:left w:val="none" w:sz="0" w:space="0" w:color="auto"/>
        <w:bottom w:val="none" w:sz="0" w:space="0" w:color="auto"/>
        <w:right w:val="none" w:sz="0" w:space="0" w:color="auto"/>
      </w:divBdr>
    </w:div>
    <w:div w:id="1428770868">
      <w:bodyDiv w:val="1"/>
      <w:marLeft w:val="0"/>
      <w:marRight w:val="0"/>
      <w:marTop w:val="0"/>
      <w:marBottom w:val="0"/>
      <w:divBdr>
        <w:top w:val="none" w:sz="0" w:space="0" w:color="auto"/>
        <w:left w:val="none" w:sz="0" w:space="0" w:color="auto"/>
        <w:bottom w:val="none" w:sz="0" w:space="0" w:color="auto"/>
        <w:right w:val="none" w:sz="0" w:space="0" w:color="auto"/>
      </w:divBdr>
    </w:div>
    <w:div w:id="1433162114">
      <w:bodyDiv w:val="1"/>
      <w:marLeft w:val="0"/>
      <w:marRight w:val="0"/>
      <w:marTop w:val="0"/>
      <w:marBottom w:val="0"/>
      <w:divBdr>
        <w:top w:val="none" w:sz="0" w:space="0" w:color="auto"/>
        <w:left w:val="none" w:sz="0" w:space="0" w:color="auto"/>
        <w:bottom w:val="none" w:sz="0" w:space="0" w:color="auto"/>
        <w:right w:val="none" w:sz="0" w:space="0" w:color="auto"/>
      </w:divBdr>
    </w:div>
    <w:div w:id="1444881710">
      <w:bodyDiv w:val="1"/>
      <w:marLeft w:val="0"/>
      <w:marRight w:val="0"/>
      <w:marTop w:val="0"/>
      <w:marBottom w:val="0"/>
      <w:divBdr>
        <w:top w:val="none" w:sz="0" w:space="0" w:color="auto"/>
        <w:left w:val="none" w:sz="0" w:space="0" w:color="auto"/>
        <w:bottom w:val="none" w:sz="0" w:space="0" w:color="auto"/>
        <w:right w:val="none" w:sz="0" w:space="0" w:color="auto"/>
      </w:divBdr>
    </w:div>
    <w:div w:id="1459567238">
      <w:bodyDiv w:val="1"/>
      <w:marLeft w:val="0"/>
      <w:marRight w:val="0"/>
      <w:marTop w:val="0"/>
      <w:marBottom w:val="0"/>
      <w:divBdr>
        <w:top w:val="none" w:sz="0" w:space="0" w:color="auto"/>
        <w:left w:val="none" w:sz="0" w:space="0" w:color="auto"/>
        <w:bottom w:val="none" w:sz="0" w:space="0" w:color="auto"/>
        <w:right w:val="none" w:sz="0" w:space="0" w:color="auto"/>
      </w:divBdr>
    </w:div>
    <w:div w:id="1466656041">
      <w:bodyDiv w:val="1"/>
      <w:marLeft w:val="0"/>
      <w:marRight w:val="0"/>
      <w:marTop w:val="0"/>
      <w:marBottom w:val="0"/>
      <w:divBdr>
        <w:top w:val="none" w:sz="0" w:space="0" w:color="auto"/>
        <w:left w:val="none" w:sz="0" w:space="0" w:color="auto"/>
        <w:bottom w:val="none" w:sz="0" w:space="0" w:color="auto"/>
        <w:right w:val="none" w:sz="0" w:space="0" w:color="auto"/>
      </w:divBdr>
    </w:div>
    <w:div w:id="1472938195">
      <w:bodyDiv w:val="1"/>
      <w:marLeft w:val="0"/>
      <w:marRight w:val="0"/>
      <w:marTop w:val="0"/>
      <w:marBottom w:val="0"/>
      <w:divBdr>
        <w:top w:val="none" w:sz="0" w:space="0" w:color="auto"/>
        <w:left w:val="none" w:sz="0" w:space="0" w:color="auto"/>
        <w:bottom w:val="none" w:sz="0" w:space="0" w:color="auto"/>
        <w:right w:val="none" w:sz="0" w:space="0" w:color="auto"/>
      </w:divBdr>
    </w:div>
    <w:div w:id="1493446647">
      <w:bodyDiv w:val="1"/>
      <w:marLeft w:val="0"/>
      <w:marRight w:val="0"/>
      <w:marTop w:val="0"/>
      <w:marBottom w:val="0"/>
      <w:divBdr>
        <w:top w:val="none" w:sz="0" w:space="0" w:color="auto"/>
        <w:left w:val="none" w:sz="0" w:space="0" w:color="auto"/>
        <w:bottom w:val="none" w:sz="0" w:space="0" w:color="auto"/>
        <w:right w:val="none" w:sz="0" w:space="0" w:color="auto"/>
      </w:divBdr>
    </w:div>
    <w:div w:id="1496143301">
      <w:bodyDiv w:val="1"/>
      <w:marLeft w:val="0"/>
      <w:marRight w:val="0"/>
      <w:marTop w:val="0"/>
      <w:marBottom w:val="0"/>
      <w:divBdr>
        <w:top w:val="none" w:sz="0" w:space="0" w:color="auto"/>
        <w:left w:val="none" w:sz="0" w:space="0" w:color="auto"/>
        <w:bottom w:val="none" w:sz="0" w:space="0" w:color="auto"/>
        <w:right w:val="none" w:sz="0" w:space="0" w:color="auto"/>
      </w:divBdr>
    </w:div>
    <w:div w:id="1506508642">
      <w:bodyDiv w:val="1"/>
      <w:marLeft w:val="0"/>
      <w:marRight w:val="0"/>
      <w:marTop w:val="0"/>
      <w:marBottom w:val="0"/>
      <w:divBdr>
        <w:top w:val="none" w:sz="0" w:space="0" w:color="auto"/>
        <w:left w:val="none" w:sz="0" w:space="0" w:color="auto"/>
        <w:bottom w:val="none" w:sz="0" w:space="0" w:color="auto"/>
        <w:right w:val="none" w:sz="0" w:space="0" w:color="auto"/>
      </w:divBdr>
    </w:div>
    <w:div w:id="1518734325">
      <w:bodyDiv w:val="1"/>
      <w:marLeft w:val="0"/>
      <w:marRight w:val="0"/>
      <w:marTop w:val="0"/>
      <w:marBottom w:val="0"/>
      <w:divBdr>
        <w:top w:val="none" w:sz="0" w:space="0" w:color="auto"/>
        <w:left w:val="none" w:sz="0" w:space="0" w:color="auto"/>
        <w:bottom w:val="none" w:sz="0" w:space="0" w:color="auto"/>
        <w:right w:val="none" w:sz="0" w:space="0" w:color="auto"/>
      </w:divBdr>
    </w:div>
    <w:div w:id="1543134644">
      <w:bodyDiv w:val="1"/>
      <w:marLeft w:val="0"/>
      <w:marRight w:val="0"/>
      <w:marTop w:val="0"/>
      <w:marBottom w:val="0"/>
      <w:divBdr>
        <w:top w:val="none" w:sz="0" w:space="0" w:color="auto"/>
        <w:left w:val="none" w:sz="0" w:space="0" w:color="auto"/>
        <w:bottom w:val="none" w:sz="0" w:space="0" w:color="auto"/>
        <w:right w:val="none" w:sz="0" w:space="0" w:color="auto"/>
      </w:divBdr>
    </w:div>
    <w:div w:id="1546141781">
      <w:bodyDiv w:val="1"/>
      <w:marLeft w:val="0"/>
      <w:marRight w:val="0"/>
      <w:marTop w:val="0"/>
      <w:marBottom w:val="0"/>
      <w:divBdr>
        <w:top w:val="none" w:sz="0" w:space="0" w:color="auto"/>
        <w:left w:val="none" w:sz="0" w:space="0" w:color="auto"/>
        <w:bottom w:val="none" w:sz="0" w:space="0" w:color="auto"/>
        <w:right w:val="none" w:sz="0" w:space="0" w:color="auto"/>
      </w:divBdr>
    </w:div>
    <w:div w:id="1651713423">
      <w:bodyDiv w:val="1"/>
      <w:marLeft w:val="0"/>
      <w:marRight w:val="0"/>
      <w:marTop w:val="0"/>
      <w:marBottom w:val="0"/>
      <w:divBdr>
        <w:top w:val="none" w:sz="0" w:space="0" w:color="auto"/>
        <w:left w:val="none" w:sz="0" w:space="0" w:color="auto"/>
        <w:bottom w:val="none" w:sz="0" w:space="0" w:color="auto"/>
        <w:right w:val="none" w:sz="0" w:space="0" w:color="auto"/>
      </w:divBdr>
    </w:div>
    <w:div w:id="1685089952">
      <w:bodyDiv w:val="1"/>
      <w:marLeft w:val="0"/>
      <w:marRight w:val="0"/>
      <w:marTop w:val="0"/>
      <w:marBottom w:val="0"/>
      <w:divBdr>
        <w:top w:val="none" w:sz="0" w:space="0" w:color="auto"/>
        <w:left w:val="none" w:sz="0" w:space="0" w:color="auto"/>
        <w:bottom w:val="none" w:sz="0" w:space="0" w:color="auto"/>
        <w:right w:val="none" w:sz="0" w:space="0" w:color="auto"/>
      </w:divBdr>
    </w:div>
    <w:div w:id="1694112556">
      <w:bodyDiv w:val="1"/>
      <w:marLeft w:val="0"/>
      <w:marRight w:val="0"/>
      <w:marTop w:val="0"/>
      <w:marBottom w:val="0"/>
      <w:divBdr>
        <w:top w:val="none" w:sz="0" w:space="0" w:color="auto"/>
        <w:left w:val="none" w:sz="0" w:space="0" w:color="auto"/>
        <w:bottom w:val="none" w:sz="0" w:space="0" w:color="auto"/>
        <w:right w:val="none" w:sz="0" w:space="0" w:color="auto"/>
      </w:divBdr>
    </w:div>
    <w:div w:id="1697611088">
      <w:bodyDiv w:val="1"/>
      <w:marLeft w:val="0"/>
      <w:marRight w:val="0"/>
      <w:marTop w:val="0"/>
      <w:marBottom w:val="0"/>
      <w:divBdr>
        <w:top w:val="none" w:sz="0" w:space="0" w:color="auto"/>
        <w:left w:val="none" w:sz="0" w:space="0" w:color="auto"/>
        <w:bottom w:val="none" w:sz="0" w:space="0" w:color="auto"/>
        <w:right w:val="none" w:sz="0" w:space="0" w:color="auto"/>
      </w:divBdr>
    </w:div>
    <w:div w:id="1711298556">
      <w:bodyDiv w:val="1"/>
      <w:marLeft w:val="0"/>
      <w:marRight w:val="0"/>
      <w:marTop w:val="0"/>
      <w:marBottom w:val="0"/>
      <w:divBdr>
        <w:top w:val="none" w:sz="0" w:space="0" w:color="auto"/>
        <w:left w:val="none" w:sz="0" w:space="0" w:color="auto"/>
        <w:bottom w:val="none" w:sz="0" w:space="0" w:color="auto"/>
        <w:right w:val="none" w:sz="0" w:space="0" w:color="auto"/>
      </w:divBdr>
    </w:div>
    <w:div w:id="1713076250">
      <w:bodyDiv w:val="1"/>
      <w:marLeft w:val="0"/>
      <w:marRight w:val="0"/>
      <w:marTop w:val="0"/>
      <w:marBottom w:val="0"/>
      <w:divBdr>
        <w:top w:val="none" w:sz="0" w:space="0" w:color="auto"/>
        <w:left w:val="none" w:sz="0" w:space="0" w:color="auto"/>
        <w:bottom w:val="none" w:sz="0" w:space="0" w:color="auto"/>
        <w:right w:val="none" w:sz="0" w:space="0" w:color="auto"/>
      </w:divBdr>
    </w:div>
    <w:div w:id="1717005884">
      <w:bodyDiv w:val="1"/>
      <w:marLeft w:val="0"/>
      <w:marRight w:val="0"/>
      <w:marTop w:val="0"/>
      <w:marBottom w:val="0"/>
      <w:divBdr>
        <w:top w:val="none" w:sz="0" w:space="0" w:color="auto"/>
        <w:left w:val="none" w:sz="0" w:space="0" w:color="auto"/>
        <w:bottom w:val="none" w:sz="0" w:space="0" w:color="auto"/>
        <w:right w:val="none" w:sz="0" w:space="0" w:color="auto"/>
      </w:divBdr>
    </w:div>
    <w:div w:id="1743599504">
      <w:bodyDiv w:val="1"/>
      <w:marLeft w:val="0"/>
      <w:marRight w:val="0"/>
      <w:marTop w:val="0"/>
      <w:marBottom w:val="0"/>
      <w:divBdr>
        <w:top w:val="none" w:sz="0" w:space="0" w:color="auto"/>
        <w:left w:val="none" w:sz="0" w:space="0" w:color="auto"/>
        <w:bottom w:val="none" w:sz="0" w:space="0" w:color="auto"/>
        <w:right w:val="none" w:sz="0" w:space="0" w:color="auto"/>
      </w:divBdr>
    </w:div>
    <w:div w:id="1795367227">
      <w:bodyDiv w:val="1"/>
      <w:marLeft w:val="0"/>
      <w:marRight w:val="0"/>
      <w:marTop w:val="0"/>
      <w:marBottom w:val="0"/>
      <w:divBdr>
        <w:top w:val="none" w:sz="0" w:space="0" w:color="auto"/>
        <w:left w:val="none" w:sz="0" w:space="0" w:color="auto"/>
        <w:bottom w:val="none" w:sz="0" w:space="0" w:color="auto"/>
        <w:right w:val="none" w:sz="0" w:space="0" w:color="auto"/>
      </w:divBdr>
    </w:div>
    <w:div w:id="1796217796">
      <w:bodyDiv w:val="1"/>
      <w:marLeft w:val="0"/>
      <w:marRight w:val="0"/>
      <w:marTop w:val="0"/>
      <w:marBottom w:val="0"/>
      <w:divBdr>
        <w:top w:val="none" w:sz="0" w:space="0" w:color="auto"/>
        <w:left w:val="none" w:sz="0" w:space="0" w:color="auto"/>
        <w:bottom w:val="none" w:sz="0" w:space="0" w:color="auto"/>
        <w:right w:val="none" w:sz="0" w:space="0" w:color="auto"/>
      </w:divBdr>
    </w:div>
    <w:div w:id="1805344125">
      <w:bodyDiv w:val="1"/>
      <w:marLeft w:val="0"/>
      <w:marRight w:val="0"/>
      <w:marTop w:val="0"/>
      <w:marBottom w:val="0"/>
      <w:divBdr>
        <w:top w:val="none" w:sz="0" w:space="0" w:color="auto"/>
        <w:left w:val="none" w:sz="0" w:space="0" w:color="auto"/>
        <w:bottom w:val="none" w:sz="0" w:space="0" w:color="auto"/>
        <w:right w:val="none" w:sz="0" w:space="0" w:color="auto"/>
      </w:divBdr>
    </w:div>
    <w:div w:id="1815637110">
      <w:bodyDiv w:val="1"/>
      <w:marLeft w:val="0"/>
      <w:marRight w:val="0"/>
      <w:marTop w:val="0"/>
      <w:marBottom w:val="0"/>
      <w:divBdr>
        <w:top w:val="none" w:sz="0" w:space="0" w:color="auto"/>
        <w:left w:val="none" w:sz="0" w:space="0" w:color="auto"/>
        <w:bottom w:val="none" w:sz="0" w:space="0" w:color="auto"/>
        <w:right w:val="none" w:sz="0" w:space="0" w:color="auto"/>
      </w:divBdr>
    </w:div>
    <w:div w:id="1849170453">
      <w:bodyDiv w:val="1"/>
      <w:marLeft w:val="0"/>
      <w:marRight w:val="0"/>
      <w:marTop w:val="0"/>
      <w:marBottom w:val="0"/>
      <w:divBdr>
        <w:top w:val="none" w:sz="0" w:space="0" w:color="auto"/>
        <w:left w:val="none" w:sz="0" w:space="0" w:color="auto"/>
        <w:bottom w:val="none" w:sz="0" w:space="0" w:color="auto"/>
        <w:right w:val="none" w:sz="0" w:space="0" w:color="auto"/>
      </w:divBdr>
    </w:div>
    <w:div w:id="1854996812">
      <w:bodyDiv w:val="1"/>
      <w:marLeft w:val="0"/>
      <w:marRight w:val="0"/>
      <w:marTop w:val="0"/>
      <w:marBottom w:val="0"/>
      <w:divBdr>
        <w:top w:val="none" w:sz="0" w:space="0" w:color="auto"/>
        <w:left w:val="none" w:sz="0" w:space="0" w:color="auto"/>
        <w:bottom w:val="none" w:sz="0" w:space="0" w:color="auto"/>
        <w:right w:val="none" w:sz="0" w:space="0" w:color="auto"/>
      </w:divBdr>
    </w:div>
    <w:div w:id="1878620798">
      <w:bodyDiv w:val="1"/>
      <w:marLeft w:val="0"/>
      <w:marRight w:val="0"/>
      <w:marTop w:val="0"/>
      <w:marBottom w:val="0"/>
      <w:divBdr>
        <w:top w:val="none" w:sz="0" w:space="0" w:color="auto"/>
        <w:left w:val="none" w:sz="0" w:space="0" w:color="auto"/>
        <w:bottom w:val="none" w:sz="0" w:space="0" w:color="auto"/>
        <w:right w:val="none" w:sz="0" w:space="0" w:color="auto"/>
      </w:divBdr>
    </w:div>
    <w:div w:id="1913152416">
      <w:bodyDiv w:val="1"/>
      <w:marLeft w:val="0"/>
      <w:marRight w:val="0"/>
      <w:marTop w:val="0"/>
      <w:marBottom w:val="0"/>
      <w:divBdr>
        <w:top w:val="none" w:sz="0" w:space="0" w:color="auto"/>
        <w:left w:val="none" w:sz="0" w:space="0" w:color="auto"/>
        <w:bottom w:val="none" w:sz="0" w:space="0" w:color="auto"/>
        <w:right w:val="none" w:sz="0" w:space="0" w:color="auto"/>
      </w:divBdr>
    </w:div>
    <w:div w:id="1920360882">
      <w:bodyDiv w:val="1"/>
      <w:marLeft w:val="0"/>
      <w:marRight w:val="0"/>
      <w:marTop w:val="0"/>
      <w:marBottom w:val="0"/>
      <w:divBdr>
        <w:top w:val="none" w:sz="0" w:space="0" w:color="auto"/>
        <w:left w:val="none" w:sz="0" w:space="0" w:color="auto"/>
        <w:bottom w:val="none" w:sz="0" w:space="0" w:color="auto"/>
        <w:right w:val="none" w:sz="0" w:space="0" w:color="auto"/>
      </w:divBdr>
    </w:div>
    <w:div w:id="1924609354">
      <w:bodyDiv w:val="1"/>
      <w:marLeft w:val="0"/>
      <w:marRight w:val="0"/>
      <w:marTop w:val="0"/>
      <w:marBottom w:val="0"/>
      <w:divBdr>
        <w:top w:val="none" w:sz="0" w:space="0" w:color="auto"/>
        <w:left w:val="none" w:sz="0" w:space="0" w:color="auto"/>
        <w:bottom w:val="none" w:sz="0" w:space="0" w:color="auto"/>
        <w:right w:val="none" w:sz="0" w:space="0" w:color="auto"/>
      </w:divBdr>
    </w:div>
    <w:div w:id="1939408274">
      <w:bodyDiv w:val="1"/>
      <w:marLeft w:val="0"/>
      <w:marRight w:val="0"/>
      <w:marTop w:val="0"/>
      <w:marBottom w:val="0"/>
      <w:divBdr>
        <w:top w:val="none" w:sz="0" w:space="0" w:color="auto"/>
        <w:left w:val="none" w:sz="0" w:space="0" w:color="auto"/>
        <w:bottom w:val="none" w:sz="0" w:space="0" w:color="auto"/>
        <w:right w:val="none" w:sz="0" w:space="0" w:color="auto"/>
      </w:divBdr>
    </w:div>
    <w:div w:id="1957174051">
      <w:bodyDiv w:val="1"/>
      <w:marLeft w:val="0"/>
      <w:marRight w:val="0"/>
      <w:marTop w:val="0"/>
      <w:marBottom w:val="0"/>
      <w:divBdr>
        <w:top w:val="none" w:sz="0" w:space="0" w:color="auto"/>
        <w:left w:val="none" w:sz="0" w:space="0" w:color="auto"/>
        <w:bottom w:val="none" w:sz="0" w:space="0" w:color="auto"/>
        <w:right w:val="none" w:sz="0" w:space="0" w:color="auto"/>
      </w:divBdr>
    </w:div>
    <w:div w:id="1957829577">
      <w:bodyDiv w:val="1"/>
      <w:marLeft w:val="0"/>
      <w:marRight w:val="0"/>
      <w:marTop w:val="0"/>
      <w:marBottom w:val="0"/>
      <w:divBdr>
        <w:top w:val="none" w:sz="0" w:space="0" w:color="auto"/>
        <w:left w:val="none" w:sz="0" w:space="0" w:color="auto"/>
        <w:bottom w:val="none" w:sz="0" w:space="0" w:color="auto"/>
        <w:right w:val="none" w:sz="0" w:space="0" w:color="auto"/>
      </w:divBdr>
    </w:div>
    <w:div w:id="1973905042">
      <w:bodyDiv w:val="1"/>
      <w:marLeft w:val="0"/>
      <w:marRight w:val="0"/>
      <w:marTop w:val="0"/>
      <w:marBottom w:val="0"/>
      <w:divBdr>
        <w:top w:val="none" w:sz="0" w:space="0" w:color="auto"/>
        <w:left w:val="none" w:sz="0" w:space="0" w:color="auto"/>
        <w:bottom w:val="none" w:sz="0" w:space="0" w:color="auto"/>
        <w:right w:val="none" w:sz="0" w:space="0" w:color="auto"/>
      </w:divBdr>
    </w:div>
    <w:div w:id="1976181738">
      <w:bodyDiv w:val="1"/>
      <w:marLeft w:val="0"/>
      <w:marRight w:val="0"/>
      <w:marTop w:val="0"/>
      <w:marBottom w:val="0"/>
      <w:divBdr>
        <w:top w:val="none" w:sz="0" w:space="0" w:color="auto"/>
        <w:left w:val="none" w:sz="0" w:space="0" w:color="auto"/>
        <w:bottom w:val="none" w:sz="0" w:space="0" w:color="auto"/>
        <w:right w:val="none" w:sz="0" w:space="0" w:color="auto"/>
      </w:divBdr>
    </w:div>
    <w:div w:id="1994524448">
      <w:bodyDiv w:val="1"/>
      <w:marLeft w:val="0"/>
      <w:marRight w:val="0"/>
      <w:marTop w:val="0"/>
      <w:marBottom w:val="0"/>
      <w:divBdr>
        <w:top w:val="none" w:sz="0" w:space="0" w:color="auto"/>
        <w:left w:val="none" w:sz="0" w:space="0" w:color="auto"/>
        <w:bottom w:val="none" w:sz="0" w:space="0" w:color="auto"/>
        <w:right w:val="none" w:sz="0" w:space="0" w:color="auto"/>
      </w:divBdr>
    </w:div>
    <w:div w:id="2004046096">
      <w:bodyDiv w:val="1"/>
      <w:marLeft w:val="0"/>
      <w:marRight w:val="0"/>
      <w:marTop w:val="0"/>
      <w:marBottom w:val="0"/>
      <w:divBdr>
        <w:top w:val="none" w:sz="0" w:space="0" w:color="auto"/>
        <w:left w:val="none" w:sz="0" w:space="0" w:color="auto"/>
        <w:bottom w:val="none" w:sz="0" w:space="0" w:color="auto"/>
        <w:right w:val="none" w:sz="0" w:space="0" w:color="auto"/>
      </w:divBdr>
    </w:div>
    <w:div w:id="2007778906">
      <w:bodyDiv w:val="1"/>
      <w:marLeft w:val="0"/>
      <w:marRight w:val="0"/>
      <w:marTop w:val="0"/>
      <w:marBottom w:val="0"/>
      <w:divBdr>
        <w:top w:val="none" w:sz="0" w:space="0" w:color="auto"/>
        <w:left w:val="none" w:sz="0" w:space="0" w:color="auto"/>
        <w:bottom w:val="none" w:sz="0" w:space="0" w:color="auto"/>
        <w:right w:val="none" w:sz="0" w:space="0" w:color="auto"/>
      </w:divBdr>
    </w:div>
    <w:div w:id="2040616434">
      <w:bodyDiv w:val="1"/>
      <w:marLeft w:val="0"/>
      <w:marRight w:val="0"/>
      <w:marTop w:val="0"/>
      <w:marBottom w:val="0"/>
      <w:divBdr>
        <w:top w:val="none" w:sz="0" w:space="0" w:color="auto"/>
        <w:left w:val="none" w:sz="0" w:space="0" w:color="auto"/>
        <w:bottom w:val="none" w:sz="0" w:space="0" w:color="auto"/>
        <w:right w:val="none" w:sz="0" w:space="0" w:color="auto"/>
      </w:divBdr>
    </w:div>
    <w:div w:id="2056659639">
      <w:bodyDiv w:val="1"/>
      <w:marLeft w:val="0"/>
      <w:marRight w:val="0"/>
      <w:marTop w:val="0"/>
      <w:marBottom w:val="0"/>
      <w:divBdr>
        <w:top w:val="none" w:sz="0" w:space="0" w:color="auto"/>
        <w:left w:val="none" w:sz="0" w:space="0" w:color="auto"/>
        <w:bottom w:val="none" w:sz="0" w:space="0" w:color="auto"/>
        <w:right w:val="none" w:sz="0" w:space="0" w:color="auto"/>
      </w:divBdr>
    </w:div>
    <w:div w:id="2076397121">
      <w:bodyDiv w:val="1"/>
      <w:marLeft w:val="0"/>
      <w:marRight w:val="0"/>
      <w:marTop w:val="0"/>
      <w:marBottom w:val="0"/>
      <w:divBdr>
        <w:top w:val="none" w:sz="0" w:space="0" w:color="auto"/>
        <w:left w:val="none" w:sz="0" w:space="0" w:color="auto"/>
        <w:bottom w:val="none" w:sz="0" w:space="0" w:color="auto"/>
        <w:right w:val="none" w:sz="0" w:space="0" w:color="auto"/>
      </w:divBdr>
    </w:div>
    <w:div w:id="2096440522">
      <w:bodyDiv w:val="1"/>
      <w:marLeft w:val="0"/>
      <w:marRight w:val="0"/>
      <w:marTop w:val="0"/>
      <w:marBottom w:val="0"/>
      <w:divBdr>
        <w:top w:val="none" w:sz="0" w:space="0" w:color="auto"/>
        <w:left w:val="none" w:sz="0" w:space="0" w:color="auto"/>
        <w:bottom w:val="none" w:sz="0" w:space="0" w:color="auto"/>
        <w:right w:val="none" w:sz="0" w:space="0" w:color="auto"/>
      </w:divBdr>
    </w:div>
    <w:div w:id="2120252806">
      <w:bodyDiv w:val="1"/>
      <w:marLeft w:val="0"/>
      <w:marRight w:val="0"/>
      <w:marTop w:val="0"/>
      <w:marBottom w:val="0"/>
      <w:divBdr>
        <w:top w:val="none" w:sz="0" w:space="0" w:color="auto"/>
        <w:left w:val="none" w:sz="0" w:space="0" w:color="auto"/>
        <w:bottom w:val="none" w:sz="0" w:space="0" w:color="auto"/>
        <w:right w:val="none" w:sz="0" w:space="0" w:color="auto"/>
      </w:divBdr>
    </w:div>
    <w:div w:id="2120636324">
      <w:bodyDiv w:val="1"/>
      <w:marLeft w:val="0"/>
      <w:marRight w:val="0"/>
      <w:marTop w:val="0"/>
      <w:marBottom w:val="0"/>
      <w:divBdr>
        <w:top w:val="none" w:sz="0" w:space="0" w:color="auto"/>
        <w:left w:val="none" w:sz="0" w:space="0" w:color="auto"/>
        <w:bottom w:val="none" w:sz="0" w:space="0" w:color="auto"/>
        <w:right w:val="none" w:sz="0" w:space="0" w:color="auto"/>
      </w:divBdr>
    </w:div>
    <w:div w:id="2122067151">
      <w:bodyDiv w:val="1"/>
      <w:marLeft w:val="0"/>
      <w:marRight w:val="0"/>
      <w:marTop w:val="0"/>
      <w:marBottom w:val="0"/>
      <w:divBdr>
        <w:top w:val="none" w:sz="0" w:space="0" w:color="auto"/>
        <w:left w:val="none" w:sz="0" w:space="0" w:color="auto"/>
        <w:bottom w:val="none" w:sz="0" w:space="0" w:color="auto"/>
        <w:right w:val="none" w:sz="0" w:space="0" w:color="auto"/>
      </w:divBdr>
    </w:div>
    <w:div w:id="2126848036">
      <w:bodyDiv w:val="1"/>
      <w:marLeft w:val="0"/>
      <w:marRight w:val="0"/>
      <w:marTop w:val="0"/>
      <w:marBottom w:val="0"/>
      <w:divBdr>
        <w:top w:val="none" w:sz="0" w:space="0" w:color="auto"/>
        <w:left w:val="none" w:sz="0" w:space="0" w:color="auto"/>
        <w:bottom w:val="none" w:sz="0" w:space="0" w:color="auto"/>
        <w:right w:val="none" w:sz="0" w:space="0" w:color="auto"/>
      </w:divBdr>
    </w:div>
    <w:div w:id="21355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chart" Target="charts/chart23.xml"/><Relationship Id="rId3" Type="http://schemas.openxmlformats.org/officeDocument/2006/relationships/numbering" Target="numbering.xml"/><Relationship Id="rId21" Type="http://schemas.openxmlformats.org/officeDocument/2006/relationships/chart" Target="charts/chart5.xml"/><Relationship Id="rId34" Type="http://schemas.openxmlformats.org/officeDocument/2006/relationships/chart" Target="charts/chart18.xml"/><Relationship Id="rId42" Type="http://schemas.openxmlformats.org/officeDocument/2006/relationships/chart" Target="charts/chart2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chart" Target="charts/chart2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chart" Target="charts/chart2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hyperlink" Target="http://www.databank.per.gov.ie" TargetMode="External"/><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10" Type="http://schemas.openxmlformats.org/officeDocument/2006/relationships/header" Target="header1.xml"/><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chart" Target="charts/chart2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chart" Target="charts/chart26.xml"/></Relationships>
</file>

<file path=word/_rels/footnotes.xml.rels><?xml version="1.0" encoding="UTF-8" standalone="yes"?>
<Relationships xmlns="http://schemas.openxmlformats.org/package/2006/relationships"><Relationship Id="rId1" Type="http://schemas.openxmlformats.org/officeDocument/2006/relationships/hyperlink" Target="http://databank.per.gov.ie/"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lgma-data1\lgerpmo\PMO%20Reporting\Performance%20Indicators\D07%20-%20Performance%20Indicators%20tables%2026.11.15%20-%20Cop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lgma-data1\lgerpmo\PMO%20Reporting\Performance%20Indicators\D05%20-%20Performance%20Indicators%20tables%2018.11.15%20-%20Cop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lgma-data1\lgerpmo\PMO%20Reporting\Performance%20Indicators\D05%20-%20Performance%20Indicators%20tables%2018.11.15%20-%20Cop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lgma-data1\lgerpmo\PMO%20Reporting\Performance%20Indicators\Performance%20Indicators%20tables%20D04%2006.11.1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lgma-data1\lgerpmo\PMO%20Reporting\Performance%20Indicators\D05%20-%20Performance%20Indicators%20tables%2018.11.15%20-%20Cop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lgma-data1\lgerpmo\PMO%20Reporting\Performance%20Indicators\Performance%20Indicators%20tables%20D04%2006.11.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lgma-data1\lgerpmo\PMO%20Reporting\Performance%20Indicators\D05%20-%20Performance%20Indicators%20tables%2018.11.15%20-%20Cop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lgma-data1\lgerpmo\PMO%20Reporting\Performance%20Indicators\D05%20-%20Performance%20Indicators%20tables%2018.11.15%20-%20Cop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lgma-data1\lgerpmo\PMO%20Reporting\Performance%20Indicators\Performance%20Indicators%20tabl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lgma-data1\lgerpmo\PMO%20Reporting\Performance%20Indicators\Performance%20Indicators%20table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lgma-data1\lgerpmo\PMO%20Reporting\Performance%20Indicators\Performance%20Indicators%20tab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GMA-DATA\Live\OLAM\Research\Service%20indicators\2015\LA%20BUDGET%20REVENUE%20ACCOUNT%20SUMMARY%202010%20TO%202014%20TABLE.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lgma-data1\lgerpmo\PMO%20Reporting\Performance%20Indicators\Performance%20Indicators%20tables%20D04%2006.11.15.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lgma-data1\lgerpmo\PMO%20Reporting\Performance%20Indicators\D07%20-%20Performance%20Indicators%20tables%2026.11.15%20-%20Copy.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LGMA-DATA\Live\OLAM\Research\Service%20indicators\2015\D08%20-%20Performance%20Indicators%20tables%2015.12.03.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lgma-data1\lgerpmo\PMO%20Reporting\Performance%20Indicators\D07%20-%20Performance%20Indicators%20tables%2026.11.15%20-%20Copy.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lgma-data1\lgerpmo\PMO%20Reporting\Performance%20Indicators\D05%20-%20Performance%20Indicators%20tables%2018.11.15%20-%20Copy.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lgma-data1\lgerpmo\PMO%20Reporting\Performance%20Indicators\D05%20-%20Performance%20Indicators%20tables%2018.11.15%20-%20Copy.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lgma-data1\lgerpmo\PMO%20Reporting\Performance%20Indicators\D07%20-%20Performance%20Indicators%20tables%2026.11.15%20-%20Copy.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LGMA-DATA\Live\OLAM\Research\Service%20indicators\2015\LA%20BUDGET%20REVENUE%20ACCOUNT%20SUMMARY%202010%20TO%202014%20TABLE.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lgma-data1\lgerpmo\PMO%20Reporting\Performance%20Indicators\Performance%20Indicators%20tables%20D04%2006.11.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lgma-data1\lgerpmo\PMO%20Reporting\Performance%20Indicators\Performance%20Indicators%20tables%20D04%2006.11.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lgma-data1\lgerpmo\PMO%20Reporting\Performance%20Indicators\D05%20-%20Performance%20Indicators%20tables%2018.11.15%20-%20Cop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lgma-data1\lgerpmo\PMO%20Reporting\Performance%20Indicators\D05%20-%20Performance%20Indicators%20tables%2018.11.15%20-%20Cop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lgma-data1\lgerpmo\PMO%20Reporting\Performance%20Indicators\D05%20-%20Performance%20Indicators%20tables%2018.11.15%20-%20Cop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lgma-data1\lgerpmo\PMO%20Reporting\Performance%20Indicators\D05%20-%20Performance%20Indicators%20tables%2018.11.15%20-%20Cop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'Sector Staffing trends'!$T$7</c:f>
              <c:strCache>
                <c:ptCount val="1"/>
              </c:strCache>
            </c:strRef>
          </c:tx>
          <c:marker>
            <c:symbol val="none"/>
          </c:marker>
          <c:cat>
            <c:numRef>
              <c:f>'Sector Staffing trends'!$U$6:$AA$6</c:f>
              <c:numCache>
                <c:formatCode>General</c:formatCode>
                <c:ptCount val="7"/>
                <c:pt idx="0">
                  <c:v>2008</c:v>
                </c:pt>
                <c:pt idx="1">
                  <c:v>2009</c:v>
                </c:pt>
                <c:pt idx="2">
                  <c:v>2010</c:v>
                </c:pt>
                <c:pt idx="3">
                  <c:v>2011</c:v>
                </c:pt>
                <c:pt idx="4">
                  <c:v>2012</c:v>
                </c:pt>
                <c:pt idx="5">
                  <c:v>2013</c:v>
                </c:pt>
                <c:pt idx="6">
                  <c:v>2014</c:v>
                </c:pt>
              </c:numCache>
            </c:numRef>
          </c:cat>
          <c:val>
            <c:numRef>
              <c:f>'Sector Staffing trends'!$U$7:$AA$7</c:f>
              <c:numCache>
                <c:formatCode>[$-10409]#,##0.00;\(#,##0.00\)</c:formatCode>
                <c:ptCount val="7"/>
                <c:pt idx="0">
                  <c:v>35007.530000000006</c:v>
                </c:pt>
                <c:pt idx="1">
                  <c:v>32043.540000000005</c:v>
                </c:pt>
                <c:pt idx="2">
                  <c:v>30703.040000000005</c:v>
                </c:pt>
                <c:pt idx="3">
                  <c:v>29506.319999999931</c:v>
                </c:pt>
                <c:pt idx="4">
                  <c:v>28306.240000000005</c:v>
                </c:pt>
                <c:pt idx="5">
                  <c:v>27543.509999999947</c:v>
                </c:pt>
                <c:pt idx="6">
                  <c:v>26809.86</c:v>
                </c:pt>
              </c:numCache>
            </c:numRef>
          </c:val>
          <c:smooth val="0"/>
        </c:ser>
        <c:dLbls>
          <c:showLegendKey val="0"/>
          <c:showVal val="0"/>
          <c:showCatName val="0"/>
          <c:showSerName val="0"/>
          <c:showPercent val="0"/>
          <c:showBubbleSize val="0"/>
        </c:dLbls>
        <c:marker val="1"/>
        <c:smooth val="0"/>
        <c:axId val="83928960"/>
        <c:axId val="117494144"/>
      </c:lineChart>
      <c:catAx>
        <c:axId val="83928960"/>
        <c:scaling>
          <c:orientation val="minMax"/>
        </c:scaling>
        <c:delete val="0"/>
        <c:axPos val="b"/>
        <c:numFmt formatCode="General" sourceLinked="1"/>
        <c:majorTickMark val="none"/>
        <c:minorTickMark val="none"/>
        <c:tickLblPos val="nextTo"/>
        <c:crossAx val="117494144"/>
        <c:crosses val="autoZero"/>
        <c:auto val="1"/>
        <c:lblAlgn val="ctr"/>
        <c:lblOffset val="100"/>
        <c:noMultiLvlLbl val="0"/>
      </c:catAx>
      <c:valAx>
        <c:axId val="117494144"/>
        <c:scaling>
          <c:orientation val="minMax"/>
        </c:scaling>
        <c:delete val="0"/>
        <c:axPos val="l"/>
        <c:majorGridlines/>
        <c:numFmt formatCode="[$-10409]#,##0.00;\(#,##0.00\)" sourceLinked="1"/>
        <c:majorTickMark val="none"/>
        <c:minorTickMark val="none"/>
        <c:tickLblPos val="nextTo"/>
        <c:crossAx val="83928960"/>
        <c:crosses val="autoZero"/>
        <c:crossBetween val="between"/>
      </c:valAx>
    </c:plotArea>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94663167104162"/>
          <c:y val="0.35998067949839707"/>
          <c:w val="1.2053368328958904E-2"/>
          <c:h val="1.5019320501603954E-2"/>
        </c:manualLayout>
      </c:layout>
      <c:barChart>
        <c:barDir val="bar"/>
        <c:grouping val="stacked"/>
        <c:varyColors val="0"/>
        <c:ser>
          <c:idx val="0"/>
          <c:order val="0"/>
          <c:tx>
            <c:v>Structural Distress</c:v>
          </c:tx>
          <c:spPr>
            <a:solidFill>
              <a:schemeClr val="accent2">
                <a:lumMod val="40000"/>
                <a:lumOff val="60000"/>
              </a:schemeClr>
            </a:solidFill>
          </c:spPr>
          <c:invertIfNegative val="0"/>
          <c:dLbls>
            <c:delete val="1"/>
          </c:dLbls>
          <c:cat>
            <c:strRef>
              <c:f>'Roads- regional'!$I$62:$L$62</c:f>
              <c:strCache>
                <c:ptCount val="4"/>
                <c:pt idx="0">
                  <c:v>Regional</c:v>
                </c:pt>
                <c:pt idx="1">
                  <c:v>Primary</c:v>
                </c:pt>
                <c:pt idx="2">
                  <c:v>Secondary</c:v>
                </c:pt>
                <c:pt idx="3">
                  <c:v>Tertiary</c:v>
                </c:pt>
              </c:strCache>
            </c:strRef>
          </c:cat>
          <c:val>
            <c:numRef>
              <c:f>'Roads- regional'!$I$63:$L$63</c:f>
              <c:numCache>
                <c:formatCode>General</c:formatCode>
                <c:ptCount val="4"/>
                <c:pt idx="0">
                  <c:v>8</c:v>
                </c:pt>
                <c:pt idx="1">
                  <c:v>11</c:v>
                </c:pt>
                <c:pt idx="2">
                  <c:v>17</c:v>
                </c:pt>
                <c:pt idx="3">
                  <c:v>31</c:v>
                </c:pt>
              </c:numCache>
            </c:numRef>
          </c:val>
        </c:ser>
        <c:ser>
          <c:idx val="1"/>
          <c:order val="1"/>
          <c:tx>
            <c:v>Pavement Defects</c:v>
          </c:tx>
          <c:spPr>
            <a:solidFill>
              <a:schemeClr val="accent6">
                <a:lumMod val="40000"/>
                <a:lumOff val="60000"/>
              </a:schemeClr>
            </a:solidFill>
          </c:spPr>
          <c:invertIfNegative val="0"/>
          <c:dLbls>
            <c:delete val="1"/>
          </c:dLbls>
          <c:cat>
            <c:strRef>
              <c:f>'Roads- regional'!$I$62:$L$62</c:f>
              <c:strCache>
                <c:ptCount val="4"/>
                <c:pt idx="0">
                  <c:v>Regional</c:v>
                </c:pt>
                <c:pt idx="1">
                  <c:v>Primary</c:v>
                </c:pt>
                <c:pt idx="2">
                  <c:v>Secondary</c:v>
                </c:pt>
                <c:pt idx="3">
                  <c:v>Tertiary</c:v>
                </c:pt>
              </c:strCache>
            </c:strRef>
          </c:cat>
          <c:val>
            <c:numRef>
              <c:f>'Roads- regional'!$I$64:$L$64</c:f>
              <c:numCache>
                <c:formatCode>General</c:formatCode>
                <c:ptCount val="4"/>
                <c:pt idx="0">
                  <c:v>24</c:v>
                </c:pt>
                <c:pt idx="1">
                  <c:v>31</c:v>
                </c:pt>
                <c:pt idx="2">
                  <c:v>35</c:v>
                </c:pt>
                <c:pt idx="3">
                  <c:v>30</c:v>
                </c:pt>
              </c:numCache>
            </c:numRef>
          </c:val>
        </c:ser>
        <c:ser>
          <c:idx val="2"/>
          <c:order val="2"/>
          <c:tx>
            <c:v>Surface Defects</c:v>
          </c:tx>
          <c:spPr>
            <a:solidFill>
              <a:schemeClr val="tx2">
                <a:lumMod val="40000"/>
                <a:lumOff val="60000"/>
              </a:schemeClr>
            </a:solidFill>
          </c:spPr>
          <c:invertIfNegative val="0"/>
          <c:dLbls>
            <c:delete val="1"/>
          </c:dLbls>
          <c:cat>
            <c:strRef>
              <c:f>'Roads- regional'!$I$62:$L$62</c:f>
              <c:strCache>
                <c:ptCount val="4"/>
                <c:pt idx="0">
                  <c:v>Regional</c:v>
                </c:pt>
                <c:pt idx="1">
                  <c:v>Primary</c:v>
                </c:pt>
                <c:pt idx="2">
                  <c:v>Secondary</c:v>
                </c:pt>
                <c:pt idx="3">
                  <c:v>Tertiary</c:v>
                </c:pt>
              </c:strCache>
            </c:strRef>
          </c:cat>
          <c:val>
            <c:numRef>
              <c:f>'Roads- regional'!$I$65:$L$65</c:f>
              <c:numCache>
                <c:formatCode>General</c:formatCode>
                <c:ptCount val="4"/>
                <c:pt idx="0">
                  <c:v>44</c:v>
                </c:pt>
                <c:pt idx="1">
                  <c:v>43</c:v>
                </c:pt>
                <c:pt idx="2">
                  <c:v>36</c:v>
                </c:pt>
                <c:pt idx="3">
                  <c:v>29</c:v>
                </c:pt>
              </c:numCache>
            </c:numRef>
          </c:val>
        </c:ser>
        <c:ser>
          <c:idx val="3"/>
          <c:order val="3"/>
          <c:tx>
            <c:v>no Visible/MinorDefects</c:v>
          </c:tx>
          <c:spPr>
            <a:solidFill>
              <a:schemeClr val="accent3">
                <a:lumMod val="40000"/>
                <a:lumOff val="60000"/>
              </a:schemeClr>
            </a:solidFill>
          </c:spPr>
          <c:invertIfNegative val="0"/>
          <c:dLbls>
            <c:delete val="1"/>
          </c:dLbls>
          <c:cat>
            <c:strRef>
              <c:f>'Roads- regional'!$I$62:$L$62</c:f>
              <c:strCache>
                <c:ptCount val="4"/>
                <c:pt idx="0">
                  <c:v>Regional</c:v>
                </c:pt>
                <c:pt idx="1">
                  <c:v>Primary</c:v>
                </c:pt>
                <c:pt idx="2">
                  <c:v>Secondary</c:v>
                </c:pt>
                <c:pt idx="3">
                  <c:v>Tertiary</c:v>
                </c:pt>
              </c:strCache>
            </c:strRef>
          </c:cat>
          <c:val>
            <c:numRef>
              <c:f>'Roads- regional'!$I$66:$L$66</c:f>
              <c:numCache>
                <c:formatCode>General</c:formatCode>
                <c:ptCount val="4"/>
                <c:pt idx="0">
                  <c:v>24</c:v>
                </c:pt>
                <c:pt idx="1">
                  <c:v>15</c:v>
                </c:pt>
                <c:pt idx="2">
                  <c:v>12</c:v>
                </c:pt>
                <c:pt idx="3">
                  <c:v>10</c:v>
                </c:pt>
              </c:numCache>
            </c:numRef>
          </c:val>
        </c:ser>
        <c:dLbls>
          <c:showLegendKey val="0"/>
          <c:showVal val="1"/>
          <c:showCatName val="0"/>
          <c:showSerName val="0"/>
          <c:showPercent val="0"/>
          <c:showBubbleSize val="0"/>
        </c:dLbls>
        <c:gapWidth val="95"/>
        <c:overlap val="100"/>
        <c:axId val="77567488"/>
        <c:axId val="77569024"/>
      </c:barChart>
      <c:catAx>
        <c:axId val="77567488"/>
        <c:scaling>
          <c:orientation val="minMax"/>
        </c:scaling>
        <c:delete val="1"/>
        <c:axPos val="l"/>
        <c:majorTickMark val="none"/>
        <c:minorTickMark val="none"/>
        <c:tickLblPos val="none"/>
        <c:crossAx val="77569024"/>
        <c:crosses val="autoZero"/>
        <c:auto val="1"/>
        <c:lblAlgn val="ctr"/>
        <c:lblOffset val="100"/>
        <c:noMultiLvlLbl val="0"/>
      </c:catAx>
      <c:valAx>
        <c:axId val="77569024"/>
        <c:scaling>
          <c:orientation val="minMax"/>
        </c:scaling>
        <c:delete val="1"/>
        <c:axPos val="b"/>
        <c:numFmt formatCode="General" sourceLinked="1"/>
        <c:majorTickMark val="none"/>
        <c:minorTickMark val="none"/>
        <c:tickLblPos val="none"/>
        <c:crossAx val="77567488"/>
        <c:crosses val="autoZero"/>
        <c:crossBetween val="between"/>
      </c:valAx>
    </c:plotArea>
    <c:legend>
      <c:legendPos val="t"/>
      <c:layout>
        <c:manualLayout>
          <c:xMode val="edge"/>
          <c:yMode val="edge"/>
          <c:x val="5.0000019631793922E-2"/>
          <c:y val="0.27564103723505284"/>
          <c:w val="0.8999999607364122"/>
          <c:h val="0.36608710907897296"/>
        </c:manualLayout>
      </c:layout>
      <c:overlay val="0"/>
      <c:txPr>
        <a:bodyPr/>
        <a:lstStyle/>
        <a:p>
          <a:pPr>
            <a:defRPr sz="900" b="1"/>
          </a:pPr>
          <a:endParaRPr lang="en-US"/>
        </a:p>
      </c:txPr>
    </c:legend>
    <c:plotVisOnly val="1"/>
    <c:dispBlanksAs val="gap"/>
    <c:showDLblsOverMax val="0"/>
  </c:chart>
  <c:spPr>
    <a:ln>
      <a:solidFill>
        <a:schemeClr val="bg1"/>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E" sz="1050">
                <a:solidFill>
                  <a:schemeClr val="tx2"/>
                </a:solidFill>
              </a:rPr>
              <a:t>Graph</a:t>
            </a:r>
            <a:r>
              <a:rPr lang="en-IE" sz="1050" baseline="0">
                <a:solidFill>
                  <a:schemeClr val="tx2"/>
                </a:solidFill>
              </a:rPr>
              <a:t> 10: Summary </a:t>
            </a:r>
            <a:r>
              <a:rPr lang="en-IE" sz="1050">
                <a:solidFill>
                  <a:schemeClr val="tx2"/>
                </a:solidFill>
              </a:rPr>
              <a:t>PSCI Ratings </a:t>
            </a:r>
            <a:r>
              <a:rPr lang="en-IE" sz="1050" baseline="0">
                <a:solidFill>
                  <a:schemeClr val="tx2"/>
                </a:solidFill>
              </a:rPr>
              <a:t> of Local and Regional  Roads (2014)</a:t>
            </a:r>
            <a:endParaRPr lang="en-IE" sz="1050">
              <a:solidFill>
                <a:schemeClr val="tx2"/>
              </a:solidFill>
            </a:endParaRPr>
          </a:p>
        </c:rich>
      </c:tx>
      <c:overlay val="0"/>
    </c:title>
    <c:autoTitleDeleted val="0"/>
    <c:plotArea>
      <c:layout/>
      <c:barChart>
        <c:barDir val="bar"/>
        <c:grouping val="stacked"/>
        <c:varyColors val="0"/>
        <c:ser>
          <c:idx val="0"/>
          <c:order val="0"/>
          <c:tx>
            <c:v>Structural Distress</c:v>
          </c:tx>
          <c:spPr>
            <a:solidFill>
              <a:schemeClr val="accent2">
                <a:lumMod val="40000"/>
                <a:lumOff val="60000"/>
              </a:schemeClr>
            </a:solidFill>
          </c:spPr>
          <c:invertIfNegative val="0"/>
          <c:cat>
            <c:strRef>
              <c:f>'Roads- regional'!$I$62:$L$62</c:f>
              <c:strCache>
                <c:ptCount val="4"/>
                <c:pt idx="0">
                  <c:v>Regional</c:v>
                </c:pt>
                <c:pt idx="1">
                  <c:v>Primary</c:v>
                </c:pt>
                <c:pt idx="2">
                  <c:v>Secondary</c:v>
                </c:pt>
                <c:pt idx="3">
                  <c:v>Tertiary</c:v>
                </c:pt>
              </c:strCache>
            </c:strRef>
          </c:cat>
          <c:val>
            <c:numRef>
              <c:f>'Roads- regional'!$I$63:$L$63</c:f>
              <c:numCache>
                <c:formatCode>General</c:formatCode>
                <c:ptCount val="4"/>
                <c:pt idx="0">
                  <c:v>8</c:v>
                </c:pt>
                <c:pt idx="1">
                  <c:v>11</c:v>
                </c:pt>
                <c:pt idx="2">
                  <c:v>17</c:v>
                </c:pt>
                <c:pt idx="3">
                  <c:v>31</c:v>
                </c:pt>
              </c:numCache>
            </c:numRef>
          </c:val>
        </c:ser>
        <c:ser>
          <c:idx val="1"/>
          <c:order val="1"/>
          <c:tx>
            <c:v>Pavement Defects</c:v>
          </c:tx>
          <c:spPr>
            <a:solidFill>
              <a:schemeClr val="accent6">
                <a:lumMod val="40000"/>
                <a:lumOff val="60000"/>
              </a:schemeClr>
            </a:solidFill>
          </c:spPr>
          <c:invertIfNegative val="0"/>
          <c:cat>
            <c:strRef>
              <c:f>'Roads- regional'!$I$62:$L$62</c:f>
              <c:strCache>
                <c:ptCount val="4"/>
                <c:pt idx="0">
                  <c:v>Regional</c:v>
                </c:pt>
                <c:pt idx="1">
                  <c:v>Primary</c:v>
                </c:pt>
                <c:pt idx="2">
                  <c:v>Secondary</c:v>
                </c:pt>
                <c:pt idx="3">
                  <c:v>Tertiary</c:v>
                </c:pt>
              </c:strCache>
            </c:strRef>
          </c:cat>
          <c:val>
            <c:numRef>
              <c:f>'Roads- regional'!$I$64:$L$64</c:f>
              <c:numCache>
                <c:formatCode>General</c:formatCode>
                <c:ptCount val="4"/>
                <c:pt idx="0">
                  <c:v>24</c:v>
                </c:pt>
                <c:pt idx="1">
                  <c:v>31</c:v>
                </c:pt>
                <c:pt idx="2">
                  <c:v>35</c:v>
                </c:pt>
                <c:pt idx="3">
                  <c:v>30</c:v>
                </c:pt>
              </c:numCache>
            </c:numRef>
          </c:val>
        </c:ser>
        <c:ser>
          <c:idx val="2"/>
          <c:order val="2"/>
          <c:tx>
            <c:v>Surface Defects</c:v>
          </c:tx>
          <c:spPr>
            <a:solidFill>
              <a:schemeClr val="tx2">
                <a:lumMod val="40000"/>
                <a:lumOff val="60000"/>
              </a:schemeClr>
            </a:solidFill>
          </c:spPr>
          <c:invertIfNegative val="0"/>
          <c:cat>
            <c:strRef>
              <c:f>'Roads- regional'!$I$62:$L$62</c:f>
              <c:strCache>
                <c:ptCount val="4"/>
                <c:pt idx="0">
                  <c:v>Regional</c:v>
                </c:pt>
                <c:pt idx="1">
                  <c:v>Primary</c:v>
                </c:pt>
                <c:pt idx="2">
                  <c:v>Secondary</c:v>
                </c:pt>
                <c:pt idx="3">
                  <c:v>Tertiary</c:v>
                </c:pt>
              </c:strCache>
            </c:strRef>
          </c:cat>
          <c:val>
            <c:numRef>
              <c:f>'Roads- regional'!$I$65:$L$65</c:f>
              <c:numCache>
                <c:formatCode>General</c:formatCode>
                <c:ptCount val="4"/>
                <c:pt idx="0">
                  <c:v>44</c:v>
                </c:pt>
                <c:pt idx="1">
                  <c:v>43</c:v>
                </c:pt>
                <c:pt idx="2">
                  <c:v>36</c:v>
                </c:pt>
                <c:pt idx="3">
                  <c:v>29</c:v>
                </c:pt>
              </c:numCache>
            </c:numRef>
          </c:val>
        </c:ser>
        <c:ser>
          <c:idx val="3"/>
          <c:order val="3"/>
          <c:tx>
            <c:v>no Visible/MinorDefects</c:v>
          </c:tx>
          <c:spPr>
            <a:solidFill>
              <a:schemeClr val="accent3">
                <a:lumMod val="40000"/>
                <a:lumOff val="60000"/>
              </a:schemeClr>
            </a:solidFill>
          </c:spPr>
          <c:invertIfNegative val="0"/>
          <c:cat>
            <c:strRef>
              <c:f>'Roads- regional'!$I$62:$L$62</c:f>
              <c:strCache>
                <c:ptCount val="4"/>
                <c:pt idx="0">
                  <c:v>Regional</c:v>
                </c:pt>
                <c:pt idx="1">
                  <c:v>Primary</c:v>
                </c:pt>
                <c:pt idx="2">
                  <c:v>Secondary</c:v>
                </c:pt>
                <c:pt idx="3">
                  <c:v>Tertiary</c:v>
                </c:pt>
              </c:strCache>
            </c:strRef>
          </c:cat>
          <c:val>
            <c:numRef>
              <c:f>'Roads- regional'!$I$66:$L$66</c:f>
              <c:numCache>
                <c:formatCode>General</c:formatCode>
                <c:ptCount val="4"/>
                <c:pt idx="0">
                  <c:v>24</c:v>
                </c:pt>
                <c:pt idx="1">
                  <c:v>15</c:v>
                </c:pt>
                <c:pt idx="2">
                  <c:v>12</c:v>
                </c:pt>
                <c:pt idx="3">
                  <c:v>10</c:v>
                </c:pt>
              </c:numCache>
            </c:numRef>
          </c:val>
        </c:ser>
        <c:dLbls>
          <c:showLegendKey val="0"/>
          <c:showVal val="1"/>
          <c:showCatName val="0"/>
          <c:showSerName val="0"/>
          <c:showPercent val="0"/>
          <c:showBubbleSize val="0"/>
        </c:dLbls>
        <c:gapWidth val="95"/>
        <c:overlap val="100"/>
        <c:axId val="77663232"/>
        <c:axId val="77677312"/>
      </c:barChart>
      <c:catAx>
        <c:axId val="77663232"/>
        <c:scaling>
          <c:orientation val="minMax"/>
        </c:scaling>
        <c:delete val="0"/>
        <c:axPos val="l"/>
        <c:majorTickMark val="none"/>
        <c:minorTickMark val="none"/>
        <c:tickLblPos val="nextTo"/>
        <c:crossAx val="77677312"/>
        <c:crosses val="autoZero"/>
        <c:auto val="1"/>
        <c:lblAlgn val="ctr"/>
        <c:lblOffset val="100"/>
        <c:noMultiLvlLbl val="0"/>
      </c:catAx>
      <c:valAx>
        <c:axId val="77677312"/>
        <c:scaling>
          <c:orientation val="minMax"/>
        </c:scaling>
        <c:delete val="1"/>
        <c:axPos val="b"/>
        <c:numFmt formatCode="General" sourceLinked="1"/>
        <c:majorTickMark val="none"/>
        <c:minorTickMark val="none"/>
        <c:tickLblPos val="none"/>
        <c:crossAx val="77663232"/>
        <c:crosses val="autoZero"/>
        <c:crossBetween val="between"/>
      </c:valAx>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IE" sz="1100">
                <a:solidFill>
                  <a:schemeClr val="tx2"/>
                </a:solidFill>
              </a:rPr>
              <a:t>Graph</a:t>
            </a:r>
            <a:r>
              <a:rPr lang="en-IE" sz="1100" baseline="0">
                <a:solidFill>
                  <a:schemeClr val="tx2"/>
                </a:solidFill>
              </a:rPr>
              <a:t> 11: </a:t>
            </a:r>
            <a:r>
              <a:rPr lang="en-IE" sz="1100">
                <a:solidFill>
                  <a:schemeClr val="tx2"/>
                </a:solidFill>
              </a:rPr>
              <a:t>Percentage of Motor Tax Transactions performed online (2010-2014)</a:t>
            </a:r>
          </a:p>
        </c:rich>
      </c:tx>
      <c:overlay val="0"/>
    </c:title>
    <c:autoTitleDeleted val="0"/>
    <c:plotArea>
      <c:layout/>
      <c:scatterChart>
        <c:scatterStyle val="smoothMarker"/>
        <c:varyColors val="0"/>
        <c:ser>
          <c:idx val="0"/>
          <c:order val="0"/>
          <c:xVal>
            <c:numRef>
              <c:f>'Roads -% of motor tax trans'!$J$56:$J$60</c:f>
              <c:numCache>
                <c:formatCode>General</c:formatCode>
                <c:ptCount val="5"/>
                <c:pt idx="0">
                  <c:v>2010</c:v>
                </c:pt>
                <c:pt idx="1">
                  <c:v>2011</c:v>
                </c:pt>
                <c:pt idx="2">
                  <c:v>2012</c:v>
                </c:pt>
                <c:pt idx="3">
                  <c:v>2013</c:v>
                </c:pt>
                <c:pt idx="4">
                  <c:v>2014</c:v>
                </c:pt>
              </c:numCache>
            </c:numRef>
          </c:xVal>
          <c:yVal>
            <c:numRef>
              <c:f>'Roads -% of motor tax trans'!$K$56:$K$60</c:f>
              <c:numCache>
                <c:formatCode>0.00</c:formatCode>
                <c:ptCount val="5"/>
                <c:pt idx="0">
                  <c:v>31.2</c:v>
                </c:pt>
                <c:pt idx="1">
                  <c:v>34.9</c:v>
                </c:pt>
                <c:pt idx="2">
                  <c:v>38.83</c:v>
                </c:pt>
                <c:pt idx="3">
                  <c:v>41.93</c:v>
                </c:pt>
                <c:pt idx="4">
                  <c:v>50.86</c:v>
                </c:pt>
              </c:numCache>
            </c:numRef>
          </c:yVal>
          <c:smooth val="1"/>
        </c:ser>
        <c:dLbls>
          <c:showLegendKey val="0"/>
          <c:showVal val="0"/>
          <c:showCatName val="0"/>
          <c:showSerName val="0"/>
          <c:showPercent val="0"/>
          <c:showBubbleSize val="0"/>
        </c:dLbls>
        <c:axId val="77693696"/>
        <c:axId val="77695616"/>
      </c:scatterChart>
      <c:valAx>
        <c:axId val="77693696"/>
        <c:scaling>
          <c:orientation val="minMax"/>
        </c:scaling>
        <c:delete val="0"/>
        <c:axPos val="b"/>
        <c:title>
          <c:tx>
            <c:rich>
              <a:bodyPr/>
              <a:lstStyle/>
              <a:p>
                <a:pPr>
                  <a:defRPr/>
                </a:pPr>
                <a:r>
                  <a:rPr lang="en-US"/>
                  <a:t>Year</a:t>
                </a:r>
              </a:p>
            </c:rich>
          </c:tx>
          <c:overlay val="0"/>
        </c:title>
        <c:numFmt formatCode="General" sourceLinked="1"/>
        <c:majorTickMark val="none"/>
        <c:minorTickMark val="none"/>
        <c:tickLblPos val="nextTo"/>
        <c:crossAx val="77695616"/>
        <c:crosses val="autoZero"/>
        <c:crossBetween val="midCat"/>
      </c:valAx>
      <c:valAx>
        <c:axId val="77695616"/>
        <c:scaling>
          <c:orientation val="minMax"/>
        </c:scaling>
        <c:delete val="0"/>
        <c:axPos val="l"/>
        <c:majorGridlines/>
        <c:title>
          <c:tx>
            <c:rich>
              <a:bodyPr/>
              <a:lstStyle/>
              <a:p>
                <a:pPr>
                  <a:defRPr/>
                </a:pPr>
                <a:r>
                  <a:rPr lang="en-US"/>
                  <a:t>average %</a:t>
                </a:r>
              </a:p>
            </c:rich>
          </c:tx>
          <c:overlay val="0"/>
          <c:spPr>
            <a:ln>
              <a:solidFill>
                <a:schemeClr val="accent1"/>
              </a:solidFill>
            </a:ln>
          </c:spPr>
        </c:title>
        <c:numFmt formatCode="0.00" sourceLinked="1"/>
        <c:majorTickMark val="none"/>
        <c:minorTickMark val="none"/>
        <c:tickLblPos val="nextTo"/>
        <c:crossAx val="77693696"/>
        <c:crosses val="autoZero"/>
        <c:crossBetween val="midCat"/>
      </c:valAx>
    </c:plotArea>
    <c:plotVisOnly val="1"/>
    <c:dispBlanksAs val="gap"/>
    <c:showDLblsOverMax val="0"/>
  </c:chart>
  <c:spPr>
    <a:solidFill>
      <a:schemeClr val="bg1"/>
    </a:solidFill>
    <a:ln w="6350">
      <a:solidFill>
        <a:schemeClr val="tx1"/>
      </a:solid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E" sz="1100" b="1" i="0" baseline="0">
                <a:solidFill>
                  <a:schemeClr val="tx2"/>
                </a:solidFill>
              </a:rPr>
              <a:t>Graph 12: Average litter pollution trends 2010-2014 (%)</a:t>
            </a:r>
            <a:endParaRPr lang="en-IE" sz="1100">
              <a:solidFill>
                <a:schemeClr val="tx2"/>
              </a:solidFill>
            </a:endParaRPr>
          </a:p>
        </c:rich>
      </c:tx>
      <c:overlay val="0"/>
    </c:title>
    <c:autoTitleDeleted val="0"/>
    <c:plotArea>
      <c:layout>
        <c:manualLayout>
          <c:layoutTarget val="inner"/>
          <c:xMode val="edge"/>
          <c:yMode val="edge"/>
          <c:x val="0.33925000000000038"/>
          <c:y val="0.14489438820147682"/>
          <c:w val="0.66075000000000739"/>
          <c:h val="0.43522087516838587"/>
        </c:manualLayout>
      </c:layout>
      <c:lineChart>
        <c:grouping val="standard"/>
        <c:varyColors val="0"/>
        <c:ser>
          <c:idx val="0"/>
          <c:order val="0"/>
          <c:tx>
            <c:v>Unpolluted or Litter Free</c:v>
          </c:tx>
          <c:marker>
            <c:symbol val="none"/>
          </c:marker>
          <c:cat>
            <c:strLit>
              <c:ptCount val="5"/>
              <c:pt idx="0">
                <c:v>2010</c:v>
              </c:pt>
              <c:pt idx="1">
                <c:v>2011</c:v>
              </c:pt>
              <c:pt idx="2">
                <c:v>2012</c:v>
              </c:pt>
              <c:pt idx="3">
                <c:v>2013</c:v>
              </c:pt>
              <c:pt idx="4">
                <c:v>2014 </c:v>
              </c:pt>
            </c:strLit>
          </c:cat>
          <c:val>
            <c:numRef>
              <c:f>'Litter pollution'!$C$76:$G$76</c:f>
              <c:numCache>
                <c:formatCode>0.00</c:formatCode>
                <c:ptCount val="5"/>
                <c:pt idx="0">
                  <c:v>11.3</c:v>
                </c:pt>
                <c:pt idx="1">
                  <c:v>10.3</c:v>
                </c:pt>
                <c:pt idx="2">
                  <c:v>10.84</c:v>
                </c:pt>
                <c:pt idx="3">
                  <c:v>11.424242424242419</c:v>
                </c:pt>
                <c:pt idx="4">
                  <c:v>10.93</c:v>
                </c:pt>
              </c:numCache>
            </c:numRef>
          </c:val>
          <c:smooth val="0"/>
        </c:ser>
        <c:ser>
          <c:idx val="1"/>
          <c:order val="1"/>
          <c:tx>
            <c:v>Slightly Polluted</c:v>
          </c:tx>
          <c:marker>
            <c:symbol val="none"/>
          </c:marker>
          <c:cat>
            <c:strLit>
              <c:ptCount val="5"/>
              <c:pt idx="0">
                <c:v>2010</c:v>
              </c:pt>
              <c:pt idx="1">
                <c:v>2011</c:v>
              </c:pt>
              <c:pt idx="2">
                <c:v>2012</c:v>
              </c:pt>
              <c:pt idx="3">
                <c:v>2013</c:v>
              </c:pt>
              <c:pt idx="4">
                <c:v>2014 </c:v>
              </c:pt>
            </c:strLit>
          </c:cat>
          <c:val>
            <c:numRef>
              <c:f>'Litter pollution'!$C$77:$G$77</c:f>
              <c:numCache>
                <c:formatCode>0.00</c:formatCode>
                <c:ptCount val="5"/>
                <c:pt idx="0">
                  <c:v>62.6</c:v>
                </c:pt>
                <c:pt idx="1">
                  <c:v>63.8</c:v>
                </c:pt>
                <c:pt idx="2">
                  <c:v>62.41</c:v>
                </c:pt>
                <c:pt idx="3">
                  <c:v>61.636363636363626</c:v>
                </c:pt>
                <c:pt idx="4">
                  <c:v>68.64</c:v>
                </c:pt>
              </c:numCache>
            </c:numRef>
          </c:val>
          <c:smooth val="0"/>
        </c:ser>
        <c:ser>
          <c:idx val="2"/>
          <c:order val="2"/>
          <c:tx>
            <c:v>Moderately Polluted</c:v>
          </c:tx>
          <c:marker>
            <c:symbol val="none"/>
          </c:marker>
          <c:cat>
            <c:strLit>
              <c:ptCount val="5"/>
              <c:pt idx="0">
                <c:v>2010</c:v>
              </c:pt>
              <c:pt idx="1">
                <c:v>2011</c:v>
              </c:pt>
              <c:pt idx="2">
                <c:v>2012</c:v>
              </c:pt>
              <c:pt idx="3">
                <c:v>2013</c:v>
              </c:pt>
              <c:pt idx="4">
                <c:v>2014 </c:v>
              </c:pt>
            </c:strLit>
          </c:cat>
          <c:val>
            <c:numRef>
              <c:f>'Litter pollution'!$C$78:$G$78</c:f>
              <c:numCache>
                <c:formatCode>0.00</c:formatCode>
                <c:ptCount val="5"/>
                <c:pt idx="0">
                  <c:v>22.8</c:v>
                </c:pt>
                <c:pt idx="1">
                  <c:v>23.2</c:v>
                </c:pt>
                <c:pt idx="2">
                  <c:v>22.88</c:v>
                </c:pt>
                <c:pt idx="3">
                  <c:v>22.87878787878773</c:v>
                </c:pt>
                <c:pt idx="4">
                  <c:v>18.107142857142829</c:v>
                </c:pt>
              </c:numCache>
            </c:numRef>
          </c:val>
          <c:smooth val="0"/>
        </c:ser>
        <c:ser>
          <c:idx val="3"/>
          <c:order val="3"/>
          <c:tx>
            <c:v>Significantly Polluted</c:v>
          </c:tx>
          <c:marker>
            <c:symbol val="none"/>
          </c:marker>
          <c:cat>
            <c:strLit>
              <c:ptCount val="5"/>
              <c:pt idx="0">
                <c:v>2010</c:v>
              </c:pt>
              <c:pt idx="1">
                <c:v>2011</c:v>
              </c:pt>
              <c:pt idx="2">
                <c:v>2012</c:v>
              </c:pt>
              <c:pt idx="3">
                <c:v>2013</c:v>
              </c:pt>
              <c:pt idx="4">
                <c:v>2014 </c:v>
              </c:pt>
            </c:strLit>
          </c:cat>
          <c:val>
            <c:numRef>
              <c:f>'Litter pollution'!$C$79:$G$79</c:f>
              <c:numCache>
                <c:formatCode>0.00</c:formatCode>
                <c:ptCount val="5"/>
                <c:pt idx="0">
                  <c:v>3.1</c:v>
                </c:pt>
                <c:pt idx="1">
                  <c:v>2.2999999999999998</c:v>
                </c:pt>
                <c:pt idx="2">
                  <c:v>3.66</c:v>
                </c:pt>
                <c:pt idx="3">
                  <c:v>3.5757575757575792</c:v>
                </c:pt>
                <c:pt idx="4">
                  <c:v>2.0357142857142847</c:v>
                </c:pt>
              </c:numCache>
            </c:numRef>
          </c:val>
          <c:smooth val="0"/>
        </c:ser>
        <c:ser>
          <c:idx val="4"/>
          <c:order val="4"/>
          <c:tx>
            <c:v>Grossly Polluted</c:v>
          </c:tx>
          <c:marker>
            <c:symbol val="none"/>
          </c:marker>
          <c:cat>
            <c:strLit>
              <c:ptCount val="5"/>
              <c:pt idx="0">
                <c:v>2010</c:v>
              </c:pt>
              <c:pt idx="1">
                <c:v>2011</c:v>
              </c:pt>
              <c:pt idx="2">
                <c:v>2012</c:v>
              </c:pt>
              <c:pt idx="3">
                <c:v>2013</c:v>
              </c:pt>
              <c:pt idx="4">
                <c:v>2014 </c:v>
              </c:pt>
            </c:strLit>
          </c:cat>
          <c:val>
            <c:numRef>
              <c:f>'Litter pollution'!$C$80:$G$80</c:f>
              <c:numCache>
                <c:formatCode>0.00</c:formatCode>
                <c:ptCount val="5"/>
                <c:pt idx="0">
                  <c:v>0.4</c:v>
                </c:pt>
                <c:pt idx="1">
                  <c:v>0.4</c:v>
                </c:pt>
                <c:pt idx="2">
                  <c:v>0.41000000000000031</c:v>
                </c:pt>
                <c:pt idx="3">
                  <c:v>0.48484848484848692</c:v>
                </c:pt>
                <c:pt idx="4">
                  <c:v>0.25</c:v>
                </c:pt>
              </c:numCache>
            </c:numRef>
          </c:val>
          <c:smooth val="0"/>
        </c:ser>
        <c:dLbls>
          <c:showLegendKey val="0"/>
          <c:showVal val="0"/>
          <c:showCatName val="0"/>
          <c:showSerName val="0"/>
          <c:showPercent val="0"/>
          <c:showBubbleSize val="0"/>
        </c:dLbls>
        <c:marker val="1"/>
        <c:smooth val="0"/>
        <c:axId val="78120832"/>
        <c:axId val="78122368"/>
      </c:lineChart>
      <c:catAx>
        <c:axId val="78120832"/>
        <c:scaling>
          <c:orientation val="minMax"/>
        </c:scaling>
        <c:delete val="0"/>
        <c:axPos val="b"/>
        <c:majorTickMark val="none"/>
        <c:minorTickMark val="none"/>
        <c:tickLblPos val="nextTo"/>
        <c:crossAx val="78122368"/>
        <c:crosses val="autoZero"/>
        <c:auto val="1"/>
        <c:lblAlgn val="ctr"/>
        <c:lblOffset val="100"/>
        <c:noMultiLvlLbl val="0"/>
      </c:catAx>
      <c:valAx>
        <c:axId val="78122368"/>
        <c:scaling>
          <c:orientation val="minMax"/>
        </c:scaling>
        <c:delete val="0"/>
        <c:axPos val="l"/>
        <c:majorGridlines/>
        <c:title>
          <c:tx>
            <c:rich>
              <a:bodyPr/>
              <a:lstStyle/>
              <a:p>
                <a:pPr>
                  <a:defRPr/>
                </a:pPr>
                <a:r>
                  <a:rPr lang="en-US"/>
                  <a:t>Mean</a:t>
                </a:r>
              </a:p>
            </c:rich>
          </c:tx>
          <c:overlay val="0"/>
        </c:title>
        <c:numFmt formatCode="0.00" sourceLinked="1"/>
        <c:majorTickMark val="none"/>
        <c:minorTickMark val="none"/>
        <c:tickLblPos val="nextTo"/>
        <c:crossAx val="781208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tx2"/>
                </a:solidFill>
              </a:defRPr>
            </a:pPr>
            <a:r>
              <a:rPr lang="en-IE" sz="1200">
                <a:solidFill>
                  <a:schemeClr val="tx2"/>
                </a:solidFill>
              </a:rPr>
              <a:t>Graph</a:t>
            </a:r>
            <a:r>
              <a:rPr lang="en-IE" sz="1200" baseline="0">
                <a:solidFill>
                  <a:schemeClr val="tx2"/>
                </a:solidFill>
              </a:rPr>
              <a:t> 13: </a:t>
            </a:r>
            <a:r>
              <a:rPr lang="en-IE" sz="1200">
                <a:solidFill>
                  <a:schemeClr val="tx2"/>
                </a:solidFill>
              </a:rPr>
              <a:t>Cost per Capita of the Planning Service (€) 2014</a:t>
            </a:r>
          </a:p>
        </c:rich>
      </c:tx>
      <c:overlay val="0"/>
    </c:title>
    <c:autoTitleDeleted val="0"/>
    <c:plotArea>
      <c:layout/>
      <c:barChart>
        <c:barDir val="col"/>
        <c:grouping val="clustered"/>
        <c:varyColors val="0"/>
        <c:ser>
          <c:idx val="0"/>
          <c:order val="0"/>
          <c:tx>
            <c:strRef>
              <c:f>'Planning - closed cases'!$P$8</c:f>
              <c:strCache>
                <c:ptCount val="1"/>
              </c:strCache>
            </c:strRef>
          </c:tx>
          <c:invertIfNegative val="0"/>
          <c:cat>
            <c:strRef>
              <c:f>'Planning - closed cases'!$O$9:$O$39</c:f>
              <c:strCache>
                <c:ptCount val="31"/>
                <c:pt idx="0">
                  <c:v>Carlow County</c:v>
                </c:pt>
                <c:pt idx="1">
                  <c:v>Cavan County</c:v>
                </c:pt>
                <c:pt idx="2">
                  <c:v>Clare County</c:v>
                </c:pt>
                <c:pt idx="3">
                  <c:v>Cork City</c:v>
                </c:pt>
                <c:pt idx="4">
                  <c:v>Cork County</c:v>
                </c:pt>
                <c:pt idx="5">
                  <c:v>Donegal County</c:v>
                </c:pt>
                <c:pt idx="6">
                  <c:v>Dublin City</c:v>
                </c:pt>
                <c:pt idx="7">
                  <c:v>Dun Laoghaire Rathdown</c:v>
                </c:pt>
                <c:pt idx="8">
                  <c:v>Fingal County</c:v>
                </c:pt>
                <c:pt idx="9">
                  <c:v>Galway City</c:v>
                </c:pt>
                <c:pt idx="10">
                  <c:v>Galway County</c:v>
                </c:pt>
                <c:pt idx="11">
                  <c:v>Kerry County</c:v>
                </c:pt>
                <c:pt idx="12">
                  <c:v>Kildare County</c:v>
                </c:pt>
                <c:pt idx="13">
                  <c:v>Kilkenny County</c:v>
                </c:pt>
                <c:pt idx="14">
                  <c:v>Laois County</c:v>
                </c:pt>
                <c:pt idx="15">
                  <c:v>Leitrim County</c:v>
                </c:pt>
                <c:pt idx="16">
                  <c:v>Limerick City &amp; County</c:v>
                </c:pt>
                <c:pt idx="17">
                  <c:v>Longford County</c:v>
                </c:pt>
                <c:pt idx="18">
                  <c:v>Louth County</c:v>
                </c:pt>
                <c:pt idx="19">
                  <c:v>Mayo County</c:v>
                </c:pt>
                <c:pt idx="20">
                  <c:v>Meath County</c:v>
                </c:pt>
                <c:pt idx="21">
                  <c:v>Monaghan County</c:v>
                </c:pt>
                <c:pt idx="22">
                  <c:v>Offaly County</c:v>
                </c:pt>
                <c:pt idx="23">
                  <c:v>Roscommon County</c:v>
                </c:pt>
                <c:pt idx="24">
                  <c:v>Sligo County</c:v>
                </c:pt>
                <c:pt idx="25">
                  <c:v>South Dublin County</c:v>
                </c:pt>
                <c:pt idx="26">
                  <c:v>Tipperary County</c:v>
                </c:pt>
                <c:pt idx="27">
                  <c:v>Waterford City &amp; County</c:v>
                </c:pt>
                <c:pt idx="28">
                  <c:v>Westmeath County</c:v>
                </c:pt>
                <c:pt idx="29">
                  <c:v>Wexford County</c:v>
                </c:pt>
                <c:pt idx="30">
                  <c:v>Wicklow County</c:v>
                </c:pt>
              </c:strCache>
            </c:strRef>
          </c:cat>
          <c:val>
            <c:numRef>
              <c:f>'Planning - closed cases'!$P$9:$P$39</c:f>
            </c:numRef>
          </c:val>
        </c:ser>
        <c:ser>
          <c:idx val="1"/>
          <c:order val="1"/>
          <c:tx>
            <c:strRef>
              <c:f>'Planning - closed cases'!$Q$8</c:f>
              <c:strCache>
                <c:ptCount val="1"/>
              </c:strCache>
            </c:strRef>
          </c:tx>
          <c:invertIfNegative val="0"/>
          <c:cat>
            <c:strRef>
              <c:f>'Planning - closed cases'!$O$9:$O$39</c:f>
              <c:strCache>
                <c:ptCount val="31"/>
                <c:pt idx="0">
                  <c:v>Carlow County</c:v>
                </c:pt>
                <c:pt idx="1">
                  <c:v>Cavan County</c:v>
                </c:pt>
                <c:pt idx="2">
                  <c:v>Clare County</c:v>
                </c:pt>
                <c:pt idx="3">
                  <c:v>Cork City</c:v>
                </c:pt>
                <c:pt idx="4">
                  <c:v>Cork County</c:v>
                </c:pt>
                <c:pt idx="5">
                  <c:v>Donegal County</c:v>
                </c:pt>
                <c:pt idx="6">
                  <c:v>Dublin City</c:v>
                </c:pt>
                <c:pt idx="7">
                  <c:v>Dun Laoghaire Rathdown</c:v>
                </c:pt>
                <c:pt idx="8">
                  <c:v>Fingal County</c:v>
                </c:pt>
                <c:pt idx="9">
                  <c:v>Galway City</c:v>
                </c:pt>
                <c:pt idx="10">
                  <c:v>Galway County</c:v>
                </c:pt>
                <c:pt idx="11">
                  <c:v>Kerry County</c:v>
                </c:pt>
                <c:pt idx="12">
                  <c:v>Kildare County</c:v>
                </c:pt>
                <c:pt idx="13">
                  <c:v>Kilkenny County</c:v>
                </c:pt>
                <c:pt idx="14">
                  <c:v>Laois County</c:v>
                </c:pt>
                <c:pt idx="15">
                  <c:v>Leitrim County</c:v>
                </c:pt>
                <c:pt idx="16">
                  <c:v>Limerick City &amp; County</c:v>
                </c:pt>
                <c:pt idx="17">
                  <c:v>Longford County</c:v>
                </c:pt>
                <c:pt idx="18">
                  <c:v>Louth County</c:v>
                </c:pt>
                <c:pt idx="19">
                  <c:v>Mayo County</c:v>
                </c:pt>
                <c:pt idx="20">
                  <c:v>Meath County</c:v>
                </c:pt>
                <c:pt idx="21">
                  <c:v>Monaghan County</c:v>
                </c:pt>
                <c:pt idx="22">
                  <c:v>Offaly County</c:v>
                </c:pt>
                <c:pt idx="23">
                  <c:v>Roscommon County</c:v>
                </c:pt>
                <c:pt idx="24">
                  <c:v>Sligo County</c:v>
                </c:pt>
                <c:pt idx="25">
                  <c:v>South Dublin County</c:v>
                </c:pt>
                <c:pt idx="26">
                  <c:v>Tipperary County</c:v>
                </c:pt>
                <c:pt idx="27">
                  <c:v>Waterford City &amp; County</c:v>
                </c:pt>
                <c:pt idx="28">
                  <c:v>Westmeath County</c:v>
                </c:pt>
                <c:pt idx="29">
                  <c:v>Wexford County</c:v>
                </c:pt>
                <c:pt idx="30">
                  <c:v>Wicklow County</c:v>
                </c:pt>
              </c:strCache>
            </c:strRef>
          </c:cat>
          <c:val>
            <c:numRef>
              <c:f>'Planning - closed cases'!$Q$9:$Q$39</c:f>
            </c:numRef>
          </c:val>
        </c:ser>
        <c:ser>
          <c:idx val="2"/>
          <c:order val="2"/>
          <c:tx>
            <c:strRef>
              <c:f>'Planning - closed cases'!$R$8</c:f>
              <c:strCache>
                <c:ptCount val="1"/>
              </c:strCache>
            </c:strRef>
          </c:tx>
          <c:invertIfNegative val="0"/>
          <c:cat>
            <c:strRef>
              <c:f>'Planning - closed cases'!$O$9:$O$39</c:f>
              <c:strCache>
                <c:ptCount val="31"/>
                <c:pt idx="0">
                  <c:v>Carlow County</c:v>
                </c:pt>
                <c:pt idx="1">
                  <c:v>Cavan County</c:v>
                </c:pt>
                <c:pt idx="2">
                  <c:v>Clare County</c:v>
                </c:pt>
                <c:pt idx="3">
                  <c:v>Cork City</c:v>
                </c:pt>
                <c:pt idx="4">
                  <c:v>Cork County</c:v>
                </c:pt>
                <c:pt idx="5">
                  <c:v>Donegal County</c:v>
                </c:pt>
                <c:pt idx="6">
                  <c:v>Dublin City</c:v>
                </c:pt>
                <c:pt idx="7">
                  <c:v>Dun Laoghaire Rathdown</c:v>
                </c:pt>
                <c:pt idx="8">
                  <c:v>Fingal County</c:v>
                </c:pt>
                <c:pt idx="9">
                  <c:v>Galway City</c:v>
                </c:pt>
                <c:pt idx="10">
                  <c:v>Galway County</c:v>
                </c:pt>
                <c:pt idx="11">
                  <c:v>Kerry County</c:v>
                </c:pt>
                <c:pt idx="12">
                  <c:v>Kildare County</c:v>
                </c:pt>
                <c:pt idx="13">
                  <c:v>Kilkenny County</c:v>
                </c:pt>
                <c:pt idx="14">
                  <c:v>Laois County</c:v>
                </c:pt>
                <c:pt idx="15">
                  <c:v>Leitrim County</c:v>
                </c:pt>
                <c:pt idx="16">
                  <c:v>Limerick City &amp; County</c:v>
                </c:pt>
                <c:pt idx="17">
                  <c:v>Longford County</c:v>
                </c:pt>
                <c:pt idx="18">
                  <c:v>Louth County</c:v>
                </c:pt>
                <c:pt idx="19">
                  <c:v>Mayo County</c:v>
                </c:pt>
                <c:pt idx="20">
                  <c:v>Meath County</c:v>
                </c:pt>
                <c:pt idx="21">
                  <c:v>Monaghan County</c:v>
                </c:pt>
                <c:pt idx="22">
                  <c:v>Offaly County</c:v>
                </c:pt>
                <c:pt idx="23">
                  <c:v>Roscommon County</c:v>
                </c:pt>
                <c:pt idx="24">
                  <c:v>Sligo County</c:v>
                </c:pt>
                <c:pt idx="25">
                  <c:v>South Dublin County</c:v>
                </c:pt>
                <c:pt idx="26">
                  <c:v>Tipperary County</c:v>
                </c:pt>
                <c:pt idx="27">
                  <c:v>Waterford City &amp; County</c:v>
                </c:pt>
                <c:pt idx="28">
                  <c:v>Westmeath County</c:v>
                </c:pt>
                <c:pt idx="29">
                  <c:v>Wexford County</c:v>
                </c:pt>
                <c:pt idx="30">
                  <c:v>Wicklow County</c:v>
                </c:pt>
              </c:strCache>
            </c:strRef>
          </c:cat>
          <c:val>
            <c:numRef>
              <c:f>'Planning - closed cases'!$R$9:$R$39</c:f>
            </c:numRef>
          </c:val>
        </c:ser>
        <c:ser>
          <c:idx val="3"/>
          <c:order val="3"/>
          <c:tx>
            <c:strRef>
              <c:f>'Planning - closed cases'!$S$8</c:f>
              <c:strCache>
                <c:ptCount val="1"/>
                <c:pt idx="0">
                  <c:v>Cost per Capita Return of the Planning Service (€)</c:v>
                </c:pt>
              </c:strCache>
            </c:strRef>
          </c:tx>
          <c:spPr>
            <a:solidFill>
              <a:schemeClr val="accent1"/>
            </a:solidFill>
          </c:spPr>
          <c:invertIfNegative val="0"/>
          <c:cat>
            <c:strRef>
              <c:f>'Planning - closed cases'!$O$9:$O$39</c:f>
              <c:strCache>
                <c:ptCount val="31"/>
                <c:pt idx="0">
                  <c:v>Carlow County</c:v>
                </c:pt>
                <c:pt idx="1">
                  <c:v>Cavan County</c:v>
                </c:pt>
                <c:pt idx="2">
                  <c:v>Clare County</c:v>
                </c:pt>
                <c:pt idx="3">
                  <c:v>Cork City</c:v>
                </c:pt>
                <c:pt idx="4">
                  <c:v>Cork County</c:v>
                </c:pt>
                <c:pt idx="5">
                  <c:v>Donegal County</c:v>
                </c:pt>
                <c:pt idx="6">
                  <c:v>Dublin City</c:v>
                </c:pt>
                <c:pt idx="7">
                  <c:v>Dun Laoghaire Rathdown</c:v>
                </c:pt>
                <c:pt idx="8">
                  <c:v>Fingal County</c:v>
                </c:pt>
                <c:pt idx="9">
                  <c:v>Galway City</c:v>
                </c:pt>
                <c:pt idx="10">
                  <c:v>Galway County</c:v>
                </c:pt>
                <c:pt idx="11">
                  <c:v>Kerry County</c:v>
                </c:pt>
                <c:pt idx="12">
                  <c:v>Kildare County</c:v>
                </c:pt>
                <c:pt idx="13">
                  <c:v>Kilkenny County</c:v>
                </c:pt>
                <c:pt idx="14">
                  <c:v>Laois County</c:v>
                </c:pt>
                <c:pt idx="15">
                  <c:v>Leitrim County</c:v>
                </c:pt>
                <c:pt idx="16">
                  <c:v>Limerick City &amp; County</c:v>
                </c:pt>
                <c:pt idx="17">
                  <c:v>Longford County</c:v>
                </c:pt>
                <c:pt idx="18">
                  <c:v>Louth County</c:v>
                </c:pt>
                <c:pt idx="19">
                  <c:v>Mayo County</c:v>
                </c:pt>
                <c:pt idx="20">
                  <c:v>Meath County</c:v>
                </c:pt>
                <c:pt idx="21">
                  <c:v>Monaghan County</c:v>
                </c:pt>
                <c:pt idx="22">
                  <c:v>Offaly County</c:v>
                </c:pt>
                <c:pt idx="23">
                  <c:v>Roscommon County</c:v>
                </c:pt>
                <c:pt idx="24">
                  <c:v>Sligo County</c:v>
                </c:pt>
                <c:pt idx="25">
                  <c:v>South Dublin County</c:v>
                </c:pt>
                <c:pt idx="26">
                  <c:v>Tipperary County</c:v>
                </c:pt>
                <c:pt idx="27">
                  <c:v>Waterford City &amp; County</c:v>
                </c:pt>
                <c:pt idx="28">
                  <c:v>Westmeath County</c:v>
                </c:pt>
                <c:pt idx="29">
                  <c:v>Wexford County</c:v>
                </c:pt>
                <c:pt idx="30">
                  <c:v>Wicklow County</c:v>
                </c:pt>
              </c:strCache>
            </c:strRef>
          </c:cat>
          <c:val>
            <c:numRef>
              <c:f>'Planning - closed cases'!$S$9:$S$39</c:f>
              <c:numCache>
                <c:formatCode>General</c:formatCode>
                <c:ptCount val="31"/>
                <c:pt idx="0">
                  <c:v>21.55</c:v>
                </c:pt>
                <c:pt idx="1">
                  <c:v>16.02</c:v>
                </c:pt>
                <c:pt idx="2">
                  <c:v>34.53</c:v>
                </c:pt>
                <c:pt idx="3">
                  <c:v>32.370000000000005</c:v>
                </c:pt>
                <c:pt idx="4">
                  <c:v>12.66</c:v>
                </c:pt>
                <c:pt idx="5">
                  <c:v>26.52</c:v>
                </c:pt>
                <c:pt idx="6">
                  <c:v>24.27</c:v>
                </c:pt>
                <c:pt idx="7">
                  <c:v>35.550000000000004</c:v>
                </c:pt>
                <c:pt idx="8">
                  <c:v>36.1</c:v>
                </c:pt>
                <c:pt idx="9">
                  <c:v>36.690000000000012</c:v>
                </c:pt>
                <c:pt idx="10">
                  <c:v>21.22</c:v>
                </c:pt>
                <c:pt idx="11">
                  <c:v>19.670000000000005</c:v>
                </c:pt>
                <c:pt idx="12">
                  <c:v>26.97</c:v>
                </c:pt>
                <c:pt idx="13">
                  <c:v>24.45</c:v>
                </c:pt>
                <c:pt idx="14">
                  <c:v>21.25</c:v>
                </c:pt>
                <c:pt idx="15">
                  <c:v>39.44</c:v>
                </c:pt>
                <c:pt idx="16">
                  <c:v>28.939999999999987</c:v>
                </c:pt>
                <c:pt idx="17">
                  <c:v>37.83</c:v>
                </c:pt>
                <c:pt idx="18">
                  <c:v>25.86</c:v>
                </c:pt>
                <c:pt idx="19">
                  <c:v>22.88</c:v>
                </c:pt>
                <c:pt idx="20">
                  <c:v>22.09</c:v>
                </c:pt>
                <c:pt idx="21">
                  <c:v>26.17</c:v>
                </c:pt>
                <c:pt idx="22">
                  <c:v>29.55</c:v>
                </c:pt>
                <c:pt idx="23">
                  <c:v>53.190000000000012</c:v>
                </c:pt>
                <c:pt idx="24">
                  <c:v>34.85</c:v>
                </c:pt>
                <c:pt idx="25">
                  <c:v>23.830000000000005</c:v>
                </c:pt>
                <c:pt idx="26">
                  <c:v>29.43</c:v>
                </c:pt>
                <c:pt idx="27">
                  <c:v>16.809999999999999</c:v>
                </c:pt>
                <c:pt idx="28">
                  <c:v>32.46</c:v>
                </c:pt>
                <c:pt idx="29">
                  <c:v>26.97</c:v>
                </c:pt>
                <c:pt idx="30">
                  <c:v>29.259999999999987</c:v>
                </c:pt>
              </c:numCache>
            </c:numRef>
          </c:val>
        </c:ser>
        <c:dLbls>
          <c:showLegendKey val="0"/>
          <c:showVal val="0"/>
          <c:showCatName val="0"/>
          <c:showSerName val="0"/>
          <c:showPercent val="0"/>
          <c:showBubbleSize val="0"/>
        </c:dLbls>
        <c:gapWidth val="150"/>
        <c:axId val="78169216"/>
        <c:axId val="78170752"/>
      </c:barChart>
      <c:catAx>
        <c:axId val="78169216"/>
        <c:scaling>
          <c:orientation val="minMax"/>
        </c:scaling>
        <c:delete val="0"/>
        <c:axPos val="b"/>
        <c:majorTickMark val="out"/>
        <c:minorTickMark val="none"/>
        <c:tickLblPos val="nextTo"/>
        <c:crossAx val="78170752"/>
        <c:crosses val="autoZero"/>
        <c:auto val="1"/>
        <c:lblAlgn val="ctr"/>
        <c:lblOffset val="100"/>
        <c:noMultiLvlLbl val="0"/>
      </c:catAx>
      <c:valAx>
        <c:axId val="78170752"/>
        <c:scaling>
          <c:orientation val="minMax"/>
        </c:scaling>
        <c:delete val="0"/>
        <c:axPos val="l"/>
        <c:majorGridlines/>
        <c:numFmt formatCode="General" sourceLinked="1"/>
        <c:majorTickMark val="out"/>
        <c:minorTickMark val="none"/>
        <c:tickLblPos val="nextTo"/>
        <c:crossAx val="78169216"/>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solidFill>
                  <a:schemeClr val="tx2"/>
                </a:solidFill>
              </a:defRPr>
            </a:pPr>
            <a:r>
              <a:rPr lang="en-US" sz="1100">
                <a:solidFill>
                  <a:schemeClr val="tx2"/>
                </a:solidFill>
              </a:rPr>
              <a:t>Graph 14: Cost per Capita of Full-Time Stations 2014</a:t>
            </a:r>
          </a:p>
        </c:rich>
      </c:tx>
      <c:overlay val="0"/>
    </c:title>
    <c:autoTitleDeleted val="0"/>
    <c:plotArea>
      <c:layout/>
      <c:barChart>
        <c:barDir val="col"/>
        <c:grouping val="clustered"/>
        <c:varyColors val="0"/>
        <c:ser>
          <c:idx val="0"/>
          <c:order val="0"/>
          <c:tx>
            <c:strRef>
              <c:f>'Fire Service (1)'!$B$98</c:f>
              <c:strCache>
                <c:ptCount val="1"/>
                <c:pt idx="0">
                  <c:v>cost per capita</c:v>
                </c:pt>
              </c:strCache>
            </c:strRef>
          </c:tx>
          <c:invertIfNegative val="0"/>
          <c:cat>
            <c:strRef>
              <c:f>'Fire Service (1)'!$A$99:$A$104</c:f>
              <c:strCache>
                <c:ptCount val="6"/>
                <c:pt idx="0">
                  <c:v>Cork City</c:v>
                </c:pt>
                <c:pt idx="1">
                  <c:v>Dublin City</c:v>
                </c:pt>
                <c:pt idx="2">
                  <c:v>Galway County</c:v>
                </c:pt>
                <c:pt idx="3">
                  <c:v>Limerick City &amp; County</c:v>
                </c:pt>
                <c:pt idx="4">
                  <c:v>Louth County</c:v>
                </c:pt>
                <c:pt idx="5">
                  <c:v>Waterford City &amp; County</c:v>
                </c:pt>
              </c:strCache>
            </c:strRef>
          </c:cat>
          <c:val>
            <c:numRef>
              <c:f>'Fire Service (1)'!$B$99:$B$104</c:f>
              <c:numCache>
                <c:formatCode>"€"#,##0.00</c:formatCode>
                <c:ptCount val="6"/>
                <c:pt idx="0">
                  <c:v>93.13</c:v>
                </c:pt>
                <c:pt idx="1">
                  <c:v>74.13</c:v>
                </c:pt>
                <c:pt idx="2">
                  <c:v>44.15</c:v>
                </c:pt>
                <c:pt idx="3">
                  <c:v>75.72</c:v>
                </c:pt>
                <c:pt idx="4">
                  <c:v>50.9</c:v>
                </c:pt>
                <c:pt idx="5">
                  <c:v>59.260000000000012</c:v>
                </c:pt>
              </c:numCache>
            </c:numRef>
          </c:val>
        </c:ser>
        <c:dLbls>
          <c:showLegendKey val="0"/>
          <c:showVal val="0"/>
          <c:showCatName val="0"/>
          <c:showSerName val="0"/>
          <c:showPercent val="0"/>
          <c:showBubbleSize val="0"/>
        </c:dLbls>
        <c:gapWidth val="150"/>
        <c:axId val="116675328"/>
        <c:axId val="116676864"/>
      </c:barChart>
      <c:catAx>
        <c:axId val="116675328"/>
        <c:scaling>
          <c:orientation val="minMax"/>
        </c:scaling>
        <c:delete val="0"/>
        <c:axPos val="b"/>
        <c:majorTickMark val="out"/>
        <c:minorTickMark val="none"/>
        <c:tickLblPos val="nextTo"/>
        <c:crossAx val="116676864"/>
        <c:crosses val="autoZero"/>
        <c:auto val="1"/>
        <c:lblAlgn val="ctr"/>
        <c:lblOffset val="100"/>
        <c:noMultiLvlLbl val="0"/>
      </c:catAx>
      <c:valAx>
        <c:axId val="116676864"/>
        <c:scaling>
          <c:orientation val="minMax"/>
        </c:scaling>
        <c:delete val="0"/>
        <c:axPos val="l"/>
        <c:majorGridlines/>
        <c:numFmt formatCode="&quot;€&quot;#,##0.00" sourceLinked="1"/>
        <c:majorTickMark val="out"/>
        <c:minorTickMark val="none"/>
        <c:tickLblPos val="nextTo"/>
        <c:crossAx val="116675328"/>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1" i="0" baseline="0">
                <a:solidFill>
                  <a:schemeClr val="tx2"/>
                </a:solidFill>
              </a:rPr>
              <a:t>Graph 15: Cost per Capita of Part-Time Stations 2014</a:t>
            </a:r>
            <a:endParaRPr lang="en-IE" sz="1100">
              <a:solidFill>
                <a:schemeClr val="tx2"/>
              </a:solidFill>
            </a:endParaRPr>
          </a:p>
        </c:rich>
      </c:tx>
      <c:layout>
        <c:manualLayout>
          <c:xMode val="edge"/>
          <c:yMode val="edge"/>
          <c:x val="0.22737484121398799"/>
          <c:y val="2.9304029304029304E-2"/>
        </c:manualLayout>
      </c:layout>
      <c:overlay val="0"/>
    </c:title>
    <c:autoTitleDeleted val="0"/>
    <c:plotArea>
      <c:layout/>
      <c:barChart>
        <c:barDir val="col"/>
        <c:grouping val="clustered"/>
        <c:varyColors val="0"/>
        <c:ser>
          <c:idx val="0"/>
          <c:order val="0"/>
          <c:tx>
            <c:strRef>
              <c:f>'Fire Service (1)'!$G$85</c:f>
              <c:strCache>
                <c:ptCount val="1"/>
                <c:pt idx="0">
                  <c:v>cost per capita</c:v>
                </c:pt>
              </c:strCache>
            </c:strRef>
          </c:tx>
          <c:invertIfNegative val="0"/>
          <c:cat>
            <c:strRef>
              <c:f>'Fire Service (1)'!$F$86:$F$106</c:f>
              <c:strCache>
                <c:ptCount val="21"/>
                <c:pt idx="0">
                  <c:v>Carlow County</c:v>
                </c:pt>
                <c:pt idx="1">
                  <c:v>Cavan County</c:v>
                </c:pt>
                <c:pt idx="2">
                  <c:v>Clare County</c:v>
                </c:pt>
                <c:pt idx="3">
                  <c:v>Cork County</c:v>
                </c:pt>
                <c:pt idx="4">
                  <c:v>Donegal County</c:v>
                </c:pt>
                <c:pt idx="5">
                  <c:v>Kerry County</c:v>
                </c:pt>
                <c:pt idx="6">
                  <c:v>Kildare County</c:v>
                </c:pt>
                <c:pt idx="7">
                  <c:v>Kilkenny County</c:v>
                </c:pt>
                <c:pt idx="8">
                  <c:v>Laois County</c:v>
                </c:pt>
                <c:pt idx="9">
                  <c:v>Leitrim County</c:v>
                </c:pt>
                <c:pt idx="10">
                  <c:v>Longford County</c:v>
                </c:pt>
                <c:pt idx="11">
                  <c:v>Mayo County</c:v>
                </c:pt>
                <c:pt idx="12">
                  <c:v>Meath County</c:v>
                </c:pt>
                <c:pt idx="13">
                  <c:v>Monaghan County</c:v>
                </c:pt>
                <c:pt idx="14">
                  <c:v>Offaly County</c:v>
                </c:pt>
                <c:pt idx="15">
                  <c:v>Roscommon County</c:v>
                </c:pt>
                <c:pt idx="16">
                  <c:v>Sligo County</c:v>
                </c:pt>
                <c:pt idx="17">
                  <c:v>Tipperary County</c:v>
                </c:pt>
                <c:pt idx="18">
                  <c:v>Westmeath County</c:v>
                </c:pt>
                <c:pt idx="19">
                  <c:v>Wexford County</c:v>
                </c:pt>
                <c:pt idx="20">
                  <c:v>Wicklow County</c:v>
                </c:pt>
              </c:strCache>
            </c:strRef>
          </c:cat>
          <c:val>
            <c:numRef>
              <c:f>'Fire Service (1)'!$G$86:$G$106</c:f>
              <c:numCache>
                <c:formatCode>"€"#,##0.00_);[Red]\("€"#,##0.00\)</c:formatCode>
                <c:ptCount val="21"/>
                <c:pt idx="0">
                  <c:v>43.17</c:v>
                </c:pt>
                <c:pt idx="1">
                  <c:v>53.47</c:v>
                </c:pt>
                <c:pt idx="2">
                  <c:v>44.13</c:v>
                </c:pt>
                <c:pt idx="3">
                  <c:v>42.230000000000011</c:v>
                </c:pt>
                <c:pt idx="4">
                  <c:v>40.97</c:v>
                </c:pt>
                <c:pt idx="5">
                  <c:v>46.9</c:v>
                </c:pt>
                <c:pt idx="6">
                  <c:v>28.25</c:v>
                </c:pt>
                <c:pt idx="7">
                  <c:v>51.4</c:v>
                </c:pt>
                <c:pt idx="8">
                  <c:v>50.7</c:v>
                </c:pt>
                <c:pt idx="9">
                  <c:v>70</c:v>
                </c:pt>
                <c:pt idx="10">
                  <c:v>49.01</c:v>
                </c:pt>
                <c:pt idx="11">
                  <c:v>38.849999999999994</c:v>
                </c:pt>
                <c:pt idx="12">
                  <c:v>30.4</c:v>
                </c:pt>
                <c:pt idx="13">
                  <c:v>41.58</c:v>
                </c:pt>
                <c:pt idx="14">
                  <c:v>38.300000000000004</c:v>
                </c:pt>
                <c:pt idx="15">
                  <c:v>58.6</c:v>
                </c:pt>
                <c:pt idx="16">
                  <c:v>58.41</c:v>
                </c:pt>
                <c:pt idx="17">
                  <c:v>46.48</c:v>
                </c:pt>
                <c:pt idx="18">
                  <c:v>32.849999999999994</c:v>
                </c:pt>
                <c:pt idx="19">
                  <c:v>29</c:v>
                </c:pt>
                <c:pt idx="20">
                  <c:v>41</c:v>
                </c:pt>
              </c:numCache>
            </c:numRef>
          </c:val>
        </c:ser>
        <c:dLbls>
          <c:showLegendKey val="0"/>
          <c:showVal val="0"/>
          <c:showCatName val="0"/>
          <c:showSerName val="0"/>
          <c:showPercent val="0"/>
          <c:showBubbleSize val="0"/>
        </c:dLbls>
        <c:gapWidth val="150"/>
        <c:axId val="116709632"/>
        <c:axId val="116711424"/>
      </c:barChart>
      <c:catAx>
        <c:axId val="116709632"/>
        <c:scaling>
          <c:orientation val="minMax"/>
        </c:scaling>
        <c:delete val="0"/>
        <c:axPos val="b"/>
        <c:majorTickMark val="out"/>
        <c:minorTickMark val="none"/>
        <c:tickLblPos val="nextTo"/>
        <c:crossAx val="116711424"/>
        <c:crosses val="autoZero"/>
        <c:auto val="1"/>
        <c:lblAlgn val="ctr"/>
        <c:lblOffset val="100"/>
        <c:noMultiLvlLbl val="0"/>
      </c:catAx>
      <c:valAx>
        <c:axId val="116711424"/>
        <c:scaling>
          <c:orientation val="minMax"/>
        </c:scaling>
        <c:delete val="0"/>
        <c:axPos val="l"/>
        <c:majorGridlines/>
        <c:numFmt formatCode="&quot;€&quot;#,##0.00_);[Red]\(&quot;€&quot;#,##0.00\)" sourceLinked="1"/>
        <c:majorTickMark val="out"/>
        <c:minorTickMark val="none"/>
        <c:tickLblPos val="nextTo"/>
        <c:crossAx val="116709632"/>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E" sz="1100">
                <a:solidFill>
                  <a:schemeClr val="tx2"/>
                </a:solidFill>
              </a:rPr>
              <a:t>Graph 16: Percentage of Fire Cases  attended within 10 minutes</a:t>
            </a:r>
          </a:p>
        </c:rich>
      </c:tx>
      <c:overlay val="0"/>
    </c:title>
    <c:autoTitleDeleted val="0"/>
    <c:plotArea>
      <c:layout/>
      <c:barChart>
        <c:barDir val="col"/>
        <c:grouping val="clustered"/>
        <c:varyColors val="0"/>
        <c:ser>
          <c:idx val="0"/>
          <c:order val="0"/>
          <c:tx>
            <c:v>Mean</c:v>
          </c:tx>
          <c:invertIfNegative val="0"/>
          <c:cat>
            <c:strLit>
              <c:ptCount val="5"/>
              <c:pt idx="0">
                <c:v>2010</c:v>
              </c:pt>
              <c:pt idx="1">
                <c:v>2011</c:v>
              </c:pt>
              <c:pt idx="2">
                <c:v>2012</c:v>
              </c:pt>
              <c:pt idx="3">
                <c:v>2013</c:v>
              </c:pt>
              <c:pt idx="4">
                <c:v>2014</c:v>
              </c:pt>
            </c:strLit>
          </c:cat>
          <c:val>
            <c:numRef>
              <c:f>'Fire Service (2)'!$B$72:$B$76</c:f>
              <c:numCache>
                <c:formatCode>0.00</c:formatCode>
                <c:ptCount val="5"/>
                <c:pt idx="0">
                  <c:v>44.97</c:v>
                </c:pt>
                <c:pt idx="1">
                  <c:v>45.96</c:v>
                </c:pt>
                <c:pt idx="2">
                  <c:v>45.51</c:v>
                </c:pt>
                <c:pt idx="3">
                  <c:v>44.083703703703705</c:v>
                </c:pt>
                <c:pt idx="4">
                  <c:v>45.015925925926012</c:v>
                </c:pt>
              </c:numCache>
            </c:numRef>
          </c:val>
        </c:ser>
        <c:dLbls>
          <c:showLegendKey val="0"/>
          <c:showVal val="0"/>
          <c:showCatName val="0"/>
          <c:showSerName val="0"/>
          <c:showPercent val="0"/>
          <c:showBubbleSize val="0"/>
        </c:dLbls>
        <c:gapWidth val="150"/>
        <c:axId val="122498048"/>
        <c:axId val="122520320"/>
      </c:barChart>
      <c:catAx>
        <c:axId val="122498048"/>
        <c:scaling>
          <c:orientation val="minMax"/>
        </c:scaling>
        <c:delete val="0"/>
        <c:axPos val="b"/>
        <c:majorTickMark val="none"/>
        <c:minorTickMark val="none"/>
        <c:tickLblPos val="nextTo"/>
        <c:crossAx val="122520320"/>
        <c:crosses val="autoZero"/>
        <c:auto val="1"/>
        <c:lblAlgn val="ctr"/>
        <c:lblOffset val="100"/>
        <c:noMultiLvlLbl val="0"/>
      </c:catAx>
      <c:valAx>
        <c:axId val="122520320"/>
        <c:scaling>
          <c:orientation val="minMax"/>
        </c:scaling>
        <c:delete val="0"/>
        <c:axPos val="l"/>
        <c:majorGridlines/>
        <c:title>
          <c:tx>
            <c:rich>
              <a:bodyPr/>
              <a:lstStyle/>
              <a:p>
                <a:pPr>
                  <a:defRPr/>
                </a:pPr>
                <a:r>
                  <a:rPr lang="en-US"/>
                  <a:t>Percentage</a:t>
                </a:r>
              </a:p>
            </c:rich>
          </c:tx>
          <c:overlay val="0"/>
        </c:title>
        <c:numFmt formatCode="0.00" sourceLinked="1"/>
        <c:majorTickMark val="none"/>
        <c:minorTickMark val="none"/>
        <c:tickLblPos val="nextTo"/>
        <c:crossAx val="1224980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solidFill>
                  <a:schemeClr val="tx2"/>
                </a:solidFill>
              </a:rPr>
              <a:t>Graph 17:</a:t>
            </a:r>
            <a:r>
              <a:rPr lang="en-US" sz="1100" baseline="0">
                <a:solidFill>
                  <a:schemeClr val="tx2"/>
                </a:solidFill>
              </a:rPr>
              <a:t> </a:t>
            </a:r>
            <a:r>
              <a:rPr lang="en-US" sz="1100">
                <a:solidFill>
                  <a:schemeClr val="tx2"/>
                </a:solidFill>
              </a:rPr>
              <a:t>Percentage of Fire Cases attended  after 10 mins within 20 mins</a:t>
            </a:r>
          </a:p>
        </c:rich>
      </c:tx>
      <c:overlay val="0"/>
    </c:title>
    <c:autoTitleDeleted val="0"/>
    <c:plotArea>
      <c:layout/>
      <c:barChart>
        <c:barDir val="col"/>
        <c:grouping val="clustered"/>
        <c:varyColors val="0"/>
        <c:ser>
          <c:idx val="0"/>
          <c:order val="0"/>
          <c:tx>
            <c:v>Mean</c:v>
          </c:tx>
          <c:invertIfNegative val="0"/>
          <c:cat>
            <c:strLit>
              <c:ptCount val="5"/>
              <c:pt idx="0">
                <c:v>2010</c:v>
              </c:pt>
              <c:pt idx="1">
                <c:v>2011</c:v>
              </c:pt>
              <c:pt idx="2">
                <c:v>2012</c:v>
              </c:pt>
              <c:pt idx="3">
                <c:v>2013</c:v>
              </c:pt>
              <c:pt idx="4">
                <c:v>2014</c:v>
              </c:pt>
            </c:strLit>
          </c:cat>
          <c:val>
            <c:numRef>
              <c:f>'Fire Service (2)'!$B$79:$B$83</c:f>
              <c:numCache>
                <c:formatCode>0.00</c:formatCode>
                <c:ptCount val="5"/>
                <c:pt idx="0">
                  <c:v>39.300000000000004</c:v>
                </c:pt>
                <c:pt idx="1">
                  <c:v>40.090000000000003</c:v>
                </c:pt>
                <c:pt idx="2">
                  <c:v>42.720000000000013</c:v>
                </c:pt>
                <c:pt idx="3">
                  <c:v>42.36444444444389</c:v>
                </c:pt>
                <c:pt idx="4">
                  <c:v>42.416296296295997</c:v>
                </c:pt>
              </c:numCache>
            </c:numRef>
          </c:val>
        </c:ser>
        <c:dLbls>
          <c:showLegendKey val="0"/>
          <c:showVal val="0"/>
          <c:showCatName val="0"/>
          <c:showSerName val="0"/>
          <c:showPercent val="0"/>
          <c:showBubbleSize val="0"/>
        </c:dLbls>
        <c:gapWidth val="150"/>
        <c:axId val="122530048"/>
        <c:axId val="122945536"/>
      </c:barChart>
      <c:catAx>
        <c:axId val="122530048"/>
        <c:scaling>
          <c:orientation val="minMax"/>
        </c:scaling>
        <c:delete val="0"/>
        <c:axPos val="b"/>
        <c:majorTickMark val="none"/>
        <c:minorTickMark val="none"/>
        <c:tickLblPos val="nextTo"/>
        <c:crossAx val="122945536"/>
        <c:crosses val="autoZero"/>
        <c:auto val="1"/>
        <c:lblAlgn val="ctr"/>
        <c:lblOffset val="100"/>
        <c:noMultiLvlLbl val="0"/>
      </c:catAx>
      <c:valAx>
        <c:axId val="122945536"/>
        <c:scaling>
          <c:orientation val="minMax"/>
        </c:scaling>
        <c:delete val="0"/>
        <c:axPos val="l"/>
        <c:majorGridlines/>
        <c:title>
          <c:tx>
            <c:rich>
              <a:bodyPr/>
              <a:lstStyle/>
              <a:p>
                <a:pPr>
                  <a:defRPr/>
                </a:pPr>
                <a:r>
                  <a:rPr lang="en-IE"/>
                  <a:t>Percentage</a:t>
                </a:r>
              </a:p>
            </c:rich>
          </c:tx>
          <c:overlay val="0"/>
        </c:title>
        <c:numFmt formatCode="0.00" sourceLinked="1"/>
        <c:majorTickMark val="none"/>
        <c:minorTickMark val="none"/>
        <c:tickLblPos val="nextTo"/>
        <c:crossAx val="1225300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E" sz="1100" b="1" i="0" baseline="0">
                <a:solidFill>
                  <a:schemeClr val="tx2"/>
                </a:solidFill>
              </a:rPr>
              <a:t>Graph 18: Percentage of  Non- Fire Cases attended within 10 minutes</a:t>
            </a:r>
            <a:endParaRPr lang="en-IE" sz="1100">
              <a:solidFill>
                <a:schemeClr val="tx2"/>
              </a:solidFill>
            </a:endParaRPr>
          </a:p>
        </c:rich>
      </c:tx>
      <c:overlay val="0"/>
    </c:title>
    <c:autoTitleDeleted val="0"/>
    <c:plotArea>
      <c:layout/>
      <c:barChart>
        <c:barDir val="col"/>
        <c:grouping val="clustered"/>
        <c:varyColors val="0"/>
        <c:ser>
          <c:idx val="0"/>
          <c:order val="0"/>
          <c:tx>
            <c:v>Mean</c:v>
          </c:tx>
          <c:invertIfNegative val="0"/>
          <c:cat>
            <c:strLit>
              <c:ptCount val="5"/>
              <c:pt idx="0">
                <c:v>2010</c:v>
              </c:pt>
              <c:pt idx="1">
                <c:v>2011</c:v>
              </c:pt>
              <c:pt idx="2">
                <c:v>2012</c:v>
              </c:pt>
              <c:pt idx="3">
                <c:v>2013</c:v>
              </c:pt>
              <c:pt idx="4">
                <c:v>2014 </c:v>
              </c:pt>
            </c:strLit>
          </c:cat>
          <c:val>
            <c:numRef>
              <c:f>'Fire Service (2)'!$B$93:$B$97</c:f>
              <c:numCache>
                <c:formatCode>0.00</c:formatCode>
                <c:ptCount val="5"/>
                <c:pt idx="0">
                  <c:v>40.6</c:v>
                </c:pt>
                <c:pt idx="1">
                  <c:v>39.700000000000003</c:v>
                </c:pt>
                <c:pt idx="2">
                  <c:v>39.300000000000004</c:v>
                </c:pt>
                <c:pt idx="3">
                  <c:v>37.448620689655144</c:v>
                </c:pt>
                <c:pt idx="4">
                  <c:v>38.479259259259244</c:v>
                </c:pt>
              </c:numCache>
            </c:numRef>
          </c:val>
        </c:ser>
        <c:dLbls>
          <c:showLegendKey val="0"/>
          <c:showVal val="0"/>
          <c:showCatName val="0"/>
          <c:showSerName val="0"/>
          <c:showPercent val="0"/>
          <c:showBubbleSize val="0"/>
        </c:dLbls>
        <c:gapWidth val="150"/>
        <c:axId val="122980224"/>
        <c:axId val="122981760"/>
      </c:barChart>
      <c:catAx>
        <c:axId val="122980224"/>
        <c:scaling>
          <c:orientation val="minMax"/>
        </c:scaling>
        <c:delete val="0"/>
        <c:axPos val="b"/>
        <c:majorTickMark val="none"/>
        <c:minorTickMark val="none"/>
        <c:tickLblPos val="nextTo"/>
        <c:crossAx val="122981760"/>
        <c:crosses val="autoZero"/>
        <c:auto val="1"/>
        <c:lblAlgn val="ctr"/>
        <c:lblOffset val="100"/>
        <c:noMultiLvlLbl val="0"/>
      </c:catAx>
      <c:valAx>
        <c:axId val="122981760"/>
        <c:scaling>
          <c:orientation val="minMax"/>
        </c:scaling>
        <c:delete val="0"/>
        <c:axPos val="l"/>
        <c:majorGridlines/>
        <c:title>
          <c:tx>
            <c:rich>
              <a:bodyPr/>
              <a:lstStyle/>
              <a:p>
                <a:pPr>
                  <a:defRPr/>
                </a:pPr>
                <a:r>
                  <a:rPr lang="en-IE"/>
                  <a:t>Percentage</a:t>
                </a:r>
              </a:p>
            </c:rich>
          </c:tx>
          <c:overlay val="0"/>
        </c:title>
        <c:numFmt formatCode="0.00" sourceLinked="1"/>
        <c:majorTickMark val="none"/>
        <c:minorTickMark val="none"/>
        <c:tickLblPos val="nextTo"/>
        <c:crossAx val="1229802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solidFill>
                  <a:schemeClr val="tx2"/>
                </a:solidFill>
              </a:rPr>
              <a:t>Graph 2: Local Authority Budgeted Expenditure 2010 - 2014 €M</a:t>
            </a:r>
          </a:p>
        </c:rich>
      </c:tx>
      <c:overlay val="0"/>
    </c:title>
    <c:autoTitleDeleted val="0"/>
    <c:plotArea>
      <c:layout/>
      <c:barChart>
        <c:barDir val="col"/>
        <c:grouping val="clustered"/>
        <c:varyColors val="0"/>
        <c:ser>
          <c:idx val="0"/>
          <c:order val="0"/>
          <c:tx>
            <c:v>Expenditure €M</c:v>
          </c:tx>
          <c:invertIfNegative val="0"/>
          <c:cat>
            <c:strLit>
              <c:ptCount val="5"/>
              <c:pt idx="0">
                <c:v>2010</c:v>
              </c:pt>
              <c:pt idx="1">
                <c:v>2011</c:v>
              </c:pt>
              <c:pt idx="2">
                <c:v>2012</c:v>
              </c:pt>
              <c:pt idx="3">
                <c:v>2013</c:v>
              </c:pt>
              <c:pt idx="4">
                <c:v>2014</c:v>
              </c:pt>
            </c:strLit>
          </c:cat>
          <c:val>
            <c:numRef>
              <c:f>Sheet1!$J$4:$N$4</c:f>
              <c:numCache>
                <c:formatCode>"€"#,##0</c:formatCode>
                <c:ptCount val="5"/>
                <c:pt idx="0">
                  <c:v>4655.7</c:v>
                </c:pt>
                <c:pt idx="1">
                  <c:v>4547.9000000000005</c:v>
                </c:pt>
                <c:pt idx="2">
                  <c:v>4356.2</c:v>
                </c:pt>
                <c:pt idx="3">
                  <c:v>4180.6000000000004</c:v>
                </c:pt>
                <c:pt idx="4">
                  <c:v>4173.4000000000005</c:v>
                </c:pt>
              </c:numCache>
            </c:numRef>
          </c:val>
        </c:ser>
        <c:dLbls>
          <c:showLegendKey val="0"/>
          <c:showVal val="0"/>
          <c:showCatName val="0"/>
          <c:showSerName val="0"/>
          <c:showPercent val="0"/>
          <c:showBubbleSize val="0"/>
        </c:dLbls>
        <c:gapWidth val="150"/>
        <c:axId val="72378240"/>
        <c:axId val="72379776"/>
      </c:barChart>
      <c:catAx>
        <c:axId val="72378240"/>
        <c:scaling>
          <c:orientation val="minMax"/>
        </c:scaling>
        <c:delete val="0"/>
        <c:axPos val="b"/>
        <c:majorTickMark val="none"/>
        <c:minorTickMark val="none"/>
        <c:tickLblPos val="nextTo"/>
        <c:crossAx val="72379776"/>
        <c:crosses val="autoZero"/>
        <c:auto val="1"/>
        <c:lblAlgn val="ctr"/>
        <c:lblOffset val="100"/>
        <c:noMultiLvlLbl val="0"/>
      </c:catAx>
      <c:valAx>
        <c:axId val="72379776"/>
        <c:scaling>
          <c:orientation val="minMax"/>
        </c:scaling>
        <c:delete val="0"/>
        <c:axPos val="l"/>
        <c:majorGridlines/>
        <c:numFmt formatCode="&quot;€&quot;#,##0" sourceLinked="1"/>
        <c:majorTickMark val="none"/>
        <c:minorTickMark val="none"/>
        <c:tickLblPos val="nextTo"/>
        <c:crossAx val="72378240"/>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solidFill>
                  <a:schemeClr val="tx2"/>
                </a:solidFill>
              </a:rPr>
              <a:t>Graph</a:t>
            </a:r>
            <a:r>
              <a:rPr lang="en-US" sz="1100" baseline="0">
                <a:solidFill>
                  <a:schemeClr val="tx2"/>
                </a:solidFill>
              </a:rPr>
              <a:t> 19: </a:t>
            </a:r>
            <a:r>
              <a:rPr lang="en-US" sz="1100">
                <a:solidFill>
                  <a:schemeClr val="tx2"/>
                </a:solidFill>
              </a:rPr>
              <a:t>No. of Library Visits per person 2014 </a:t>
            </a:r>
          </a:p>
        </c:rich>
      </c:tx>
      <c:overlay val="0"/>
    </c:title>
    <c:autoTitleDeleted val="0"/>
    <c:plotArea>
      <c:layout/>
      <c:barChart>
        <c:barDir val="col"/>
        <c:grouping val="clustered"/>
        <c:varyColors val="0"/>
        <c:ser>
          <c:idx val="0"/>
          <c:order val="0"/>
          <c:tx>
            <c:strRef>
              <c:f>Library!$I$50</c:f>
              <c:strCache>
                <c:ptCount val="1"/>
                <c:pt idx="0">
                  <c:v>Visits per 1000</c:v>
                </c:pt>
              </c:strCache>
            </c:strRef>
          </c:tx>
          <c:invertIfNegative val="0"/>
          <c:cat>
            <c:strRef>
              <c:f>Library!$H$51:$H$80</c:f>
              <c:strCache>
                <c:ptCount val="30"/>
                <c:pt idx="0">
                  <c:v>Carlow County</c:v>
                </c:pt>
                <c:pt idx="1">
                  <c:v>Cavan County</c:v>
                </c:pt>
                <c:pt idx="2">
                  <c:v>Clare County</c:v>
                </c:pt>
                <c:pt idx="3">
                  <c:v>Cork City</c:v>
                </c:pt>
                <c:pt idx="4">
                  <c:v>Cork County</c:v>
                </c:pt>
                <c:pt idx="5">
                  <c:v>Donegal County</c:v>
                </c:pt>
                <c:pt idx="6">
                  <c:v>Dublin City</c:v>
                </c:pt>
                <c:pt idx="7">
                  <c:v>Dun Laoghaire Rathdown</c:v>
                </c:pt>
                <c:pt idx="8">
                  <c:v>Fingal County</c:v>
                </c:pt>
                <c:pt idx="9">
                  <c:v>Galway County</c:v>
                </c:pt>
                <c:pt idx="10">
                  <c:v>Kerry County</c:v>
                </c:pt>
                <c:pt idx="11">
                  <c:v>Kildare County</c:v>
                </c:pt>
                <c:pt idx="12">
                  <c:v>Kilkenny County</c:v>
                </c:pt>
                <c:pt idx="13">
                  <c:v>Laois County</c:v>
                </c:pt>
                <c:pt idx="14">
                  <c:v>Leitrim County</c:v>
                </c:pt>
                <c:pt idx="15">
                  <c:v>Limerick City &amp; County</c:v>
                </c:pt>
                <c:pt idx="16">
                  <c:v>Longford County</c:v>
                </c:pt>
                <c:pt idx="17">
                  <c:v>Louth County</c:v>
                </c:pt>
                <c:pt idx="18">
                  <c:v>Mayo County</c:v>
                </c:pt>
                <c:pt idx="19">
                  <c:v>Meath County</c:v>
                </c:pt>
                <c:pt idx="20">
                  <c:v>Monaghan County</c:v>
                </c:pt>
                <c:pt idx="21">
                  <c:v>Offaly County</c:v>
                </c:pt>
                <c:pt idx="22">
                  <c:v>Roscommon County</c:v>
                </c:pt>
                <c:pt idx="23">
                  <c:v>Sligo County</c:v>
                </c:pt>
                <c:pt idx="24">
                  <c:v>South Dublin County</c:v>
                </c:pt>
                <c:pt idx="25">
                  <c:v>Tipperary County</c:v>
                </c:pt>
                <c:pt idx="26">
                  <c:v>Waterford City &amp; County</c:v>
                </c:pt>
                <c:pt idx="27">
                  <c:v>Westmeath County</c:v>
                </c:pt>
                <c:pt idx="28">
                  <c:v>Wexford County</c:v>
                </c:pt>
                <c:pt idx="29">
                  <c:v>Wicklow County</c:v>
                </c:pt>
              </c:strCache>
            </c:strRef>
          </c:cat>
          <c:val>
            <c:numRef>
              <c:f>Library!$I$51:$I$80</c:f>
            </c:numRef>
          </c:val>
        </c:ser>
        <c:ser>
          <c:idx val="1"/>
          <c:order val="1"/>
          <c:tx>
            <c:strRef>
              <c:f>Library!$J$50</c:f>
              <c:strCache>
                <c:ptCount val="1"/>
                <c:pt idx="0">
                  <c:v>No. of visits </c:v>
                </c:pt>
              </c:strCache>
            </c:strRef>
          </c:tx>
          <c:spPr>
            <a:solidFill>
              <a:srgbClr val="0070C0"/>
            </a:solidFill>
          </c:spPr>
          <c:invertIfNegative val="0"/>
          <c:cat>
            <c:strRef>
              <c:f>Library!$H$51:$H$80</c:f>
              <c:strCache>
                <c:ptCount val="30"/>
                <c:pt idx="0">
                  <c:v>Carlow County</c:v>
                </c:pt>
                <c:pt idx="1">
                  <c:v>Cavan County</c:v>
                </c:pt>
                <c:pt idx="2">
                  <c:v>Clare County</c:v>
                </c:pt>
                <c:pt idx="3">
                  <c:v>Cork City</c:v>
                </c:pt>
                <c:pt idx="4">
                  <c:v>Cork County</c:v>
                </c:pt>
                <c:pt idx="5">
                  <c:v>Donegal County</c:v>
                </c:pt>
                <c:pt idx="6">
                  <c:v>Dublin City</c:v>
                </c:pt>
                <c:pt idx="7">
                  <c:v>Dun Laoghaire Rathdown</c:v>
                </c:pt>
                <c:pt idx="8">
                  <c:v>Fingal County</c:v>
                </c:pt>
                <c:pt idx="9">
                  <c:v>Galway County</c:v>
                </c:pt>
                <c:pt idx="10">
                  <c:v>Kerry County</c:v>
                </c:pt>
                <c:pt idx="11">
                  <c:v>Kildare County</c:v>
                </c:pt>
                <c:pt idx="12">
                  <c:v>Kilkenny County</c:v>
                </c:pt>
                <c:pt idx="13">
                  <c:v>Laois County</c:v>
                </c:pt>
                <c:pt idx="14">
                  <c:v>Leitrim County</c:v>
                </c:pt>
                <c:pt idx="15">
                  <c:v>Limerick City &amp; County</c:v>
                </c:pt>
                <c:pt idx="16">
                  <c:v>Longford County</c:v>
                </c:pt>
                <c:pt idx="17">
                  <c:v>Louth County</c:v>
                </c:pt>
                <c:pt idx="18">
                  <c:v>Mayo County</c:v>
                </c:pt>
                <c:pt idx="19">
                  <c:v>Meath County</c:v>
                </c:pt>
                <c:pt idx="20">
                  <c:v>Monaghan County</c:v>
                </c:pt>
                <c:pt idx="21">
                  <c:v>Offaly County</c:v>
                </c:pt>
                <c:pt idx="22">
                  <c:v>Roscommon County</c:v>
                </c:pt>
                <c:pt idx="23">
                  <c:v>Sligo County</c:v>
                </c:pt>
                <c:pt idx="24">
                  <c:v>South Dublin County</c:v>
                </c:pt>
                <c:pt idx="25">
                  <c:v>Tipperary County</c:v>
                </c:pt>
                <c:pt idx="26">
                  <c:v>Waterford City &amp; County</c:v>
                </c:pt>
                <c:pt idx="27">
                  <c:v>Westmeath County</c:v>
                </c:pt>
                <c:pt idx="28">
                  <c:v>Wexford County</c:v>
                </c:pt>
                <c:pt idx="29">
                  <c:v>Wicklow County</c:v>
                </c:pt>
              </c:strCache>
            </c:strRef>
          </c:cat>
          <c:val>
            <c:numRef>
              <c:f>Library!$J$51:$J$80</c:f>
              <c:numCache>
                <c:formatCode>General</c:formatCode>
                <c:ptCount val="30"/>
                <c:pt idx="0">
                  <c:v>3.2795700000000001</c:v>
                </c:pt>
                <c:pt idx="1">
                  <c:v>3.2980300000000002</c:v>
                </c:pt>
                <c:pt idx="2">
                  <c:v>3.9322999999999873</c:v>
                </c:pt>
                <c:pt idx="3">
                  <c:v>6.2148799999999955</c:v>
                </c:pt>
                <c:pt idx="4">
                  <c:v>4.0312500000000124</c:v>
                </c:pt>
                <c:pt idx="5">
                  <c:v>2.1099399999999999</c:v>
                </c:pt>
                <c:pt idx="6">
                  <c:v>5.2324399999999995</c:v>
                </c:pt>
                <c:pt idx="7">
                  <c:v>2.8213200000000001</c:v>
                </c:pt>
                <c:pt idx="8">
                  <c:v>4.3915699999999998</c:v>
                </c:pt>
                <c:pt idx="9">
                  <c:v>2.7195399999999998</c:v>
                </c:pt>
                <c:pt idx="10">
                  <c:v>3.62263</c:v>
                </c:pt>
                <c:pt idx="11">
                  <c:v>3.54236</c:v>
                </c:pt>
                <c:pt idx="12">
                  <c:v>3.29861</c:v>
                </c:pt>
                <c:pt idx="13">
                  <c:v>3.6525999999999987</c:v>
                </c:pt>
                <c:pt idx="14">
                  <c:v>6.2063700000000024</c:v>
                </c:pt>
                <c:pt idx="15">
                  <c:v>3.5520999999999967</c:v>
                </c:pt>
                <c:pt idx="16">
                  <c:v>4.5653799999999976</c:v>
                </c:pt>
                <c:pt idx="17">
                  <c:v>2.3637700000000001</c:v>
                </c:pt>
                <c:pt idx="18">
                  <c:v>2.43038</c:v>
                </c:pt>
                <c:pt idx="19">
                  <c:v>3.6735799999999998</c:v>
                </c:pt>
                <c:pt idx="20">
                  <c:v>4.8292600000000014</c:v>
                </c:pt>
                <c:pt idx="21">
                  <c:v>3.3570399999999987</c:v>
                </c:pt>
                <c:pt idx="22">
                  <c:v>3.30445999999999</c:v>
                </c:pt>
                <c:pt idx="23">
                  <c:v>2.3274699999999977</c:v>
                </c:pt>
                <c:pt idx="24">
                  <c:v>4.5726899999999997</c:v>
                </c:pt>
                <c:pt idx="25">
                  <c:v>3.7794299999999987</c:v>
                </c:pt>
                <c:pt idx="26">
                  <c:v>4.3964499999999997</c:v>
                </c:pt>
                <c:pt idx="27">
                  <c:v>3.6039400000000001</c:v>
                </c:pt>
                <c:pt idx="28">
                  <c:v>4.8338199999999985</c:v>
                </c:pt>
                <c:pt idx="29">
                  <c:v>3.2832300000000116</c:v>
                </c:pt>
              </c:numCache>
            </c:numRef>
          </c:val>
        </c:ser>
        <c:dLbls>
          <c:showLegendKey val="0"/>
          <c:showVal val="0"/>
          <c:showCatName val="0"/>
          <c:showSerName val="0"/>
          <c:showPercent val="0"/>
          <c:showBubbleSize val="0"/>
        </c:dLbls>
        <c:gapWidth val="150"/>
        <c:axId val="123009664"/>
        <c:axId val="123076992"/>
      </c:barChart>
      <c:catAx>
        <c:axId val="123009664"/>
        <c:scaling>
          <c:orientation val="minMax"/>
        </c:scaling>
        <c:delete val="0"/>
        <c:axPos val="b"/>
        <c:majorTickMark val="out"/>
        <c:minorTickMark val="none"/>
        <c:tickLblPos val="nextTo"/>
        <c:crossAx val="123076992"/>
        <c:crosses val="autoZero"/>
        <c:auto val="1"/>
        <c:lblAlgn val="ctr"/>
        <c:lblOffset val="100"/>
        <c:noMultiLvlLbl val="0"/>
      </c:catAx>
      <c:valAx>
        <c:axId val="123076992"/>
        <c:scaling>
          <c:orientation val="minMax"/>
        </c:scaling>
        <c:delete val="0"/>
        <c:axPos val="l"/>
        <c:majorGridlines/>
        <c:numFmt formatCode="General" sourceLinked="1"/>
        <c:majorTickMark val="out"/>
        <c:minorTickMark val="none"/>
        <c:tickLblPos val="nextTo"/>
        <c:crossAx val="123009664"/>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en-US" sz="1100">
                <a:solidFill>
                  <a:schemeClr val="tx2"/>
                </a:solidFill>
              </a:rPr>
              <a:t>Graph 20: 2014 Cost per Capita</a:t>
            </a:r>
            <a:r>
              <a:rPr lang="en-US" sz="1100" baseline="0">
                <a:solidFill>
                  <a:schemeClr val="tx2"/>
                </a:solidFill>
              </a:rPr>
              <a:t> of provision of library services  </a:t>
            </a:r>
            <a:endParaRPr lang="en-US" sz="1100">
              <a:solidFill>
                <a:schemeClr val="tx2"/>
              </a:solidFill>
            </a:endParaRPr>
          </a:p>
        </c:rich>
      </c:tx>
      <c:overlay val="0"/>
    </c:title>
    <c:autoTitleDeleted val="0"/>
    <c:plotArea>
      <c:layout/>
      <c:barChart>
        <c:barDir val="col"/>
        <c:grouping val="clustered"/>
        <c:varyColors val="0"/>
        <c:ser>
          <c:idx val="0"/>
          <c:order val="0"/>
          <c:tx>
            <c:strRef>
              <c:f>Library!$O$19</c:f>
              <c:strCache>
                <c:ptCount val="1"/>
              </c:strCache>
            </c:strRef>
          </c:tx>
          <c:invertIfNegative val="0"/>
          <c:cat>
            <c:strRef>
              <c:f>Library!$N$20:$N$49</c:f>
              <c:strCache>
                <c:ptCount val="30"/>
                <c:pt idx="0">
                  <c:v>Carlow County</c:v>
                </c:pt>
                <c:pt idx="1">
                  <c:v>Cavan County</c:v>
                </c:pt>
                <c:pt idx="2">
                  <c:v>Clare County</c:v>
                </c:pt>
                <c:pt idx="3">
                  <c:v>Cork City</c:v>
                </c:pt>
                <c:pt idx="4">
                  <c:v>Cork County</c:v>
                </c:pt>
                <c:pt idx="5">
                  <c:v>Donegal County</c:v>
                </c:pt>
                <c:pt idx="6">
                  <c:v>Dublin City</c:v>
                </c:pt>
                <c:pt idx="7">
                  <c:v>Dun Laoghaire Rathdown</c:v>
                </c:pt>
                <c:pt idx="8">
                  <c:v>Fingal County</c:v>
                </c:pt>
                <c:pt idx="9">
                  <c:v>Galway County</c:v>
                </c:pt>
                <c:pt idx="10">
                  <c:v>Kerry County</c:v>
                </c:pt>
                <c:pt idx="11">
                  <c:v>Kildare County</c:v>
                </c:pt>
                <c:pt idx="12">
                  <c:v>Kilkenny County</c:v>
                </c:pt>
                <c:pt idx="13">
                  <c:v>Laois County</c:v>
                </c:pt>
                <c:pt idx="14">
                  <c:v>Leitrim County</c:v>
                </c:pt>
                <c:pt idx="15">
                  <c:v>Limerick City &amp; County</c:v>
                </c:pt>
                <c:pt idx="16">
                  <c:v>Longford County</c:v>
                </c:pt>
                <c:pt idx="17">
                  <c:v>Louth County</c:v>
                </c:pt>
                <c:pt idx="18">
                  <c:v>Mayo County</c:v>
                </c:pt>
                <c:pt idx="19">
                  <c:v>Meath County</c:v>
                </c:pt>
                <c:pt idx="20">
                  <c:v>Monaghan County</c:v>
                </c:pt>
                <c:pt idx="21">
                  <c:v>Offaly County</c:v>
                </c:pt>
                <c:pt idx="22">
                  <c:v>Roscommon County</c:v>
                </c:pt>
                <c:pt idx="23">
                  <c:v>Sligo County</c:v>
                </c:pt>
                <c:pt idx="24">
                  <c:v>South Dublin County</c:v>
                </c:pt>
                <c:pt idx="25">
                  <c:v>Tipperary County</c:v>
                </c:pt>
                <c:pt idx="26">
                  <c:v>Waterford City &amp; County</c:v>
                </c:pt>
                <c:pt idx="27">
                  <c:v>Westmeath County</c:v>
                </c:pt>
                <c:pt idx="28">
                  <c:v>Wexford County</c:v>
                </c:pt>
                <c:pt idx="29">
                  <c:v>Wicklow County</c:v>
                </c:pt>
              </c:strCache>
            </c:strRef>
          </c:cat>
          <c:val>
            <c:numRef>
              <c:f>Library!$O$20:$O$49</c:f>
            </c:numRef>
          </c:val>
        </c:ser>
        <c:ser>
          <c:idx val="1"/>
          <c:order val="1"/>
          <c:tx>
            <c:strRef>
              <c:f>Library!$P$19</c:f>
              <c:strCache>
                <c:ptCount val="1"/>
                <c:pt idx="0">
                  <c:v>€</c:v>
                </c:pt>
              </c:strCache>
            </c:strRef>
          </c:tx>
          <c:invertIfNegative val="0"/>
          <c:cat>
            <c:strRef>
              <c:f>Library!$N$20:$N$49</c:f>
              <c:strCache>
                <c:ptCount val="30"/>
                <c:pt idx="0">
                  <c:v>Carlow County</c:v>
                </c:pt>
                <c:pt idx="1">
                  <c:v>Cavan County</c:v>
                </c:pt>
                <c:pt idx="2">
                  <c:v>Clare County</c:v>
                </c:pt>
                <c:pt idx="3">
                  <c:v>Cork City</c:v>
                </c:pt>
                <c:pt idx="4">
                  <c:v>Cork County</c:v>
                </c:pt>
                <c:pt idx="5">
                  <c:v>Donegal County</c:v>
                </c:pt>
                <c:pt idx="6">
                  <c:v>Dublin City</c:v>
                </c:pt>
                <c:pt idx="7">
                  <c:v>Dun Laoghaire Rathdown</c:v>
                </c:pt>
                <c:pt idx="8">
                  <c:v>Fingal County</c:v>
                </c:pt>
                <c:pt idx="9">
                  <c:v>Galway County</c:v>
                </c:pt>
                <c:pt idx="10">
                  <c:v>Kerry County</c:v>
                </c:pt>
                <c:pt idx="11">
                  <c:v>Kildare County</c:v>
                </c:pt>
                <c:pt idx="12">
                  <c:v>Kilkenny County</c:v>
                </c:pt>
                <c:pt idx="13">
                  <c:v>Laois County</c:v>
                </c:pt>
                <c:pt idx="14">
                  <c:v>Leitrim County</c:v>
                </c:pt>
                <c:pt idx="15">
                  <c:v>Limerick City &amp; County</c:v>
                </c:pt>
                <c:pt idx="16">
                  <c:v>Longford County</c:v>
                </c:pt>
                <c:pt idx="17">
                  <c:v>Louth County</c:v>
                </c:pt>
                <c:pt idx="18">
                  <c:v>Mayo County</c:v>
                </c:pt>
                <c:pt idx="19">
                  <c:v>Meath County</c:v>
                </c:pt>
                <c:pt idx="20">
                  <c:v>Monaghan County</c:v>
                </c:pt>
                <c:pt idx="21">
                  <c:v>Offaly County</c:v>
                </c:pt>
                <c:pt idx="22">
                  <c:v>Roscommon County</c:v>
                </c:pt>
                <c:pt idx="23">
                  <c:v>Sligo County</c:v>
                </c:pt>
                <c:pt idx="24">
                  <c:v>South Dublin County</c:v>
                </c:pt>
                <c:pt idx="25">
                  <c:v>Tipperary County</c:v>
                </c:pt>
                <c:pt idx="26">
                  <c:v>Waterford City &amp; County</c:v>
                </c:pt>
                <c:pt idx="27">
                  <c:v>Westmeath County</c:v>
                </c:pt>
                <c:pt idx="28">
                  <c:v>Wexford County</c:v>
                </c:pt>
                <c:pt idx="29">
                  <c:v>Wicklow County</c:v>
                </c:pt>
              </c:strCache>
            </c:strRef>
          </c:cat>
          <c:val>
            <c:numRef>
              <c:f>Library!$P$20:$P$49</c:f>
              <c:numCache>
                <c:formatCode>General</c:formatCode>
                <c:ptCount val="30"/>
                <c:pt idx="0">
                  <c:v>27.182009999999956</c:v>
                </c:pt>
                <c:pt idx="1">
                  <c:v>24.27104999999996</c:v>
                </c:pt>
                <c:pt idx="2">
                  <c:v>35.067390000000003</c:v>
                </c:pt>
                <c:pt idx="3">
                  <c:v>60.158820000000006</c:v>
                </c:pt>
                <c:pt idx="4">
                  <c:v>25.929339999999947</c:v>
                </c:pt>
                <c:pt idx="5">
                  <c:v>21.825380000000003</c:v>
                </c:pt>
                <c:pt idx="6">
                  <c:v>42.781590000000001</c:v>
                </c:pt>
                <c:pt idx="7">
                  <c:v>33.020610000000012</c:v>
                </c:pt>
                <c:pt idx="8">
                  <c:v>44.424500000000002</c:v>
                </c:pt>
                <c:pt idx="9">
                  <c:v>18.911900000000031</c:v>
                </c:pt>
                <c:pt idx="10">
                  <c:v>25.475239999999935</c:v>
                </c:pt>
                <c:pt idx="11">
                  <c:v>28.056570000000001</c:v>
                </c:pt>
                <c:pt idx="12">
                  <c:v>26.610060000000043</c:v>
                </c:pt>
                <c:pt idx="13">
                  <c:v>23.952519999999943</c:v>
                </c:pt>
                <c:pt idx="14">
                  <c:v>43.113590000000002</c:v>
                </c:pt>
                <c:pt idx="15">
                  <c:v>26.995419999999925</c:v>
                </c:pt>
                <c:pt idx="16">
                  <c:v>41.100130000000071</c:v>
                </c:pt>
                <c:pt idx="17">
                  <c:v>23.344870000000043</c:v>
                </c:pt>
                <c:pt idx="18">
                  <c:v>17.299709999999951</c:v>
                </c:pt>
                <c:pt idx="19">
                  <c:v>19.177930000000035</c:v>
                </c:pt>
                <c:pt idx="20">
                  <c:v>34.61574000000001</c:v>
                </c:pt>
                <c:pt idx="21">
                  <c:v>27.660629999999959</c:v>
                </c:pt>
                <c:pt idx="22">
                  <c:v>22.086679999999959</c:v>
                </c:pt>
                <c:pt idx="23">
                  <c:v>31.317889999999998</c:v>
                </c:pt>
                <c:pt idx="24">
                  <c:v>34.162720000000071</c:v>
                </c:pt>
                <c:pt idx="25">
                  <c:v>18.721639999999951</c:v>
                </c:pt>
                <c:pt idx="26">
                  <c:v>35.629670000000011</c:v>
                </c:pt>
                <c:pt idx="27">
                  <c:v>27.892259999999986</c:v>
                </c:pt>
                <c:pt idx="28">
                  <c:v>26.45327</c:v>
                </c:pt>
                <c:pt idx="29">
                  <c:v>20.787800000000001</c:v>
                </c:pt>
              </c:numCache>
            </c:numRef>
          </c:val>
        </c:ser>
        <c:dLbls>
          <c:showLegendKey val="0"/>
          <c:showVal val="0"/>
          <c:showCatName val="0"/>
          <c:showSerName val="0"/>
          <c:showPercent val="0"/>
          <c:showBubbleSize val="0"/>
        </c:dLbls>
        <c:gapWidth val="150"/>
        <c:axId val="123118336"/>
        <c:axId val="123119872"/>
      </c:barChart>
      <c:catAx>
        <c:axId val="123118336"/>
        <c:scaling>
          <c:orientation val="minMax"/>
        </c:scaling>
        <c:delete val="0"/>
        <c:axPos val="b"/>
        <c:majorTickMark val="none"/>
        <c:minorTickMark val="none"/>
        <c:tickLblPos val="nextTo"/>
        <c:crossAx val="123119872"/>
        <c:crosses val="autoZero"/>
        <c:auto val="1"/>
        <c:lblAlgn val="ctr"/>
        <c:lblOffset val="100"/>
        <c:noMultiLvlLbl val="0"/>
      </c:catAx>
      <c:valAx>
        <c:axId val="123119872"/>
        <c:scaling>
          <c:orientation val="minMax"/>
        </c:scaling>
        <c:delete val="0"/>
        <c:axPos val="l"/>
        <c:majorGridlines/>
        <c:numFmt formatCode="General" sourceLinked="1"/>
        <c:majorTickMark val="none"/>
        <c:minorTickMark val="none"/>
        <c:tickLblPos val="nextTo"/>
        <c:crossAx val="123118336"/>
        <c:crosses val="autoZero"/>
        <c:crossBetween val="between"/>
      </c:valAx>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solidFill>
                  <a:schemeClr val="tx2"/>
                </a:solidFill>
              </a:rPr>
              <a:t>Graph 21: Local Authority Employees (WTE) 2010 - 2014</a:t>
            </a:r>
          </a:p>
        </c:rich>
      </c:tx>
      <c:overlay val="0"/>
    </c:title>
    <c:autoTitleDeleted val="0"/>
    <c:plotArea>
      <c:layout/>
      <c:barChart>
        <c:barDir val="col"/>
        <c:grouping val="clustered"/>
        <c:varyColors val="0"/>
        <c:ser>
          <c:idx val="0"/>
          <c:order val="0"/>
          <c:tx>
            <c:v>WTE</c:v>
          </c:tx>
          <c:invertIfNegative val="0"/>
          <c:cat>
            <c:strLit>
              <c:ptCount val="5"/>
              <c:pt idx="0">
                <c:v>2010</c:v>
              </c:pt>
              <c:pt idx="1">
                <c:v>2011</c:v>
              </c:pt>
              <c:pt idx="2">
                <c:v>2012</c:v>
              </c:pt>
              <c:pt idx="3">
                <c:v>2013</c:v>
              </c:pt>
              <c:pt idx="4">
                <c:v>2014</c:v>
              </c:pt>
            </c:strLit>
          </c:cat>
          <c:val>
            <c:numRef>
              <c:f>Corporate!$J$30:$N$30</c:f>
              <c:numCache>
                <c:formatCode>General</c:formatCode>
                <c:ptCount val="5"/>
                <c:pt idx="0">
                  <c:v>30703.040000000001</c:v>
                </c:pt>
                <c:pt idx="1">
                  <c:v>29506.32</c:v>
                </c:pt>
                <c:pt idx="2">
                  <c:v>28306.240000000002</c:v>
                </c:pt>
                <c:pt idx="3">
                  <c:v>27543.51</c:v>
                </c:pt>
                <c:pt idx="4">
                  <c:v>26806.86</c:v>
                </c:pt>
              </c:numCache>
            </c:numRef>
          </c:val>
        </c:ser>
        <c:dLbls>
          <c:showLegendKey val="0"/>
          <c:showVal val="0"/>
          <c:showCatName val="0"/>
          <c:showSerName val="0"/>
          <c:showPercent val="0"/>
          <c:showBubbleSize val="0"/>
        </c:dLbls>
        <c:gapWidth val="150"/>
        <c:axId val="128083072"/>
        <c:axId val="128084608"/>
      </c:barChart>
      <c:catAx>
        <c:axId val="128083072"/>
        <c:scaling>
          <c:orientation val="minMax"/>
        </c:scaling>
        <c:delete val="0"/>
        <c:axPos val="b"/>
        <c:numFmt formatCode="General" sourceLinked="1"/>
        <c:majorTickMark val="none"/>
        <c:minorTickMark val="none"/>
        <c:tickLblPos val="nextTo"/>
        <c:crossAx val="128084608"/>
        <c:crosses val="autoZero"/>
        <c:auto val="1"/>
        <c:lblAlgn val="ctr"/>
        <c:lblOffset val="100"/>
        <c:noMultiLvlLbl val="0"/>
      </c:catAx>
      <c:valAx>
        <c:axId val="128084608"/>
        <c:scaling>
          <c:orientation val="minMax"/>
        </c:scaling>
        <c:delete val="0"/>
        <c:axPos val="l"/>
        <c:majorGridlines/>
        <c:title>
          <c:tx>
            <c:rich>
              <a:bodyPr/>
              <a:lstStyle/>
              <a:p>
                <a:pPr>
                  <a:defRPr/>
                </a:pPr>
                <a:r>
                  <a:rPr lang="en-IE"/>
                  <a:t>Total</a:t>
                </a:r>
              </a:p>
            </c:rich>
          </c:tx>
          <c:overlay val="0"/>
        </c:title>
        <c:numFmt formatCode="General" sourceLinked="1"/>
        <c:majorTickMark val="none"/>
        <c:minorTickMark val="none"/>
        <c:tickLblPos val="nextTo"/>
        <c:crossAx val="1280830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IE" sz="1100">
                <a:solidFill>
                  <a:schemeClr val="tx2"/>
                </a:solidFill>
              </a:rPr>
              <a:t>Graph 22: Percentage reduction in Staff 2008-2014</a:t>
            </a:r>
            <a:r>
              <a:rPr lang="en-IE" sz="1100" baseline="0">
                <a:solidFill>
                  <a:schemeClr val="tx2"/>
                </a:solidFill>
              </a:rPr>
              <a:t> by Public Sector Function</a:t>
            </a:r>
            <a:endParaRPr lang="en-IE" sz="1100">
              <a:solidFill>
                <a:schemeClr val="tx2"/>
              </a:solidFill>
            </a:endParaRPr>
          </a:p>
        </c:rich>
      </c:tx>
      <c:overlay val="0"/>
    </c:title>
    <c:autoTitleDeleted val="0"/>
    <c:plotArea>
      <c:layout/>
      <c:barChart>
        <c:barDir val="col"/>
        <c:grouping val="clustered"/>
        <c:varyColors val="0"/>
        <c:ser>
          <c:idx val="0"/>
          <c:order val="0"/>
          <c:tx>
            <c:v>Percentage</c:v>
          </c:tx>
          <c:invertIfNegative val="0"/>
          <c:dPt>
            <c:idx val="0"/>
            <c:invertIfNegative val="0"/>
            <c:bubble3D val="0"/>
            <c:spPr>
              <a:solidFill>
                <a:srgbClr val="418CE7"/>
              </a:solidFill>
            </c:spPr>
          </c:dPt>
          <c:dPt>
            <c:idx val="1"/>
            <c:invertIfNegative val="0"/>
            <c:bubble3D val="0"/>
            <c:spPr>
              <a:solidFill>
                <a:srgbClr val="418CE7"/>
              </a:solidFill>
            </c:spPr>
          </c:dPt>
          <c:dPt>
            <c:idx val="2"/>
            <c:invertIfNegative val="0"/>
            <c:bubble3D val="0"/>
            <c:spPr>
              <a:solidFill>
                <a:srgbClr val="418CE7"/>
              </a:solidFill>
            </c:spPr>
          </c:dPt>
          <c:cat>
            <c:strRef>
              <c:f>'Sector Staffing trends'!$J$88:$J$93</c:f>
              <c:strCache>
                <c:ptCount val="6"/>
                <c:pt idx="0">
                  <c:v>Education Sector</c:v>
                </c:pt>
                <c:pt idx="1">
                  <c:v>NCSA</c:v>
                </c:pt>
                <c:pt idx="2">
                  <c:v>Civil Service</c:v>
                </c:pt>
                <c:pt idx="3">
                  <c:v>Health Sector</c:v>
                </c:pt>
                <c:pt idx="4">
                  <c:v>Defence Sector</c:v>
                </c:pt>
                <c:pt idx="5">
                  <c:v>Local Authorities</c:v>
                </c:pt>
              </c:strCache>
            </c:strRef>
          </c:cat>
          <c:val>
            <c:numRef>
              <c:f>'Sector Staffing trends'!$K$88:$K$93</c:f>
              <c:numCache>
                <c:formatCode>General</c:formatCode>
                <c:ptCount val="6"/>
                <c:pt idx="0">
                  <c:v>9.4700000000000006</c:v>
                </c:pt>
                <c:pt idx="1">
                  <c:v>3.92</c:v>
                </c:pt>
                <c:pt idx="2">
                  <c:v>1.79</c:v>
                </c:pt>
                <c:pt idx="3">
                  <c:v>-2.56</c:v>
                </c:pt>
                <c:pt idx="4">
                  <c:v>-3.9699999999999998</c:v>
                </c:pt>
                <c:pt idx="5">
                  <c:v>-15.28</c:v>
                </c:pt>
              </c:numCache>
            </c:numRef>
          </c:val>
        </c:ser>
        <c:dLbls>
          <c:showLegendKey val="0"/>
          <c:showVal val="0"/>
          <c:showCatName val="0"/>
          <c:showSerName val="0"/>
          <c:showPercent val="0"/>
          <c:showBubbleSize val="0"/>
        </c:dLbls>
        <c:gapWidth val="150"/>
        <c:axId val="128112128"/>
        <c:axId val="128113664"/>
      </c:barChart>
      <c:catAx>
        <c:axId val="128112128"/>
        <c:scaling>
          <c:orientation val="minMax"/>
        </c:scaling>
        <c:delete val="0"/>
        <c:axPos val="b"/>
        <c:majorTickMark val="none"/>
        <c:minorTickMark val="none"/>
        <c:tickLblPos val="nextTo"/>
        <c:crossAx val="128113664"/>
        <c:crosses val="autoZero"/>
        <c:auto val="1"/>
        <c:lblAlgn val="ctr"/>
        <c:lblOffset val="100"/>
        <c:noMultiLvlLbl val="0"/>
      </c:catAx>
      <c:valAx>
        <c:axId val="128113664"/>
        <c:scaling>
          <c:orientation val="minMax"/>
        </c:scaling>
        <c:delete val="0"/>
        <c:axPos val="l"/>
        <c:majorGridlines/>
        <c:numFmt formatCode="General" sourceLinked="1"/>
        <c:majorTickMark val="none"/>
        <c:minorTickMark val="none"/>
        <c:tickLblPos val="nextTo"/>
        <c:crossAx val="1281121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E" sz="1100">
                <a:solidFill>
                  <a:schemeClr val="tx2"/>
                </a:solidFill>
              </a:rPr>
              <a:t>Graph 23:</a:t>
            </a:r>
            <a:r>
              <a:rPr lang="en-IE" sz="1100" baseline="0">
                <a:solidFill>
                  <a:schemeClr val="tx2"/>
                </a:solidFill>
              </a:rPr>
              <a:t> </a:t>
            </a:r>
            <a:r>
              <a:rPr lang="en-IE" sz="1100">
                <a:solidFill>
                  <a:schemeClr val="tx2"/>
                </a:solidFill>
              </a:rPr>
              <a:t>Median</a:t>
            </a:r>
            <a:r>
              <a:rPr lang="en-IE" sz="1100" baseline="0">
                <a:solidFill>
                  <a:schemeClr val="tx2"/>
                </a:solidFill>
              </a:rPr>
              <a:t> Average days lost to medically certified/ self certified leave 2010-2014</a:t>
            </a:r>
            <a:endParaRPr lang="en-IE" sz="1100">
              <a:solidFill>
                <a:schemeClr val="tx2"/>
              </a:solidFill>
            </a:endParaRPr>
          </a:p>
        </c:rich>
      </c:tx>
      <c:overlay val="0"/>
    </c:title>
    <c:autoTitleDeleted val="0"/>
    <c:plotArea>
      <c:layout/>
      <c:lineChart>
        <c:grouping val="standard"/>
        <c:varyColors val="0"/>
        <c:ser>
          <c:idx val="0"/>
          <c:order val="0"/>
          <c:tx>
            <c:strRef>
              <c:f>Corporate!$E$50</c:f>
              <c:strCache>
                <c:ptCount val="1"/>
                <c:pt idx="0">
                  <c:v>medically certified leave</c:v>
                </c:pt>
              </c:strCache>
            </c:strRef>
          </c:tx>
          <c:cat>
            <c:numRef>
              <c:f>Corporate!$F$49:$J$49</c:f>
              <c:numCache>
                <c:formatCode>General</c:formatCode>
                <c:ptCount val="5"/>
                <c:pt idx="0">
                  <c:v>2010</c:v>
                </c:pt>
                <c:pt idx="1">
                  <c:v>2011</c:v>
                </c:pt>
                <c:pt idx="2">
                  <c:v>2012</c:v>
                </c:pt>
                <c:pt idx="3">
                  <c:v>2013</c:v>
                </c:pt>
                <c:pt idx="4">
                  <c:v>2014</c:v>
                </c:pt>
              </c:numCache>
            </c:numRef>
          </c:cat>
          <c:val>
            <c:numRef>
              <c:f>Corporate!$F$50:$J$50</c:f>
              <c:numCache>
                <c:formatCode>General</c:formatCode>
                <c:ptCount val="5"/>
                <c:pt idx="0">
                  <c:v>4.46</c:v>
                </c:pt>
                <c:pt idx="1">
                  <c:v>4.4400000000000004</c:v>
                </c:pt>
                <c:pt idx="2">
                  <c:v>4.26</c:v>
                </c:pt>
                <c:pt idx="3">
                  <c:v>4.1499999999999995</c:v>
                </c:pt>
                <c:pt idx="4">
                  <c:v>3.53</c:v>
                </c:pt>
              </c:numCache>
            </c:numRef>
          </c:val>
          <c:smooth val="0"/>
        </c:ser>
        <c:ser>
          <c:idx val="1"/>
          <c:order val="1"/>
          <c:tx>
            <c:strRef>
              <c:f>Corporate!$E$51</c:f>
              <c:strCache>
                <c:ptCount val="1"/>
                <c:pt idx="0">
                  <c:v>self certified leave</c:v>
                </c:pt>
              </c:strCache>
            </c:strRef>
          </c:tx>
          <c:cat>
            <c:numRef>
              <c:f>Corporate!$F$49:$J$49</c:f>
              <c:numCache>
                <c:formatCode>General</c:formatCode>
                <c:ptCount val="5"/>
                <c:pt idx="0">
                  <c:v>2010</c:v>
                </c:pt>
                <c:pt idx="1">
                  <c:v>2011</c:v>
                </c:pt>
                <c:pt idx="2">
                  <c:v>2012</c:v>
                </c:pt>
                <c:pt idx="3">
                  <c:v>2013</c:v>
                </c:pt>
                <c:pt idx="4">
                  <c:v>2014</c:v>
                </c:pt>
              </c:numCache>
            </c:numRef>
          </c:cat>
          <c:val>
            <c:numRef>
              <c:f>Corporate!$F$51:$J$51</c:f>
              <c:numCache>
                <c:formatCode>General</c:formatCode>
                <c:ptCount val="5"/>
                <c:pt idx="0">
                  <c:v>0.61000000000000065</c:v>
                </c:pt>
                <c:pt idx="1">
                  <c:v>0.65000000000000313</c:v>
                </c:pt>
                <c:pt idx="2">
                  <c:v>0.54</c:v>
                </c:pt>
                <c:pt idx="3">
                  <c:v>0.36000000000000032</c:v>
                </c:pt>
                <c:pt idx="4">
                  <c:v>0.34</c:v>
                </c:pt>
              </c:numCache>
            </c:numRef>
          </c:val>
          <c:smooth val="0"/>
        </c:ser>
        <c:dLbls>
          <c:showLegendKey val="0"/>
          <c:showVal val="0"/>
          <c:showCatName val="0"/>
          <c:showSerName val="0"/>
          <c:showPercent val="0"/>
          <c:showBubbleSize val="0"/>
        </c:dLbls>
        <c:marker val="1"/>
        <c:smooth val="0"/>
        <c:axId val="128152704"/>
        <c:axId val="128154240"/>
      </c:lineChart>
      <c:catAx>
        <c:axId val="128152704"/>
        <c:scaling>
          <c:orientation val="minMax"/>
        </c:scaling>
        <c:delete val="0"/>
        <c:axPos val="b"/>
        <c:numFmt formatCode="General" sourceLinked="1"/>
        <c:majorTickMark val="none"/>
        <c:minorTickMark val="none"/>
        <c:tickLblPos val="nextTo"/>
        <c:crossAx val="128154240"/>
        <c:crosses val="autoZero"/>
        <c:auto val="1"/>
        <c:lblAlgn val="ctr"/>
        <c:lblOffset val="100"/>
        <c:noMultiLvlLbl val="0"/>
      </c:catAx>
      <c:valAx>
        <c:axId val="128154240"/>
        <c:scaling>
          <c:orientation val="minMax"/>
        </c:scaling>
        <c:delete val="0"/>
        <c:axPos val="l"/>
        <c:majorGridlines/>
        <c:title>
          <c:tx>
            <c:rich>
              <a:bodyPr/>
              <a:lstStyle/>
              <a:p>
                <a:pPr>
                  <a:defRPr/>
                </a:pPr>
                <a:r>
                  <a:rPr lang="en-US"/>
                  <a:t>% Days</a:t>
                </a:r>
              </a:p>
            </c:rich>
          </c:tx>
          <c:overlay val="0"/>
        </c:title>
        <c:numFmt formatCode="General" sourceLinked="1"/>
        <c:majorTickMark val="none"/>
        <c:minorTickMark val="none"/>
        <c:tickLblPos val="nextTo"/>
        <c:crossAx val="128152704"/>
        <c:crosses val="autoZero"/>
        <c:crossBetween val="between"/>
      </c:valAx>
    </c:plotArea>
    <c:legend>
      <c:legendPos val="r"/>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E" sz="1200" b="1" i="0" baseline="0">
                <a:solidFill>
                  <a:schemeClr val="tx2"/>
                </a:solidFill>
              </a:rPr>
              <a:t>Graph 24: 5 Year Summary Revenue Account Balances  €M(2010-2014)</a:t>
            </a:r>
          </a:p>
        </c:rich>
      </c:tx>
      <c:overlay val="0"/>
    </c:title>
    <c:autoTitleDeleted val="0"/>
    <c:plotArea>
      <c:layout/>
      <c:barChart>
        <c:barDir val="col"/>
        <c:grouping val="clustered"/>
        <c:varyColors val="0"/>
        <c:ser>
          <c:idx val="1"/>
          <c:order val="0"/>
          <c:tx>
            <c:v>€M </c:v>
          </c:tx>
          <c:invertIfNegative val="0"/>
          <c:cat>
            <c:strLit>
              <c:ptCount val="5"/>
              <c:pt idx="0">
                <c:v>2010</c:v>
              </c:pt>
              <c:pt idx="1">
                <c:v>2011</c:v>
              </c:pt>
              <c:pt idx="2">
                <c:v>2012</c:v>
              </c:pt>
              <c:pt idx="3">
                <c:v>2013</c:v>
              </c:pt>
              <c:pt idx="4">
                <c:v>2014</c:v>
              </c:pt>
            </c:strLit>
          </c:cat>
          <c:val>
            <c:numRef>
              <c:f>'Finance - revenue'!$C$55:$C$59</c:f>
              <c:numCache>
                <c:formatCode>_("€"* #,##0_);_("€"* \(#,##0\);_("€"* "-"_);_(@_)</c:formatCode>
                <c:ptCount val="5"/>
                <c:pt idx="0">
                  <c:v>34.300000000000011</c:v>
                </c:pt>
                <c:pt idx="1">
                  <c:v>37.6</c:v>
                </c:pt>
                <c:pt idx="2">
                  <c:v>12.4</c:v>
                </c:pt>
                <c:pt idx="3">
                  <c:v>11.2</c:v>
                </c:pt>
                <c:pt idx="4">
                  <c:v>3.3</c:v>
                </c:pt>
              </c:numCache>
            </c:numRef>
          </c:val>
        </c:ser>
        <c:dLbls>
          <c:showLegendKey val="0"/>
          <c:showVal val="0"/>
          <c:showCatName val="0"/>
          <c:showSerName val="0"/>
          <c:showPercent val="0"/>
          <c:showBubbleSize val="0"/>
        </c:dLbls>
        <c:gapWidth val="150"/>
        <c:axId val="128179200"/>
        <c:axId val="120525568"/>
      </c:barChart>
      <c:catAx>
        <c:axId val="128179200"/>
        <c:scaling>
          <c:orientation val="minMax"/>
        </c:scaling>
        <c:delete val="0"/>
        <c:axPos val="b"/>
        <c:majorTickMark val="none"/>
        <c:minorTickMark val="none"/>
        <c:tickLblPos val="nextTo"/>
        <c:crossAx val="120525568"/>
        <c:crosses val="autoZero"/>
        <c:auto val="1"/>
        <c:lblAlgn val="ctr"/>
        <c:lblOffset val="100"/>
        <c:noMultiLvlLbl val="0"/>
      </c:catAx>
      <c:valAx>
        <c:axId val="120525568"/>
        <c:scaling>
          <c:orientation val="minMax"/>
        </c:scaling>
        <c:delete val="0"/>
        <c:axPos val="l"/>
        <c:majorGridlines/>
        <c:numFmt formatCode="_(&quot;€&quot;* #,##0_);_(&quot;€&quot;* \(#,##0\);_(&quot;€&quot;* &quot;-&quot;_);_(@_)" sourceLinked="1"/>
        <c:majorTickMark val="none"/>
        <c:minorTickMark val="none"/>
        <c:tickLblPos val="nextTo"/>
        <c:crossAx val="128179200"/>
        <c:crosses val="autoZero"/>
        <c:crossBetween val="between"/>
      </c:valAx>
    </c:plotArea>
    <c:legend>
      <c:legendPos val="r"/>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E" sz="1100" b="1" i="0" u="none" strike="noStrike" baseline="0">
                <a:solidFill>
                  <a:schemeClr val="tx2"/>
                </a:solidFill>
              </a:rPr>
              <a:t>Graph 25: Average % collection levels for Rates/Rent/Loans (2010-2014)</a:t>
            </a:r>
            <a:endParaRPr lang="en-IE" sz="1100">
              <a:solidFill>
                <a:schemeClr val="tx2"/>
              </a:solidFill>
            </a:endParaRPr>
          </a:p>
        </c:rich>
      </c:tx>
      <c:overlay val="0"/>
    </c:title>
    <c:autoTitleDeleted val="0"/>
    <c:plotArea>
      <c:layout/>
      <c:scatterChart>
        <c:scatterStyle val="smoothMarker"/>
        <c:varyColors val="0"/>
        <c:ser>
          <c:idx val="0"/>
          <c:order val="0"/>
          <c:tx>
            <c:v>rates</c:v>
          </c:tx>
          <c:xVal>
            <c:numRef>
              <c:f>'Finance - rates'!$B$47:$B$51</c:f>
              <c:numCache>
                <c:formatCode>General</c:formatCode>
                <c:ptCount val="5"/>
                <c:pt idx="0">
                  <c:v>2010</c:v>
                </c:pt>
                <c:pt idx="1">
                  <c:v>2011</c:v>
                </c:pt>
                <c:pt idx="2">
                  <c:v>2012</c:v>
                </c:pt>
                <c:pt idx="3">
                  <c:v>2013</c:v>
                </c:pt>
                <c:pt idx="4">
                  <c:v>2014</c:v>
                </c:pt>
              </c:numCache>
            </c:numRef>
          </c:xVal>
          <c:yVal>
            <c:numRef>
              <c:f>'Finance - rates'!$C$47:$C$51</c:f>
              <c:numCache>
                <c:formatCode>#,##0.00</c:formatCode>
                <c:ptCount val="5"/>
                <c:pt idx="0">
                  <c:v>78.096774193548214</c:v>
                </c:pt>
                <c:pt idx="1">
                  <c:v>74.806451612903189</c:v>
                </c:pt>
                <c:pt idx="2">
                  <c:v>72.322580645161281</c:v>
                </c:pt>
                <c:pt idx="3">
                  <c:v>72.483870967741908</c:v>
                </c:pt>
                <c:pt idx="4">
                  <c:v>73.064516129032327</c:v>
                </c:pt>
              </c:numCache>
            </c:numRef>
          </c:yVal>
          <c:smooth val="1"/>
        </c:ser>
        <c:ser>
          <c:idx val="1"/>
          <c:order val="1"/>
          <c:tx>
            <c:v>rent</c:v>
          </c:tx>
          <c:xVal>
            <c:numRef>
              <c:f>'Finance - rates'!$B$47:$B$51</c:f>
              <c:numCache>
                <c:formatCode>General</c:formatCode>
                <c:ptCount val="5"/>
                <c:pt idx="0">
                  <c:v>2010</c:v>
                </c:pt>
                <c:pt idx="1">
                  <c:v>2011</c:v>
                </c:pt>
                <c:pt idx="2">
                  <c:v>2012</c:v>
                </c:pt>
                <c:pt idx="3">
                  <c:v>2013</c:v>
                </c:pt>
                <c:pt idx="4">
                  <c:v>2014</c:v>
                </c:pt>
              </c:numCache>
            </c:numRef>
          </c:xVal>
          <c:yVal>
            <c:numRef>
              <c:f>'Finance - rates'!$D$47:$D$51</c:f>
              <c:numCache>
                <c:formatCode>General</c:formatCode>
                <c:ptCount val="5"/>
                <c:pt idx="0">
                  <c:v>88.39</c:v>
                </c:pt>
                <c:pt idx="1">
                  <c:v>87.35</c:v>
                </c:pt>
                <c:pt idx="2">
                  <c:v>86.710000000000022</c:v>
                </c:pt>
                <c:pt idx="3">
                  <c:v>86.39</c:v>
                </c:pt>
                <c:pt idx="4">
                  <c:v>86.55</c:v>
                </c:pt>
              </c:numCache>
            </c:numRef>
          </c:yVal>
          <c:smooth val="1"/>
        </c:ser>
        <c:ser>
          <c:idx val="2"/>
          <c:order val="2"/>
          <c:tx>
            <c:v>loans</c:v>
          </c:tx>
          <c:xVal>
            <c:numRef>
              <c:f>'Finance - rates'!$B$47:$B$51</c:f>
              <c:numCache>
                <c:formatCode>General</c:formatCode>
                <c:ptCount val="5"/>
                <c:pt idx="0">
                  <c:v>2010</c:v>
                </c:pt>
                <c:pt idx="1">
                  <c:v>2011</c:v>
                </c:pt>
                <c:pt idx="2">
                  <c:v>2012</c:v>
                </c:pt>
                <c:pt idx="3">
                  <c:v>2013</c:v>
                </c:pt>
                <c:pt idx="4">
                  <c:v>2014</c:v>
                </c:pt>
              </c:numCache>
            </c:numRef>
          </c:xVal>
          <c:yVal>
            <c:numRef>
              <c:f>'Finance - rates'!$E$47:$E$51</c:f>
              <c:numCache>
                <c:formatCode>0.00</c:formatCode>
                <c:ptCount val="5"/>
                <c:pt idx="0">
                  <c:v>78.322580645161281</c:v>
                </c:pt>
                <c:pt idx="1">
                  <c:v>74.39</c:v>
                </c:pt>
                <c:pt idx="2">
                  <c:v>69.19</c:v>
                </c:pt>
                <c:pt idx="3">
                  <c:v>68.03</c:v>
                </c:pt>
                <c:pt idx="4">
                  <c:v>67.23</c:v>
                </c:pt>
              </c:numCache>
            </c:numRef>
          </c:yVal>
          <c:smooth val="1"/>
        </c:ser>
        <c:dLbls>
          <c:showLegendKey val="0"/>
          <c:showVal val="0"/>
          <c:showCatName val="0"/>
          <c:showSerName val="0"/>
          <c:showPercent val="0"/>
          <c:showBubbleSize val="0"/>
        </c:dLbls>
        <c:axId val="120547584"/>
        <c:axId val="120553856"/>
      </c:scatterChart>
      <c:valAx>
        <c:axId val="120547584"/>
        <c:scaling>
          <c:orientation val="minMax"/>
        </c:scaling>
        <c:delete val="0"/>
        <c:axPos val="b"/>
        <c:title>
          <c:tx>
            <c:rich>
              <a:bodyPr/>
              <a:lstStyle/>
              <a:p>
                <a:pPr>
                  <a:defRPr/>
                </a:pPr>
                <a:r>
                  <a:rPr lang="en-US"/>
                  <a:t>Year</a:t>
                </a:r>
              </a:p>
            </c:rich>
          </c:tx>
          <c:overlay val="0"/>
        </c:title>
        <c:numFmt formatCode="General" sourceLinked="1"/>
        <c:majorTickMark val="none"/>
        <c:minorTickMark val="none"/>
        <c:tickLblPos val="nextTo"/>
        <c:crossAx val="120553856"/>
        <c:crosses val="autoZero"/>
        <c:crossBetween val="midCat"/>
      </c:valAx>
      <c:valAx>
        <c:axId val="120553856"/>
        <c:scaling>
          <c:orientation val="minMax"/>
        </c:scaling>
        <c:delete val="0"/>
        <c:axPos val="l"/>
        <c:majorGridlines/>
        <c:title>
          <c:tx>
            <c:rich>
              <a:bodyPr/>
              <a:lstStyle/>
              <a:p>
                <a:pPr>
                  <a:defRPr/>
                </a:pPr>
                <a:r>
                  <a:rPr lang="en-US"/>
                  <a:t>Mean %</a:t>
                </a:r>
              </a:p>
            </c:rich>
          </c:tx>
          <c:overlay val="0"/>
        </c:title>
        <c:numFmt formatCode="#,##0.00" sourceLinked="1"/>
        <c:majorTickMark val="none"/>
        <c:minorTickMark val="none"/>
        <c:tickLblPos val="nextTo"/>
        <c:crossAx val="120547584"/>
        <c:crosses val="autoZero"/>
        <c:crossBetween val="midCat"/>
      </c:valAx>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solidFill>
                  <a:schemeClr val="tx2"/>
                </a:solidFill>
              </a:rPr>
              <a:t>Graph 26: Trend in Business Insolvencies 2010 - 2014</a:t>
            </a:r>
          </a:p>
        </c:rich>
      </c:tx>
      <c:overlay val="0"/>
    </c:title>
    <c:autoTitleDeleted val="0"/>
    <c:plotArea>
      <c:layout/>
      <c:lineChart>
        <c:grouping val="standard"/>
        <c:varyColors val="0"/>
        <c:ser>
          <c:idx val="0"/>
          <c:order val="0"/>
          <c:tx>
            <c:v>Trend in Business Insolvencies 2010 - 2014</c:v>
          </c:tx>
          <c:marker>
            <c:symbol val="none"/>
          </c:marker>
          <c:cat>
            <c:strLit>
              <c:ptCount val="5"/>
              <c:pt idx="0">
                <c:v>2010</c:v>
              </c:pt>
              <c:pt idx="1">
                <c:v>2011</c:v>
              </c:pt>
              <c:pt idx="2">
                <c:v>2012</c:v>
              </c:pt>
              <c:pt idx="3">
                <c:v>2013</c:v>
              </c:pt>
              <c:pt idx="4">
                <c:v>2014</c:v>
              </c:pt>
            </c:strLit>
          </c:cat>
          <c:val>
            <c:numRef>
              <c:f>Sheet1!$G$5:$G$9</c:f>
              <c:numCache>
                <c:formatCode>General</c:formatCode>
                <c:ptCount val="5"/>
                <c:pt idx="0" formatCode="#,##0.00">
                  <c:v>2307</c:v>
                </c:pt>
                <c:pt idx="1">
                  <c:v>8732.2999999999975</c:v>
                </c:pt>
                <c:pt idx="2" formatCode="#,##0.00">
                  <c:v>7183.8</c:v>
                </c:pt>
                <c:pt idx="3">
                  <c:v>0</c:v>
                </c:pt>
                <c:pt idx="4" formatCode="#,##0.00">
                  <c:v>25787</c:v>
                </c:pt>
              </c:numCache>
            </c:numRef>
          </c:val>
          <c:smooth val="0"/>
        </c:ser>
        <c:dLbls>
          <c:showLegendKey val="0"/>
          <c:showVal val="0"/>
          <c:showCatName val="0"/>
          <c:showSerName val="0"/>
          <c:showPercent val="0"/>
          <c:showBubbleSize val="0"/>
        </c:dLbls>
        <c:marker val="1"/>
        <c:smooth val="0"/>
        <c:axId val="120579200"/>
        <c:axId val="120580736"/>
      </c:lineChart>
      <c:catAx>
        <c:axId val="120579200"/>
        <c:scaling>
          <c:orientation val="minMax"/>
        </c:scaling>
        <c:delete val="0"/>
        <c:axPos val="b"/>
        <c:majorTickMark val="none"/>
        <c:minorTickMark val="none"/>
        <c:tickLblPos val="nextTo"/>
        <c:crossAx val="120580736"/>
        <c:crosses val="autoZero"/>
        <c:auto val="1"/>
        <c:lblAlgn val="ctr"/>
        <c:lblOffset val="100"/>
        <c:noMultiLvlLbl val="0"/>
      </c:catAx>
      <c:valAx>
        <c:axId val="120580736"/>
        <c:scaling>
          <c:orientation val="minMax"/>
        </c:scaling>
        <c:delete val="0"/>
        <c:axPos val="l"/>
        <c:majorGridlines/>
        <c:numFmt formatCode="#,##0.00" sourceLinked="1"/>
        <c:majorTickMark val="none"/>
        <c:minorTickMark val="none"/>
        <c:tickLblPos val="nextTo"/>
        <c:crossAx val="1205792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solidFill>
                  <a:schemeClr val="tx2"/>
                </a:solidFill>
              </a:rPr>
              <a:t>Graph 3: Local Authority Budgeted Sources of Income* 2010 and 2014 €M</a:t>
            </a:r>
          </a:p>
        </c:rich>
      </c:tx>
      <c:overlay val="0"/>
    </c:title>
    <c:autoTitleDeleted val="0"/>
    <c:plotArea>
      <c:layout/>
      <c:barChart>
        <c:barDir val="col"/>
        <c:grouping val="clustered"/>
        <c:varyColors val="0"/>
        <c:ser>
          <c:idx val="0"/>
          <c:order val="0"/>
          <c:tx>
            <c:v>2010</c:v>
          </c:tx>
          <c:invertIfNegative val="0"/>
          <c:cat>
            <c:strRef>
              <c:f>Sheet1!$A$23:$A$26</c:f>
              <c:strCache>
                <c:ptCount val="4"/>
                <c:pt idx="0">
                  <c:v>Government Grants/Subsidies</c:v>
                </c:pt>
                <c:pt idx="1">
                  <c:v>LGF General-Purpose Grant </c:v>
                </c:pt>
                <c:pt idx="2">
                  <c:v>Goods/Services</c:v>
                </c:pt>
                <c:pt idx="3">
                  <c:v>Commercial Rates</c:v>
                </c:pt>
              </c:strCache>
            </c:strRef>
          </c:cat>
          <c:val>
            <c:numRef>
              <c:f>Sheet1!$B$23:$B$26</c:f>
              <c:numCache>
                <c:formatCode>"€"#,##0</c:formatCode>
                <c:ptCount val="4"/>
                <c:pt idx="0">
                  <c:v>1105.4000000000001</c:v>
                </c:pt>
                <c:pt idx="1">
                  <c:v>773.9</c:v>
                </c:pt>
                <c:pt idx="2">
                  <c:v>1324.8</c:v>
                </c:pt>
                <c:pt idx="3">
                  <c:v>1358.7</c:v>
                </c:pt>
              </c:numCache>
            </c:numRef>
          </c:val>
        </c:ser>
        <c:ser>
          <c:idx val="1"/>
          <c:order val="1"/>
          <c:tx>
            <c:v>2014</c:v>
          </c:tx>
          <c:invertIfNegative val="0"/>
          <c:cat>
            <c:strRef>
              <c:f>Sheet1!$A$23:$A$26</c:f>
              <c:strCache>
                <c:ptCount val="4"/>
                <c:pt idx="0">
                  <c:v>Government Grants/Subsidies</c:v>
                </c:pt>
                <c:pt idx="1">
                  <c:v>LGF General-Purpose Grant </c:v>
                </c:pt>
                <c:pt idx="2">
                  <c:v>Goods/Services</c:v>
                </c:pt>
                <c:pt idx="3">
                  <c:v>Commercial Rates</c:v>
                </c:pt>
              </c:strCache>
            </c:strRef>
          </c:cat>
          <c:val>
            <c:numRef>
              <c:f>Sheet1!$C$23:$C$26</c:f>
              <c:numCache>
                <c:formatCode>"€"#,##0</c:formatCode>
                <c:ptCount val="4"/>
                <c:pt idx="0">
                  <c:v>809.6</c:v>
                </c:pt>
                <c:pt idx="1">
                  <c:v>284.3</c:v>
                </c:pt>
                <c:pt idx="2">
                  <c:v>1490.7</c:v>
                </c:pt>
                <c:pt idx="3">
                  <c:v>1490.1</c:v>
                </c:pt>
              </c:numCache>
            </c:numRef>
          </c:val>
        </c:ser>
        <c:dLbls>
          <c:showLegendKey val="0"/>
          <c:showVal val="0"/>
          <c:showCatName val="0"/>
          <c:showSerName val="0"/>
          <c:showPercent val="0"/>
          <c:showBubbleSize val="0"/>
        </c:dLbls>
        <c:gapWidth val="150"/>
        <c:axId val="72678016"/>
        <c:axId val="72688000"/>
      </c:barChart>
      <c:catAx>
        <c:axId val="72678016"/>
        <c:scaling>
          <c:orientation val="minMax"/>
        </c:scaling>
        <c:delete val="0"/>
        <c:axPos val="b"/>
        <c:majorTickMark val="none"/>
        <c:minorTickMark val="none"/>
        <c:tickLblPos val="nextTo"/>
        <c:crossAx val="72688000"/>
        <c:crosses val="autoZero"/>
        <c:auto val="1"/>
        <c:lblAlgn val="ctr"/>
        <c:lblOffset val="100"/>
        <c:noMultiLvlLbl val="0"/>
      </c:catAx>
      <c:valAx>
        <c:axId val="72688000"/>
        <c:scaling>
          <c:orientation val="minMax"/>
        </c:scaling>
        <c:delete val="0"/>
        <c:axPos val="l"/>
        <c:majorGridlines/>
        <c:numFmt formatCode="&quot;€&quot;#,##0" sourceLinked="1"/>
        <c:majorTickMark val="none"/>
        <c:minorTickMark val="none"/>
        <c:tickLblPos val="nextTo"/>
        <c:crossAx val="7267801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en-IE" sz="1200">
                <a:solidFill>
                  <a:schemeClr val="tx2"/>
                </a:solidFill>
              </a:rPr>
              <a:t>Graph 4</a:t>
            </a:r>
            <a:r>
              <a:rPr lang="en-IE" sz="1200" baseline="0">
                <a:solidFill>
                  <a:schemeClr val="tx2"/>
                </a:solidFill>
              </a:rPr>
              <a:t> : </a:t>
            </a:r>
            <a:r>
              <a:rPr lang="en-IE" sz="1200">
                <a:solidFill>
                  <a:schemeClr val="tx2"/>
                </a:solidFill>
              </a:rPr>
              <a:t>% Allocation of Social Housing</a:t>
            </a:r>
          </a:p>
          <a:p>
            <a:pPr algn="ctr">
              <a:defRPr sz="1200"/>
            </a:pPr>
            <a:r>
              <a:rPr lang="en-IE" sz="1200">
                <a:solidFill>
                  <a:schemeClr val="tx2"/>
                </a:solidFill>
              </a:rPr>
              <a:t>Provided 01/01/2014-31/12/2014</a:t>
            </a:r>
          </a:p>
        </c:rich>
      </c:tx>
      <c:layout>
        <c:manualLayout>
          <c:xMode val="edge"/>
          <c:yMode val="edge"/>
          <c:x val="0.1761726321605922"/>
          <c:y val="2.3148068834491768E-2"/>
        </c:manualLayout>
      </c:layout>
      <c:overlay val="0"/>
    </c:title>
    <c:autoTitleDeleted val="0"/>
    <c:plotArea>
      <c:layout/>
      <c:pieChart>
        <c:varyColors val="1"/>
        <c:ser>
          <c:idx val="0"/>
          <c:order val="0"/>
          <c:dLbls>
            <c:dLbl>
              <c:idx val="0"/>
              <c:tx>
                <c:rich>
                  <a:bodyPr/>
                  <a:lstStyle/>
                  <a:p>
                    <a:r>
                      <a:rPr lang="en-US"/>
                      <a:t>17.59%</a:t>
                    </a:r>
                  </a:p>
                </c:rich>
              </c:tx>
              <c:showLegendKey val="0"/>
              <c:showVal val="0"/>
              <c:showCatName val="0"/>
              <c:showSerName val="0"/>
              <c:showPercent val="1"/>
              <c:showBubbleSize val="0"/>
            </c:dLbl>
            <c:dLbl>
              <c:idx val="1"/>
              <c:tx>
                <c:rich>
                  <a:bodyPr/>
                  <a:lstStyle/>
                  <a:p>
                    <a:r>
                      <a:rPr lang="en-US"/>
                      <a:t>45.62%</a:t>
                    </a:r>
                  </a:p>
                </c:rich>
              </c:tx>
              <c:showLegendKey val="0"/>
              <c:showVal val="0"/>
              <c:showCatName val="0"/>
              <c:showSerName val="0"/>
              <c:showPercent val="1"/>
              <c:showBubbleSize val="0"/>
            </c:dLbl>
            <c:dLbl>
              <c:idx val="2"/>
              <c:tx>
                <c:rich>
                  <a:bodyPr/>
                  <a:lstStyle/>
                  <a:p>
                    <a:r>
                      <a:rPr lang="en-US"/>
                      <a:t>12.39%</a:t>
                    </a:r>
                  </a:p>
                </c:rich>
              </c:tx>
              <c:showLegendKey val="0"/>
              <c:showVal val="0"/>
              <c:showCatName val="0"/>
              <c:showSerName val="0"/>
              <c:showPercent val="1"/>
              <c:showBubbleSize val="0"/>
            </c:dLbl>
            <c:dLbl>
              <c:idx val="3"/>
              <c:tx>
                <c:rich>
                  <a:bodyPr/>
                  <a:lstStyle/>
                  <a:p>
                    <a:r>
                      <a:rPr lang="en-US"/>
                      <a:t>24.40%</a:t>
                    </a:r>
                  </a:p>
                </c:rich>
              </c:tx>
              <c:showLegendKey val="0"/>
              <c:showVal val="0"/>
              <c:showCatName val="0"/>
              <c:showSerName val="0"/>
              <c:showPercent val="1"/>
              <c:showBubbleSize val="0"/>
            </c:dLbl>
            <c:spPr>
              <a:ln>
                <a:noFill/>
              </a:ln>
            </c:spPr>
            <c:showLegendKey val="0"/>
            <c:showVal val="0"/>
            <c:showCatName val="0"/>
            <c:showSerName val="0"/>
            <c:showPercent val="1"/>
            <c:showBubbleSize val="0"/>
            <c:showLeaderLines val="0"/>
          </c:dLbls>
          <c:cat>
            <c:strRef>
              <c:f>'Social Housing Stock'!$E$46:$H$46</c:f>
              <c:strCache>
                <c:ptCount val="4"/>
                <c:pt idx="0">
                  <c:v>Directly provided</c:v>
                </c:pt>
                <c:pt idx="1">
                  <c:v>RAS</c:v>
                </c:pt>
                <c:pt idx="2">
                  <c:v>HAP</c:v>
                </c:pt>
                <c:pt idx="3">
                  <c:v>SHLI</c:v>
                </c:pt>
              </c:strCache>
            </c:strRef>
          </c:cat>
          <c:val>
            <c:numRef>
              <c:f>'Social Housing Stock'!$E$47:$H$47</c:f>
              <c:numCache>
                <c:formatCode>0.00</c:formatCode>
                <c:ptCount val="4"/>
                <c:pt idx="0">
                  <c:v>17.643979057591633</c:v>
                </c:pt>
                <c:pt idx="1">
                  <c:v>45.759162303664915</c:v>
                </c:pt>
                <c:pt idx="2">
                  <c:v>12.120418848167539</c:v>
                </c:pt>
                <c:pt idx="3">
                  <c:v>24.476439790575721</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gap"/>
    <c:showDLblsOverMax val="0"/>
  </c:chart>
  <c:spPr>
    <a:solidFill>
      <a:schemeClr val="bg1"/>
    </a:solidFill>
    <a:ln w="9525">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E" sz="1200">
                <a:solidFill>
                  <a:schemeClr val="tx2"/>
                </a:solidFill>
              </a:rPr>
              <a:t>Graph 5:</a:t>
            </a:r>
            <a:r>
              <a:rPr lang="en-IE" sz="1200" baseline="0">
                <a:solidFill>
                  <a:schemeClr val="tx2"/>
                </a:solidFill>
              </a:rPr>
              <a:t> % Allocation of total </a:t>
            </a:r>
            <a:r>
              <a:rPr lang="en-IE" sz="1200">
                <a:solidFill>
                  <a:schemeClr val="tx2"/>
                </a:solidFill>
              </a:rPr>
              <a:t> Social Housing as at 31/12/2014</a:t>
            </a:r>
          </a:p>
        </c:rich>
      </c:tx>
      <c:overlay val="0"/>
    </c:title>
    <c:autoTitleDeleted val="0"/>
    <c:plotArea>
      <c:layout>
        <c:manualLayout>
          <c:layoutTarget val="inner"/>
          <c:xMode val="edge"/>
          <c:yMode val="edge"/>
          <c:x val="0.19986627081450883"/>
          <c:y val="0.33563555761752584"/>
          <c:w val="0.57422718471665335"/>
          <c:h val="0.6631971299917887"/>
        </c:manualLayout>
      </c:layout>
      <c:pieChart>
        <c:varyColors val="1"/>
        <c:ser>
          <c:idx val="0"/>
          <c:order val="0"/>
          <c:dPt>
            <c:idx val="2"/>
            <c:bubble3D val="0"/>
            <c:explosion val="33"/>
          </c:dPt>
          <c:dLbls>
            <c:dLbl>
              <c:idx val="0"/>
              <c:tx>
                <c:rich>
                  <a:bodyPr/>
                  <a:lstStyle/>
                  <a:p>
                    <a:r>
                      <a:rPr lang="en-US"/>
                      <a:t>84.22%</a:t>
                    </a:r>
                  </a:p>
                </c:rich>
              </c:tx>
              <c:showLegendKey val="0"/>
              <c:showVal val="0"/>
              <c:showCatName val="0"/>
              <c:showSerName val="0"/>
              <c:showPercent val="1"/>
              <c:showBubbleSize val="0"/>
            </c:dLbl>
            <c:dLbl>
              <c:idx val="1"/>
              <c:tx>
                <c:rich>
                  <a:bodyPr/>
                  <a:lstStyle/>
                  <a:p>
                    <a:r>
                      <a:rPr lang="en-US"/>
                      <a:t>11.84%</a:t>
                    </a:r>
                  </a:p>
                </c:rich>
              </c:tx>
              <c:showLegendKey val="0"/>
              <c:showVal val="0"/>
              <c:showCatName val="0"/>
              <c:showSerName val="0"/>
              <c:showPercent val="1"/>
              <c:showBubbleSize val="0"/>
            </c:dLbl>
            <c:dLbl>
              <c:idx val="2"/>
              <c:layout>
                <c:manualLayout>
                  <c:x val="-6.5189399003023991E-3"/>
                  <c:y val="8.1407965085525755E-3"/>
                </c:manualLayout>
              </c:layout>
              <c:tx>
                <c:rich>
                  <a:bodyPr/>
                  <a:lstStyle/>
                  <a:p>
                    <a:r>
                      <a:rPr lang="en-US"/>
                      <a:t>0.31%</a:t>
                    </a:r>
                  </a:p>
                </c:rich>
              </c:tx>
              <c:showLegendKey val="0"/>
              <c:showVal val="0"/>
              <c:showCatName val="0"/>
              <c:showSerName val="0"/>
              <c:showPercent val="1"/>
              <c:showBubbleSize val="0"/>
            </c:dLbl>
            <c:dLbl>
              <c:idx val="3"/>
              <c:layout>
                <c:manualLayout>
                  <c:x val="2.4722390925261798E-2"/>
                  <c:y val="6.6093124052712532E-2"/>
                </c:manualLayout>
              </c:layout>
              <c:tx>
                <c:rich>
                  <a:bodyPr/>
                  <a:lstStyle/>
                  <a:p>
                    <a:r>
                      <a:rPr lang="en-US"/>
                      <a:t>3.63%</a:t>
                    </a:r>
                  </a:p>
                </c:rich>
              </c:tx>
              <c:showLegendKey val="0"/>
              <c:showVal val="0"/>
              <c:showCatName val="0"/>
              <c:showSerName val="0"/>
              <c:showPercent val="1"/>
              <c:showBubbleSize val="0"/>
            </c:dLbl>
            <c:showLegendKey val="0"/>
            <c:showVal val="0"/>
            <c:showCatName val="0"/>
            <c:showSerName val="0"/>
            <c:showPercent val="1"/>
            <c:showBubbleSize val="0"/>
            <c:showLeaderLines val="0"/>
          </c:dLbls>
          <c:cat>
            <c:strRef>
              <c:f>'Social Housing Stock (2)'!$E$63:$H$63</c:f>
              <c:strCache>
                <c:ptCount val="4"/>
                <c:pt idx="0">
                  <c:v>Directly provided</c:v>
                </c:pt>
                <c:pt idx="1">
                  <c:v>RAS</c:v>
                </c:pt>
                <c:pt idx="2">
                  <c:v>HAP</c:v>
                </c:pt>
                <c:pt idx="3">
                  <c:v>SHLI</c:v>
                </c:pt>
              </c:strCache>
            </c:strRef>
          </c:cat>
          <c:val>
            <c:numRef>
              <c:f>'Social Housing Stock (2)'!$E$64:$H$64</c:f>
              <c:numCache>
                <c:formatCode>0.00</c:formatCode>
                <c:ptCount val="4"/>
                <c:pt idx="0">
                  <c:v>84.215625711220227</c:v>
                </c:pt>
                <c:pt idx="1">
                  <c:v>11.844458172123419</c:v>
                </c:pt>
                <c:pt idx="2">
                  <c:v>0.30106967519589489</c:v>
                </c:pt>
                <c:pt idx="3">
                  <c:v>3.6310433397275377</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gap"/>
    <c:showDLblsOverMax val="0"/>
  </c:chart>
  <c:spPr>
    <a:solidFill>
      <a:schemeClr val="bg1"/>
    </a:solidFill>
    <a:ln w="9525">
      <a:solidFill>
        <a:schemeClr val="tx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en-US" sz="1100">
                <a:solidFill>
                  <a:schemeClr val="tx2"/>
                </a:solidFill>
              </a:rPr>
              <a:t>Graph</a:t>
            </a:r>
            <a:r>
              <a:rPr lang="en-US" sz="1100" baseline="0">
                <a:solidFill>
                  <a:schemeClr val="tx2"/>
                </a:solidFill>
              </a:rPr>
              <a:t> 6: Regional PSCI </a:t>
            </a:r>
            <a:r>
              <a:rPr lang="en-US" sz="1100">
                <a:solidFill>
                  <a:schemeClr val="tx2"/>
                </a:solidFill>
              </a:rPr>
              <a:t>Ratings as % average of road surveyed   (2014)
</a:t>
            </a:r>
          </a:p>
        </c:rich>
      </c:tx>
      <c:layout>
        <c:manualLayout>
          <c:xMode val="edge"/>
          <c:yMode val="edge"/>
          <c:x val="0.1607780628734915"/>
          <c:y val="4.8426279933715531E-2"/>
        </c:manualLayout>
      </c:layout>
      <c:overlay val="0"/>
    </c:title>
    <c:autoTitleDeleted val="0"/>
    <c:plotArea>
      <c:layout>
        <c:manualLayout>
          <c:layoutTarget val="inner"/>
          <c:xMode val="edge"/>
          <c:yMode val="edge"/>
          <c:x val="0.3590082725075639"/>
          <c:y val="0.32217667255142046"/>
          <c:w val="0.31909794837553745"/>
          <c:h val="0.56807774372082442"/>
        </c:manualLayout>
      </c:layout>
      <c:pieChart>
        <c:varyColors val="1"/>
        <c:ser>
          <c:idx val="1"/>
          <c:order val="1"/>
          <c:tx>
            <c:strRef>
              <c:f>'Roads- regional'!$I$49</c:f>
              <c:strCache>
                <c:ptCount val="1"/>
                <c:pt idx="0">
                  <c:v>% of total</c:v>
                </c:pt>
              </c:strCache>
            </c:strRef>
          </c:tx>
          <c:dPt>
            <c:idx val="0"/>
            <c:bubble3D val="0"/>
            <c:spPr>
              <a:solidFill>
                <a:schemeClr val="accent2">
                  <a:lumMod val="40000"/>
                  <a:lumOff val="60000"/>
                </a:schemeClr>
              </a:solidFill>
            </c:spPr>
          </c:dPt>
          <c:dPt>
            <c:idx val="1"/>
            <c:bubble3D val="0"/>
            <c:spPr>
              <a:solidFill>
                <a:schemeClr val="accent6">
                  <a:lumMod val="40000"/>
                  <a:lumOff val="60000"/>
                </a:schemeClr>
              </a:solidFill>
            </c:spPr>
          </c:dPt>
          <c:dPt>
            <c:idx val="2"/>
            <c:bubble3D val="0"/>
            <c:spPr>
              <a:solidFill>
                <a:schemeClr val="tx2">
                  <a:lumMod val="40000"/>
                  <a:lumOff val="60000"/>
                </a:schemeClr>
              </a:solidFill>
            </c:spPr>
          </c:dPt>
          <c:dPt>
            <c:idx val="3"/>
            <c:bubble3D val="0"/>
            <c:spPr>
              <a:solidFill>
                <a:schemeClr val="accent3">
                  <a:lumMod val="40000"/>
                  <a:lumOff val="60000"/>
                </a:schemeClr>
              </a:solidFill>
            </c:spPr>
          </c:dPt>
          <c:dLbls>
            <c:dLbl>
              <c:idx val="0"/>
              <c:layout>
                <c:manualLayout>
                  <c:x val="-3.7246827567147617E-2"/>
                  <c:y val="0.12154037646020668"/>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'Roads- regional'!$G$50:$H$53</c:f>
              <c:strCache>
                <c:ptCount val="4"/>
                <c:pt idx="0">
                  <c:v>structural distress</c:v>
                </c:pt>
                <c:pt idx="1">
                  <c:v>pavement defects</c:v>
                </c:pt>
                <c:pt idx="2">
                  <c:v>surface defects</c:v>
                </c:pt>
                <c:pt idx="3">
                  <c:v>no visible/minor defects</c:v>
                </c:pt>
              </c:strCache>
            </c:strRef>
          </c:cat>
          <c:val>
            <c:numRef>
              <c:f>'Roads- regional'!$I$50:$I$53</c:f>
              <c:numCache>
                <c:formatCode>0.00</c:formatCode>
                <c:ptCount val="4"/>
                <c:pt idx="0">
                  <c:v>7.8714089017466424</c:v>
                </c:pt>
                <c:pt idx="1">
                  <c:v>23.881093457510175</c:v>
                </c:pt>
                <c:pt idx="2">
                  <c:v>44.039975865963278</c:v>
                </c:pt>
                <c:pt idx="3">
                  <c:v>24.207521774779849</c:v>
                </c:pt>
              </c:numCache>
            </c:numRef>
          </c:val>
        </c:ser>
        <c:ser>
          <c:idx val="0"/>
          <c:order val="0"/>
          <c:tx>
            <c:strRef>
              <c:f>'Roads- regional'!$I$49</c:f>
              <c:strCache>
                <c:ptCount val="1"/>
                <c:pt idx="0">
                  <c:v>% of total</c:v>
                </c:pt>
              </c:strCache>
            </c:strRef>
          </c:tx>
          <c:dPt>
            <c:idx val="0"/>
            <c:bubble3D val="0"/>
            <c:spPr>
              <a:solidFill>
                <a:srgbClr val="FFBDBD"/>
              </a:solidFill>
            </c:spPr>
          </c:dPt>
          <c:dPt>
            <c:idx val="1"/>
            <c:bubble3D val="0"/>
            <c:spPr>
              <a:solidFill>
                <a:srgbClr val="FFE89F"/>
              </a:solidFill>
            </c:spPr>
          </c:dPt>
          <c:dPt>
            <c:idx val="2"/>
            <c:bubble3D val="0"/>
            <c:spPr>
              <a:solidFill>
                <a:srgbClr val="9BD4FF"/>
              </a:solidFill>
            </c:spPr>
          </c:dPt>
          <c:dPt>
            <c:idx val="3"/>
            <c:bubble3D val="0"/>
            <c:spPr>
              <a:solidFill>
                <a:srgbClr val="ABFFD1"/>
              </a:solidFill>
            </c:spPr>
          </c:dPt>
          <c:cat>
            <c:strRef>
              <c:f>'Roads- regional'!$G$50:$H$53</c:f>
              <c:strCache>
                <c:ptCount val="4"/>
                <c:pt idx="0">
                  <c:v>structural distress</c:v>
                </c:pt>
                <c:pt idx="1">
                  <c:v>pavement defects</c:v>
                </c:pt>
                <c:pt idx="2">
                  <c:v>surface defects</c:v>
                </c:pt>
                <c:pt idx="3">
                  <c:v>no visible/minor defects</c:v>
                </c:pt>
              </c:strCache>
            </c:strRef>
          </c:cat>
          <c:val>
            <c:numRef>
              <c:f>'Roads- regional'!$I$50:$I$53</c:f>
              <c:numCache>
                <c:formatCode>0.00</c:formatCode>
                <c:ptCount val="4"/>
                <c:pt idx="0">
                  <c:v>7.8714089017466424</c:v>
                </c:pt>
                <c:pt idx="1">
                  <c:v>23.881093457510175</c:v>
                </c:pt>
                <c:pt idx="2">
                  <c:v>44.039975865963278</c:v>
                </c:pt>
                <c:pt idx="3">
                  <c:v>24.207521774779849</c:v>
                </c:pt>
              </c:numCache>
            </c:numRef>
          </c:val>
        </c:ser>
        <c:dLbls>
          <c:showLegendKey val="0"/>
          <c:showVal val="0"/>
          <c:showCatName val="0"/>
          <c:showSerName val="0"/>
          <c:showPercent val="1"/>
          <c:showBubbleSize val="0"/>
          <c:showLeaderLines val="0"/>
        </c:dLbls>
        <c:firstSliceAng val="0"/>
      </c:pieChart>
    </c:plotArea>
    <c:plotVisOnly val="1"/>
    <c:dispBlanksAs val="gap"/>
    <c:showDLblsOverMax val="0"/>
  </c:chart>
  <c:spPr>
    <a:ln>
      <a:solidFill>
        <a:schemeClr val="bg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100">
                <a:solidFill>
                  <a:schemeClr val="tx2"/>
                </a:solidFill>
              </a:rPr>
              <a:t>Graph 7: Local Primary  Road</a:t>
            </a:r>
            <a:r>
              <a:rPr lang="en-US" sz="1100" baseline="0">
                <a:solidFill>
                  <a:schemeClr val="tx2"/>
                </a:solidFill>
              </a:rPr>
              <a:t> PSCI </a:t>
            </a:r>
            <a:r>
              <a:rPr lang="en-US" sz="1100" b="1" i="0" u="none" strike="noStrike" baseline="0">
                <a:solidFill>
                  <a:schemeClr val="tx2"/>
                </a:solidFill>
              </a:rPr>
              <a:t>Ratings  as % average of  road surveyed (2014)</a:t>
            </a:r>
            <a:endParaRPr lang="en-US" sz="1100">
              <a:solidFill>
                <a:schemeClr val="tx2"/>
              </a:solidFill>
            </a:endParaRPr>
          </a:p>
        </c:rich>
      </c:tx>
      <c:overlay val="0"/>
    </c:title>
    <c:autoTitleDeleted val="0"/>
    <c:plotArea>
      <c:layout>
        <c:manualLayout>
          <c:layoutTarget val="inner"/>
          <c:xMode val="edge"/>
          <c:yMode val="edge"/>
          <c:x val="0.37330196097518087"/>
          <c:y val="0.33695323467596522"/>
          <c:w val="0.3269495913822702"/>
          <c:h val="0.58160599594926665"/>
        </c:manualLayout>
      </c:layout>
      <c:pieChart>
        <c:varyColors val="1"/>
        <c:ser>
          <c:idx val="0"/>
          <c:order val="0"/>
          <c:tx>
            <c:strRef>
              <c:f>'Roads- local primary'!$H$47</c:f>
              <c:strCache>
                <c:ptCount val="1"/>
                <c:pt idx="0">
                  <c:v>% of total</c:v>
                </c:pt>
              </c:strCache>
            </c:strRef>
          </c:tx>
          <c:dPt>
            <c:idx val="0"/>
            <c:bubble3D val="0"/>
            <c:spPr>
              <a:solidFill>
                <a:schemeClr val="accent2">
                  <a:lumMod val="40000"/>
                  <a:lumOff val="60000"/>
                </a:schemeClr>
              </a:solidFill>
            </c:spPr>
          </c:dPt>
          <c:dPt>
            <c:idx val="1"/>
            <c:bubble3D val="0"/>
            <c:spPr>
              <a:solidFill>
                <a:schemeClr val="accent6">
                  <a:lumMod val="40000"/>
                  <a:lumOff val="60000"/>
                </a:schemeClr>
              </a:solidFill>
            </c:spPr>
          </c:dPt>
          <c:dPt>
            <c:idx val="2"/>
            <c:bubble3D val="0"/>
            <c:spPr>
              <a:solidFill>
                <a:schemeClr val="tx2">
                  <a:lumMod val="40000"/>
                  <a:lumOff val="60000"/>
                </a:schemeClr>
              </a:solidFill>
            </c:spPr>
          </c:dPt>
          <c:dPt>
            <c:idx val="3"/>
            <c:bubble3D val="0"/>
            <c:spPr>
              <a:solidFill>
                <a:schemeClr val="accent3">
                  <a:lumMod val="40000"/>
                  <a:lumOff val="60000"/>
                </a:schemeClr>
              </a:solidFill>
            </c:spPr>
          </c:dPt>
          <c:dLbls>
            <c:dLbl>
              <c:idx val="0"/>
              <c:layout>
                <c:manualLayout>
                  <c:x val="-5.8903864968032321E-2"/>
                  <c:y val="0.11340920955322574"/>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'Roads- local primary'!$G$48:$G$51</c:f>
              <c:strCache>
                <c:ptCount val="4"/>
                <c:pt idx="0">
                  <c:v>structural distress</c:v>
                </c:pt>
                <c:pt idx="1">
                  <c:v>pavement defects</c:v>
                </c:pt>
                <c:pt idx="2">
                  <c:v>surface defects</c:v>
                </c:pt>
                <c:pt idx="3">
                  <c:v>no visible/minor defects</c:v>
                </c:pt>
              </c:strCache>
            </c:strRef>
          </c:cat>
          <c:val>
            <c:numRef>
              <c:f>'Roads- local primary'!$H$48:$H$51</c:f>
              <c:numCache>
                <c:formatCode>General</c:formatCode>
                <c:ptCount val="4"/>
                <c:pt idx="0">
                  <c:v>11.246910464561948</c:v>
                </c:pt>
                <c:pt idx="1">
                  <c:v>30.421058113310341</c:v>
                </c:pt>
                <c:pt idx="2">
                  <c:v>43.189001454134484</c:v>
                </c:pt>
                <c:pt idx="3">
                  <c:v>15.143029967992998</c:v>
                </c:pt>
              </c:numCache>
            </c:numRef>
          </c:val>
        </c:ser>
        <c:dLbls>
          <c:showLegendKey val="0"/>
          <c:showVal val="0"/>
          <c:showCatName val="0"/>
          <c:showSerName val="0"/>
          <c:showPercent val="1"/>
          <c:showBubbleSize val="0"/>
          <c:showLeaderLines val="0"/>
        </c:dLbls>
        <c:firstSliceAng val="0"/>
      </c:pieChart>
    </c:plotArea>
    <c:plotVisOnly val="1"/>
    <c:dispBlanksAs val="gap"/>
    <c:showDLblsOverMax val="0"/>
  </c:chart>
  <c:spPr>
    <a:ln>
      <a:solidFill>
        <a:schemeClr val="bg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en-US" sz="1100">
                <a:solidFill>
                  <a:schemeClr val="tx2"/>
                </a:solidFill>
              </a:rPr>
              <a:t>Graph 8:</a:t>
            </a:r>
            <a:r>
              <a:rPr lang="en-US" sz="1100" baseline="0">
                <a:solidFill>
                  <a:schemeClr val="tx2"/>
                </a:solidFill>
              </a:rPr>
              <a:t> </a:t>
            </a:r>
            <a:r>
              <a:rPr lang="en-US" sz="1100">
                <a:solidFill>
                  <a:schemeClr val="tx2"/>
                </a:solidFill>
              </a:rPr>
              <a:t>Local Secondary  </a:t>
            </a:r>
            <a:r>
              <a:rPr lang="en-US" sz="1100" b="1" i="0" baseline="0">
                <a:solidFill>
                  <a:schemeClr val="tx2"/>
                </a:solidFill>
              </a:rPr>
              <a:t>Road PSCI  Ratings as % average of road surveyed   (2014)</a:t>
            </a: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endParaRPr lang="en-US" sz="1200"/>
          </a:p>
        </c:rich>
      </c:tx>
      <c:layout>
        <c:manualLayout>
          <c:xMode val="edge"/>
          <c:yMode val="edge"/>
          <c:x val="0.18891569189689564"/>
          <c:y val="4.6841061734339204E-2"/>
        </c:manualLayout>
      </c:layout>
      <c:overlay val="0"/>
    </c:title>
    <c:autoTitleDeleted val="0"/>
    <c:plotArea>
      <c:layout>
        <c:manualLayout>
          <c:layoutTarget val="inner"/>
          <c:xMode val="edge"/>
          <c:yMode val="edge"/>
          <c:x val="0.37636763612640989"/>
          <c:y val="0.37636442816685201"/>
          <c:w val="0.32655455980408543"/>
          <c:h val="0.58202623227804962"/>
        </c:manualLayout>
      </c:layout>
      <c:pieChart>
        <c:varyColors val="1"/>
        <c:ser>
          <c:idx val="0"/>
          <c:order val="0"/>
          <c:tx>
            <c:strRef>
              <c:f>'Roads - local secondary'!$G$50</c:f>
              <c:strCache>
                <c:ptCount val="1"/>
                <c:pt idx="0">
                  <c:v>% of total</c:v>
                </c:pt>
              </c:strCache>
            </c:strRef>
          </c:tx>
          <c:dPt>
            <c:idx val="0"/>
            <c:bubble3D val="0"/>
            <c:spPr>
              <a:solidFill>
                <a:schemeClr val="accent2">
                  <a:lumMod val="40000"/>
                  <a:lumOff val="60000"/>
                </a:schemeClr>
              </a:solidFill>
            </c:spPr>
          </c:dPt>
          <c:dPt>
            <c:idx val="1"/>
            <c:bubble3D val="0"/>
            <c:spPr>
              <a:solidFill>
                <a:schemeClr val="accent6">
                  <a:lumMod val="40000"/>
                  <a:lumOff val="60000"/>
                </a:schemeClr>
              </a:solidFill>
            </c:spPr>
          </c:dPt>
          <c:dPt>
            <c:idx val="2"/>
            <c:bubble3D val="0"/>
            <c:spPr>
              <a:solidFill>
                <a:schemeClr val="tx2">
                  <a:lumMod val="40000"/>
                  <a:lumOff val="60000"/>
                </a:schemeClr>
              </a:solidFill>
            </c:spPr>
          </c:dPt>
          <c:dPt>
            <c:idx val="3"/>
            <c:bubble3D val="0"/>
            <c:spPr>
              <a:solidFill>
                <a:schemeClr val="accent3">
                  <a:lumMod val="40000"/>
                  <a:lumOff val="60000"/>
                </a:schemeClr>
              </a:solidFill>
            </c:spPr>
          </c:dPt>
          <c:dLbls>
            <c:dLbl>
              <c:idx val="3"/>
              <c:layout>
                <c:manualLayout>
                  <c:x val="5.5656962949304334E-2"/>
                  <c:y val="0.12468457810795706"/>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'Roads - local secondary'!$F$51:$F$54</c:f>
              <c:strCache>
                <c:ptCount val="4"/>
                <c:pt idx="0">
                  <c:v>structural distress</c:v>
                </c:pt>
                <c:pt idx="1">
                  <c:v>pavement defects</c:v>
                </c:pt>
                <c:pt idx="2">
                  <c:v>surface defects</c:v>
                </c:pt>
                <c:pt idx="3">
                  <c:v>no visible/minor defects</c:v>
                </c:pt>
              </c:strCache>
            </c:strRef>
          </c:cat>
          <c:val>
            <c:numRef>
              <c:f>'Roads - local secondary'!$G$51:$G$54</c:f>
              <c:numCache>
                <c:formatCode>0.00</c:formatCode>
                <c:ptCount val="4"/>
                <c:pt idx="0">
                  <c:v>16.699876116058153</c:v>
                </c:pt>
                <c:pt idx="1">
                  <c:v>35.603603459128294</c:v>
                </c:pt>
                <c:pt idx="2">
                  <c:v>36.039402310094879</c:v>
                </c:pt>
                <c:pt idx="3">
                  <c:v>11.657118114718934</c:v>
                </c:pt>
              </c:numCache>
            </c:numRef>
          </c:val>
        </c:ser>
        <c:dLbls>
          <c:showLegendKey val="0"/>
          <c:showVal val="0"/>
          <c:showCatName val="0"/>
          <c:showSerName val="0"/>
          <c:showPercent val="1"/>
          <c:showBubbleSize val="0"/>
          <c:showLeaderLines val="0"/>
        </c:dLbls>
        <c:firstSliceAng val="0"/>
      </c:pieChart>
    </c:plotArea>
    <c:plotVisOnly val="1"/>
    <c:dispBlanksAs val="gap"/>
    <c:showDLblsOverMax val="0"/>
  </c:chart>
  <c:spPr>
    <a:ln>
      <a:solidFill>
        <a:schemeClr val="bg1"/>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1" i="0" baseline="0">
                <a:solidFill>
                  <a:schemeClr val="tx2"/>
                </a:solidFill>
              </a:rPr>
              <a:t>Graph 9: Local Tertiary Road PSCI Ratings as % average of road surveyed  (2014)</a:t>
            </a:r>
            <a:endParaRPr lang="en-IE" sz="1100" b="1">
              <a:solidFill>
                <a:schemeClr val="tx2"/>
              </a:solidFill>
            </a:endParaRPr>
          </a:p>
        </c:rich>
      </c:tx>
      <c:layout>
        <c:manualLayout>
          <c:xMode val="edge"/>
          <c:yMode val="edge"/>
          <c:x val="0.14290953545232393"/>
          <c:y val="3.4698126301179751E-2"/>
        </c:manualLayout>
      </c:layout>
      <c:overlay val="0"/>
    </c:title>
    <c:autoTitleDeleted val="0"/>
    <c:plotArea>
      <c:layout>
        <c:manualLayout>
          <c:layoutTarget val="inner"/>
          <c:xMode val="edge"/>
          <c:yMode val="edge"/>
          <c:x val="0.34284432085092931"/>
          <c:y val="0.33054809961319231"/>
          <c:w val="0.34099447480193262"/>
          <c:h val="0.60590024084270622"/>
        </c:manualLayout>
      </c:layout>
      <c:pieChart>
        <c:varyColors val="1"/>
        <c:ser>
          <c:idx val="0"/>
          <c:order val="0"/>
          <c:tx>
            <c:strRef>
              <c:f>'Roads - local tertiary'!$F$50</c:f>
              <c:strCache>
                <c:ptCount val="1"/>
                <c:pt idx="0">
                  <c:v>% of total</c:v>
                </c:pt>
              </c:strCache>
            </c:strRef>
          </c:tx>
          <c:dPt>
            <c:idx val="0"/>
            <c:bubble3D val="0"/>
            <c:spPr>
              <a:solidFill>
                <a:schemeClr val="accent2">
                  <a:lumMod val="40000"/>
                  <a:lumOff val="60000"/>
                </a:schemeClr>
              </a:solidFill>
            </c:spPr>
          </c:dPt>
          <c:dPt>
            <c:idx val="1"/>
            <c:bubble3D val="0"/>
            <c:spPr>
              <a:solidFill>
                <a:schemeClr val="accent6">
                  <a:lumMod val="40000"/>
                  <a:lumOff val="60000"/>
                </a:schemeClr>
              </a:solidFill>
            </c:spPr>
          </c:dPt>
          <c:dPt>
            <c:idx val="2"/>
            <c:bubble3D val="0"/>
            <c:spPr>
              <a:solidFill>
                <a:schemeClr val="tx2">
                  <a:lumMod val="40000"/>
                  <a:lumOff val="60000"/>
                </a:schemeClr>
              </a:solidFill>
            </c:spPr>
          </c:dPt>
          <c:dPt>
            <c:idx val="3"/>
            <c:bubble3D val="0"/>
            <c:spPr>
              <a:solidFill>
                <a:schemeClr val="accent3">
                  <a:lumMod val="40000"/>
                  <a:lumOff val="60000"/>
                </a:schemeClr>
              </a:solidFill>
            </c:spPr>
          </c:dPt>
          <c:dLbls>
            <c:dLbl>
              <c:idx val="3"/>
              <c:layout>
                <c:manualLayout>
                  <c:x val="6.2689871590012117E-2"/>
                  <c:y val="0.13018900916358367"/>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'Roads - local tertiary'!$E$51:$E$54</c:f>
              <c:strCache>
                <c:ptCount val="4"/>
                <c:pt idx="0">
                  <c:v>structural distress</c:v>
                </c:pt>
                <c:pt idx="1">
                  <c:v>pavement defects</c:v>
                </c:pt>
                <c:pt idx="2">
                  <c:v>surface defects</c:v>
                </c:pt>
                <c:pt idx="3">
                  <c:v>no visible/minor defects</c:v>
                </c:pt>
              </c:strCache>
            </c:strRef>
          </c:cat>
          <c:val>
            <c:numRef>
              <c:f>'Roads - local tertiary'!$F$51:$F$54</c:f>
              <c:numCache>
                <c:formatCode>0.00</c:formatCode>
                <c:ptCount val="4"/>
                <c:pt idx="0">
                  <c:v>30.575341170537861</c:v>
                </c:pt>
                <c:pt idx="1">
                  <c:v>29.918607582968125</c:v>
                </c:pt>
                <c:pt idx="2">
                  <c:v>29.043619401808996</c:v>
                </c:pt>
                <c:pt idx="3">
                  <c:v>10.462431844684742</c:v>
                </c:pt>
              </c:numCache>
            </c:numRef>
          </c:val>
        </c:ser>
        <c:dLbls>
          <c:showLegendKey val="0"/>
          <c:showVal val="0"/>
          <c:showCatName val="0"/>
          <c:showSerName val="0"/>
          <c:showPercent val="1"/>
          <c:showBubbleSize val="0"/>
          <c:showLeaderLines val="0"/>
        </c:dLbls>
        <c:firstSliceAng val="0"/>
      </c:pieChart>
    </c:plotArea>
    <c:plotVisOnly val="1"/>
    <c:dispBlanksAs val="gap"/>
    <c:showDLblsOverMax val="0"/>
  </c:chart>
  <c:spPr>
    <a:ln>
      <a:solidFill>
        <a:schemeClr val="bg1"/>
      </a:solid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0.18148</cdr:x>
      <cdr:y>0.01892</cdr:y>
    </cdr:from>
    <cdr:to>
      <cdr:x>0.6838</cdr:x>
      <cdr:y>0.35251</cdr:y>
    </cdr:to>
    <cdr:sp macro="" textlink="">
      <cdr:nvSpPr>
        <cdr:cNvPr id="2" name="TextBox 1"/>
        <cdr:cNvSpPr txBox="1"/>
      </cdr:nvSpPr>
      <cdr:spPr>
        <a:xfrm xmlns:a="http://schemas.openxmlformats.org/drawingml/2006/main">
          <a:off x="829711" y="51853"/>
          <a:ext cx="2296607" cy="9143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IE" sz="1100" b="1">
              <a:solidFill>
                <a:schemeClr val="tx2"/>
              </a:solidFill>
            </a:rPr>
            <a:t>Graph 1:</a:t>
          </a:r>
          <a:r>
            <a:rPr lang="en-IE" sz="1100" b="1" baseline="0">
              <a:solidFill>
                <a:schemeClr val="tx2"/>
              </a:solidFill>
            </a:rPr>
            <a:t> WTE Nos. in Local Authorities 2010 - 2014 </a:t>
          </a:r>
          <a:endParaRPr lang="en-IE" sz="1100" b="1">
            <a:solidFill>
              <a:schemeClr val="tx2"/>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39C766-A5F3-440D-9B9B-3D408296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108</Pages>
  <Words>23910</Words>
  <Characters>136291</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Performance Indicators in Local Authorities</vt:lpstr>
    </vt:vector>
  </TitlesOfParts>
  <Company>Hewlett-Packard Company</Company>
  <LinksUpToDate>false</LinksUpToDate>
  <CharactersWithSpaces>159882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Indicators in Local Authorities</dc:title>
  <dc:creator>fpakenham</dc:creator>
  <cp:lastModifiedBy>Sheila McMahon - (DECLG)</cp:lastModifiedBy>
  <cp:revision>36</cp:revision>
  <cp:lastPrinted>2015-12-03T10:01:00Z</cp:lastPrinted>
  <dcterms:created xsi:type="dcterms:W3CDTF">2015-12-07T16:47:00Z</dcterms:created>
  <dcterms:modified xsi:type="dcterms:W3CDTF">2016-01-13T14:27:00Z</dcterms:modified>
</cp:coreProperties>
</file>